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7612FAD6"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F4E81">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2955DA">
        <w:rPr>
          <w:rFonts w:ascii="Times New Roman" w:eastAsia="Times New Roman" w:hAnsi="Times New Roman" w:cs="Times New Roman"/>
          <w:sz w:val="24"/>
          <w:szCs w:val="24"/>
        </w:rPr>
        <w:t>kovo</w:t>
      </w:r>
      <w:r w:rsidR="005F4E81">
        <w:rPr>
          <w:rFonts w:ascii="Times New Roman" w:eastAsia="Times New Roman" w:hAnsi="Times New Roman" w:cs="Times New Roman"/>
          <w:sz w:val="24"/>
          <w:szCs w:val="24"/>
        </w:rPr>
        <w:t xml:space="preserve"> </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C9E8AA9"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F5221A">
        <w:rPr>
          <w:rFonts w:ascii="Times New Roman" w:eastAsia="Times New Roman" w:hAnsi="Times New Roman" w:cs="Times New Roman"/>
          <w:bCs/>
          <w:color w:val="000000"/>
          <w:sz w:val="24"/>
          <w:szCs w:val="24"/>
        </w:rPr>
        <w:t>Algirdas Kęstutis Rimkus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005B00BD">
        <w:rPr>
          <w:rFonts w:ascii="Times New Roman" w:eastAsia="Times New Roman" w:hAnsi="Times New Roman" w:cs="Times New Roman"/>
          <w:color w:val="000000"/>
          <w:sz w:val="24"/>
          <w:szCs w:val="24"/>
        </w:rPr>
        <w:t>638736</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CFC9919"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w:t>
      </w:r>
      <w:r w:rsidR="00F5221A">
        <w:rPr>
          <w:rFonts w:ascii="Times New Roman" w:eastAsia="Times New Roman" w:hAnsi="Times New Roman" w:cs="Times New Roman"/>
          <w:sz w:val="24"/>
          <w:szCs w:val="24"/>
          <w:lang w:eastAsia="ar-SA"/>
        </w:rPr>
        <w:t>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2955DA">
        <w:rPr>
          <w:rFonts w:ascii="Times New Roman" w:eastAsia="Times New Roman" w:hAnsi="Times New Roman" w:cs="Times New Roman"/>
          <w:sz w:val="24"/>
          <w:szCs w:val="24"/>
          <w:lang w:eastAsia="ar-SA"/>
        </w:rPr>
        <w:t>50192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EF42A9">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2955DA">
        <w:rPr>
          <w:rFonts w:ascii="Times New Roman" w:eastAsia="Times New Roman" w:hAnsi="Times New Roman" w:cs="Times New Roman"/>
          <w:sz w:val="24"/>
          <w:szCs w:val="24"/>
          <w:lang w:eastAsia="ar-SA"/>
        </w:rPr>
        <w:t>vasario 28</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2955DA">
        <w:rPr>
          <w:rFonts w:ascii="Times New Roman" w:eastAsia="Times New Roman" w:hAnsi="Times New Roman" w:cs="Times New Roman"/>
          <w:sz w:val="24"/>
          <w:szCs w:val="24"/>
          <w:lang w:eastAsia="ar-SA"/>
        </w:rPr>
        <w:t>117</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52A97"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52A97"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4CF3ACD9"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2955DA">
        <w:rPr>
          <w:rFonts w:ascii="Times New Roman" w:hAnsi="Times New Roman"/>
          <w:szCs w:val="24"/>
          <w:lang w:val="lt-LT" w:eastAsia="lt-LT"/>
        </w:rPr>
        <w:t>kovo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52A97"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52A97"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52A97"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52A97"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098A17DD"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5B00BD">
        <w:rPr>
          <w:rFonts w:ascii="Times New Roman" w:eastAsia="Calibri" w:hAnsi="Times New Roman"/>
          <w:bCs/>
          <w:szCs w:val="24"/>
          <w:lang w:val="lt-LT"/>
        </w:rPr>
        <w:t>4</w:t>
      </w:r>
      <w:r w:rsidR="00D92D16">
        <w:rPr>
          <w:rFonts w:ascii="Times New Roman" w:eastAsia="Calibri" w:hAnsi="Times New Roman"/>
          <w:bCs/>
          <w:szCs w:val="24"/>
          <w:lang w:val="lt-LT"/>
        </w:rPr>
        <w:t>00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5B00BD">
        <w:rPr>
          <w:rFonts w:ascii="Times New Roman" w:eastAsia="Calibri" w:hAnsi="Times New Roman"/>
          <w:szCs w:val="24"/>
          <w:lang w:val="lt-LT"/>
        </w:rPr>
        <w:t>keturi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35DE90EF" w:rsidR="00C75C22"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CF6939">
        <w:rPr>
          <w:rFonts w:ascii="Times New Roman" w:hAnsi="Times New Roman"/>
          <w:szCs w:val="24"/>
          <w:lang w:val="lt-LT" w:eastAsia="lt-LT"/>
        </w:rPr>
        <w:t>ver</w:t>
      </w:r>
      <w:r w:rsidR="007A72EE" w:rsidRPr="00CF6939">
        <w:rPr>
          <w:rFonts w:ascii="Times New Roman" w:hAnsi="Times New Roman"/>
          <w:szCs w:val="24"/>
          <w:lang w:val="lt-LT" w:eastAsia="lt-LT"/>
        </w:rPr>
        <w:t xml:space="preserve">tintoju </w:t>
      </w:r>
      <w:r w:rsidR="005B00BD">
        <w:rPr>
          <w:rFonts w:ascii="Times New Roman" w:hAnsi="Times New Roman"/>
          <w:szCs w:val="24"/>
          <w:lang w:val="lt-LT" w:eastAsia="lt-LT"/>
        </w:rPr>
        <w:t>2</w:t>
      </w:r>
      <w:r w:rsidR="00A455AA" w:rsidRPr="00CF6939">
        <w:rPr>
          <w:rFonts w:ascii="Times New Roman" w:hAnsi="Times New Roman"/>
          <w:szCs w:val="24"/>
          <w:lang w:val="lt-LT" w:eastAsia="lt-LT"/>
        </w:rPr>
        <w:t xml:space="preserve"> </w:t>
      </w:r>
      <w:r w:rsidR="007A72EE" w:rsidRPr="00CF6939">
        <w:rPr>
          <w:rFonts w:ascii="Times New Roman" w:hAnsi="Times New Roman"/>
          <w:szCs w:val="24"/>
          <w:lang w:val="lt-LT" w:eastAsia="lt-LT"/>
        </w:rPr>
        <w:t>vertinim</w:t>
      </w:r>
      <w:r w:rsidR="00D92D16">
        <w:rPr>
          <w:rFonts w:ascii="Times New Roman" w:hAnsi="Times New Roman"/>
          <w:szCs w:val="24"/>
          <w:lang w:val="lt-LT" w:eastAsia="lt-LT"/>
        </w:rPr>
        <w:t>ų</w:t>
      </w:r>
      <w:r w:rsidR="00A455AA" w:rsidRPr="00CF6939">
        <w:rPr>
          <w:rFonts w:ascii="Times New Roman" w:hAnsi="Times New Roman"/>
          <w:szCs w:val="24"/>
          <w:lang w:val="lt-LT" w:eastAsia="lt-LT"/>
        </w:rPr>
        <w:t xml:space="preserve"> x </w:t>
      </w:r>
      <w:r w:rsidR="00D92D16">
        <w:rPr>
          <w:rFonts w:ascii="Times New Roman" w:hAnsi="Times New Roman"/>
          <w:szCs w:val="24"/>
          <w:lang w:val="lt-LT" w:eastAsia="lt-LT"/>
        </w:rPr>
        <w:t>200</w:t>
      </w:r>
      <w:r w:rsidR="00A455AA" w:rsidRPr="00CF6939">
        <w:rPr>
          <w:rFonts w:ascii="Times New Roman" w:hAnsi="Times New Roman"/>
          <w:szCs w:val="24"/>
          <w:lang w:val="lt-LT" w:eastAsia="lt-LT"/>
        </w:rPr>
        <w:t xml:space="preserve"> Eur </w:t>
      </w:r>
      <w:r w:rsidR="00A455AA" w:rsidRPr="00CF6939">
        <w:rPr>
          <w:rFonts w:ascii="Times New Roman" w:hAnsi="Times New Roman"/>
          <w:szCs w:val="24"/>
          <w:lang w:val="lt-LT"/>
        </w:rPr>
        <w:t xml:space="preserve">= </w:t>
      </w:r>
      <w:r w:rsidR="005B00BD">
        <w:rPr>
          <w:rFonts w:ascii="Times New Roman" w:hAnsi="Times New Roman"/>
          <w:szCs w:val="24"/>
          <w:lang w:val="lt-LT"/>
        </w:rPr>
        <w:t>4</w:t>
      </w:r>
      <w:r w:rsidR="00D92D16">
        <w:rPr>
          <w:rFonts w:ascii="Times New Roman" w:hAnsi="Times New Roman"/>
          <w:szCs w:val="24"/>
          <w:lang w:val="lt-LT"/>
        </w:rPr>
        <w:t>00</w:t>
      </w:r>
      <w:r w:rsidR="00A455AA" w:rsidRPr="00CF6939">
        <w:rPr>
          <w:rFonts w:ascii="Times New Roman" w:hAnsi="Times New Roman"/>
          <w:szCs w:val="24"/>
          <w:lang w:val="lt-LT"/>
        </w:rPr>
        <w:t xml:space="preserve"> Eur</w:t>
      </w:r>
      <w:r w:rsidR="005B00BD">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C52A97" w:rsidRDefault="003F3400" w:rsidP="003F3400">
      <w:pPr>
        <w:tabs>
          <w:tab w:val="left" w:pos="709"/>
        </w:tabs>
        <w:autoSpaceDN w:val="0"/>
        <w:spacing w:after="0" w:line="240" w:lineRule="auto"/>
        <w:ind w:firstLine="567"/>
        <w:jc w:val="both"/>
        <w:rPr>
          <w:rFonts w:ascii="Times New Roman" w:eastAsia="Calibri" w:hAnsi="Times New Roman" w:cs="Times New Roman"/>
          <w:sz w:val="16"/>
          <w:szCs w:val="16"/>
        </w:rPr>
      </w:pPr>
    </w:p>
    <w:p w14:paraId="7A6A7FB7" w14:textId="77777777" w:rsidR="006743A8" w:rsidRPr="00DC11F9" w:rsidRDefault="006743A8" w:rsidP="003F3400">
      <w:pPr>
        <w:spacing w:after="0" w:line="360" w:lineRule="auto"/>
        <w:ind w:right="5" w:firstLine="567"/>
        <w:jc w:val="center"/>
        <w:rPr>
          <w:rFonts w:ascii="Times New Roman" w:eastAsia="Times New Roman" w:hAnsi="Times New Roman" w:cs="Times New Roman"/>
          <w:b/>
          <w:sz w:val="12"/>
          <w:szCs w:val="12"/>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2462F2F0" w:rsidR="000E0EF6" w:rsidRPr="00C52A97"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52A97"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52A97"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52A97"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C52A97"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137FB765"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2955DA">
        <w:rPr>
          <w:rFonts w:ascii="Times New Roman" w:eastAsia="Calibri" w:hAnsi="Times New Roman" w:cs="Times New Roman"/>
          <w:sz w:val="24"/>
          <w:szCs w:val="24"/>
        </w:rPr>
        <w:t>gegužės</w:t>
      </w:r>
      <w:r w:rsidR="008A7348">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w:t>
      </w:r>
      <w:r w:rsidR="00971CA4" w:rsidRPr="000257FF">
        <w:rPr>
          <w:rFonts w:ascii="Times New Roman" w:eastAsia="Calibri" w:hAnsi="Times New Roman" w:cs="Times New Roman"/>
          <w:sz w:val="24"/>
          <w:szCs w:val="24"/>
          <w:lang w:eastAsia="ar-SA"/>
        </w:rPr>
        <w:lastRenderedPageBreak/>
        <w:t>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7021EFFD" w14:textId="77777777" w:rsidR="005F4E81" w:rsidRPr="00C52A97" w:rsidRDefault="005F4E81" w:rsidP="007463B7">
      <w:pPr>
        <w:spacing w:after="0" w:line="360" w:lineRule="auto"/>
        <w:ind w:right="5"/>
        <w:jc w:val="center"/>
        <w:rPr>
          <w:rFonts w:ascii="Times New Roman" w:eastAsia="Times New Roman" w:hAnsi="Times New Roman" w:cs="Times New Roman"/>
          <w:b/>
          <w:sz w:val="16"/>
          <w:szCs w:val="16"/>
        </w:rPr>
      </w:pPr>
    </w:p>
    <w:p w14:paraId="6F61F92D" w14:textId="159730CB"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w:t>
      </w:r>
      <w:r w:rsidR="005F4E0D" w:rsidRPr="00244E93">
        <w:rPr>
          <w:rFonts w:ascii="Times New Roman" w:eastAsia="Times New Roman" w:hAnsi="Times New Roman" w:cs="Times New Roman"/>
          <w:bCs/>
          <w:sz w:val="24"/>
          <w:szCs w:val="24"/>
        </w:rPr>
        <w:lastRenderedPageBreak/>
        <w:t>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lastRenderedPageBreak/>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21A1EB44" w14:textId="039E8EBF" w:rsidR="002354E4" w:rsidRDefault="002354E4" w:rsidP="002354E4">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0AFDD688" w14:textId="23CB201F" w:rsidR="002354E4" w:rsidRPr="00B40628" w:rsidRDefault="002354E4" w:rsidP="002354E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002EDEDB" w:rsidR="002354E4" w:rsidRPr="00244E93" w:rsidRDefault="002354E4" w:rsidP="002354E4">
            <w:pPr>
              <w:spacing w:after="0" w:line="240" w:lineRule="auto"/>
              <w:rPr>
                <w:rFonts w:ascii="Times New Roman" w:eastAsia="Times New Roman" w:hAnsi="Times New Roman" w:cs="Times New Roman"/>
                <w:b/>
                <w:sz w:val="24"/>
                <w:szCs w:val="24"/>
              </w:rPr>
            </w:pPr>
          </w:p>
        </w:tc>
        <w:tc>
          <w:tcPr>
            <w:tcW w:w="4622" w:type="dxa"/>
            <w:shd w:val="clear" w:color="auto" w:fill="auto"/>
          </w:tcPr>
          <w:p w14:paraId="5930AB8C"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3B320AA1" w14:textId="5F92669A" w:rsidR="002354E4" w:rsidRPr="00D778E1" w:rsidRDefault="00F5221A"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Algirdas Kęstutis Rimkus</w:t>
            </w:r>
          </w:p>
          <w:p w14:paraId="5C7A1AA2"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0" w:name="_GoBack"/>
            <w:bookmarkEnd w:id="0"/>
          </w:p>
          <w:p w14:paraId="23266E72" w14:textId="77777777" w:rsidR="002354E4" w:rsidRDefault="002354E4" w:rsidP="002354E4">
            <w:pPr>
              <w:spacing w:after="0" w:line="240" w:lineRule="auto"/>
              <w:rPr>
                <w:rFonts w:ascii="Times New Roman" w:hAnsi="Times New Roman" w:cs="Times New Roman"/>
                <w:bCs/>
                <w:sz w:val="24"/>
                <w:szCs w:val="24"/>
              </w:rPr>
            </w:pPr>
          </w:p>
          <w:p w14:paraId="1467DC57" w14:textId="77777777" w:rsidR="002354E4" w:rsidRDefault="002354E4" w:rsidP="002354E4">
            <w:pPr>
              <w:spacing w:after="0" w:line="240" w:lineRule="auto"/>
              <w:rPr>
                <w:rFonts w:ascii="Times New Roman" w:hAnsi="Times New Roman" w:cs="Times New Roman"/>
                <w:bCs/>
                <w:sz w:val="24"/>
                <w:szCs w:val="24"/>
              </w:rPr>
            </w:pPr>
          </w:p>
          <w:p w14:paraId="6F7CAFAC" w14:textId="00CB7A81" w:rsidR="002354E4" w:rsidRPr="000F6252" w:rsidRDefault="00F5221A"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Algirdas Kęstutis Rimkus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6FE25ED7" w14:textId="2116051F" w:rsidR="002354E4" w:rsidRDefault="002354E4">
      <w:pPr>
        <w:rPr>
          <w:rFonts w:ascii="Times New Roman" w:hAnsi="Times New Roman" w:cs="Times New Roman"/>
          <w:sz w:val="24"/>
          <w:szCs w:val="24"/>
        </w:rPr>
      </w:pPr>
    </w:p>
    <w:p w14:paraId="7A6381A8" w14:textId="1CA12611" w:rsidR="005F4E81" w:rsidRDefault="005F4E81">
      <w:pPr>
        <w:rPr>
          <w:rFonts w:ascii="Times New Roman" w:hAnsi="Times New Roman" w:cs="Times New Roman"/>
          <w:sz w:val="24"/>
          <w:szCs w:val="24"/>
        </w:rPr>
      </w:pPr>
    </w:p>
    <w:p w14:paraId="6D3E113F" w14:textId="01288B23" w:rsidR="00DC11F9" w:rsidRDefault="00DC11F9">
      <w:pPr>
        <w:rPr>
          <w:rFonts w:ascii="Times New Roman" w:hAnsi="Times New Roman" w:cs="Times New Roman"/>
          <w:sz w:val="24"/>
          <w:szCs w:val="24"/>
        </w:rPr>
      </w:pPr>
    </w:p>
    <w:p w14:paraId="42954E58" w14:textId="77777777" w:rsidR="007D5312" w:rsidRPr="00244E93" w:rsidRDefault="007D5312">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0CD5A82" w14:textId="77777777" w:rsidR="005F4E81" w:rsidRDefault="005F4E81"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781A201C"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5F4E81">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789D83C4"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4DD4EE9D" w14:textId="77777777" w:rsidR="005F4E81" w:rsidRPr="00FF5B0F" w:rsidRDefault="005F4E81"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C064" w14:textId="77777777" w:rsidR="00DD7454" w:rsidRDefault="00DD7454" w:rsidP="005F4E0D">
      <w:pPr>
        <w:spacing w:after="0" w:line="240" w:lineRule="auto"/>
      </w:pPr>
      <w:r>
        <w:separator/>
      </w:r>
    </w:p>
  </w:endnote>
  <w:endnote w:type="continuationSeparator" w:id="0">
    <w:p w14:paraId="7548B1A8" w14:textId="77777777" w:rsidR="00DD7454" w:rsidRDefault="00DD745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EB36B7"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EB36B7"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867DE" w14:textId="77777777" w:rsidR="00DD7454" w:rsidRDefault="00DD7454" w:rsidP="005F4E0D">
      <w:pPr>
        <w:spacing w:after="0" w:line="240" w:lineRule="auto"/>
      </w:pPr>
      <w:r>
        <w:separator/>
      </w:r>
    </w:p>
  </w:footnote>
  <w:footnote w:type="continuationSeparator" w:id="0">
    <w:p w14:paraId="7C7386D8" w14:textId="77777777" w:rsidR="00DD7454" w:rsidRDefault="00DD745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EB36B7"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EB36B7"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2F28A967"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EB36B7">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955DA"/>
    <w:rsid w:val="002A5BA4"/>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A65E3"/>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2683C"/>
    <w:rsid w:val="0056321D"/>
    <w:rsid w:val="005740DD"/>
    <w:rsid w:val="0058026C"/>
    <w:rsid w:val="00583697"/>
    <w:rsid w:val="00583B06"/>
    <w:rsid w:val="005916E5"/>
    <w:rsid w:val="005A0F07"/>
    <w:rsid w:val="005B00BD"/>
    <w:rsid w:val="005B5175"/>
    <w:rsid w:val="005F4E0D"/>
    <w:rsid w:val="005F4E81"/>
    <w:rsid w:val="00612231"/>
    <w:rsid w:val="00616C0D"/>
    <w:rsid w:val="006417A3"/>
    <w:rsid w:val="00651B06"/>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63B7"/>
    <w:rsid w:val="00755E6C"/>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51840"/>
    <w:rsid w:val="00D63FF1"/>
    <w:rsid w:val="00D92D16"/>
    <w:rsid w:val="00DA60D4"/>
    <w:rsid w:val="00DB7318"/>
    <w:rsid w:val="00DC11F9"/>
    <w:rsid w:val="00DC1DC1"/>
    <w:rsid w:val="00DD7454"/>
    <w:rsid w:val="00DF3434"/>
    <w:rsid w:val="00DF55D7"/>
    <w:rsid w:val="00E41F5D"/>
    <w:rsid w:val="00E530A0"/>
    <w:rsid w:val="00E600AE"/>
    <w:rsid w:val="00E73397"/>
    <w:rsid w:val="00E73EE4"/>
    <w:rsid w:val="00E802D4"/>
    <w:rsid w:val="00E87980"/>
    <w:rsid w:val="00EB36B7"/>
    <w:rsid w:val="00EC3BAB"/>
    <w:rsid w:val="00EE69D9"/>
    <w:rsid w:val="00EE790F"/>
    <w:rsid w:val="00EF42A9"/>
    <w:rsid w:val="00EF4442"/>
    <w:rsid w:val="00F27918"/>
    <w:rsid w:val="00F375DC"/>
    <w:rsid w:val="00F4018A"/>
    <w:rsid w:val="00F432AC"/>
    <w:rsid w:val="00F5221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943FC-D3F8-4CC6-B05F-5233066F3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31E78-0B91-4B6E-8C8B-1EEBF188924E}">
  <ds:schemaRefs>
    <ds:schemaRef ds:uri="http://schemas.microsoft.com/sharepoint/v3/contenttype/forms"/>
  </ds:schemaRefs>
</ds:datastoreItem>
</file>

<file path=customXml/itemProps3.xml><?xml version="1.0" encoding="utf-8"?>
<ds:datastoreItem xmlns:ds="http://schemas.openxmlformats.org/officeDocument/2006/customXml" ds:itemID="{B029A603-D299-460E-9002-1B9528BDDEEC}">
  <ds:schemaRef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F7D719D-D8AB-4CBC-BE79-92B2DE85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9922</Words>
  <Characters>5657</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2023-03-06T13:43:00Z</dcterms:created>
  <dcterms:modified xsi:type="dcterms:W3CDTF">2023-03-06T13:43:00Z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