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E05C90" w14:textId="77777777" w:rsidR="008B451E" w:rsidRDefault="008B451E" w:rsidP="00E520D1">
      <w:pPr>
        <w:jc w:val="center"/>
        <w:rPr>
          <w:b/>
        </w:rPr>
      </w:pPr>
    </w:p>
    <w:p w14:paraId="2597B7E4" w14:textId="2C4A34E3" w:rsidR="006A3476" w:rsidRDefault="00E520D1" w:rsidP="00E520D1">
      <w:pPr>
        <w:jc w:val="center"/>
        <w:rPr>
          <w:b/>
        </w:rPr>
      </w:pPr>
      <w:r w:rsidRPr="00EA73AC">
        <w:rPr>
          <w:b/>
        </w:rPr>
        <w:t xml:space="preserve">PREKIŲ </w:t>
      </w:r>
      <w:r w:rsidR="00FD157B">
        <w:rPr>
          <w:b/>
        </w:rPr>
        <w:t xml:space="preserve">VIEŠOJO </w:t>
      </w:r>
      <w:r w:rsidRPr="00EA73AC">
        <w:rPr>
          <w:b/>
        </w:rPr>
        <w:t xml:space="preserve">PIRKIMO-PARDAVIMO </w:t>
      </w:r>
      <w:r w:rsidR="006A3476" w:rsidRPr="006A3476">
        <w:rPr>
          <w:b/>
        </w:rPr>
        <w:t>SUTARTI</w:t>
      </w:r>
      <w:r w:rsidR="00D044BB">
        <w:rPr>
          <w:b/>
        </w:rPr>
        <w:t>S</w:t>
      </w:r>
      <w:r w:rsidR="006A3476" w:rsidRPr="006A3476">
        <w:rPr>
          <w:b/>
        </w:rPr>
        <w:t xml:space="preserve"> </w:t>
      </w:r>
    </w:p>
    <w:p w14:paraId="4A0F2020" w14:textId="77777777" w:rsidR="00E520D1" w:rsidRDefault="00E520D1" w:rsidP="00E520D1">
      <w:pPr>
        <w:rPr>
          <w:sz w:val="22"/>
          <w:szCs w:val="22"/>
        </w:rPr>
      </w:pPr>
    </w:p>
    <w:p w14:paraId="41503A3A" w14:textId="1CD1CD4F" w:rsidR="0046345B" w:rsidRPr="00E040E8" w:rsidRDefault="0046345B" w:rsidP="0046345B">
      <w:pPr>
        <w:ind w:left="2880" w:firstLine="720"/>
        <w:jc w:val="both"/>
      </w:pPr>
      <w:r w:rsidRPr="00E040E8">
        <w:t>20</w:t>
      </w:r>
      <w:r w:rsidR="00D044BB">
        <w:t>23</w:t>
      </w:r>
      <w:r w:rsidR="00A33B8C">
        <w:t xml:space="preserve"> m. </w:t>
      </w:r>
      <w:r w:rsidR="00D654DA">
        <w:t>balandžio 06</w:t>
      </w:r>
      <w:r w:rsidR="00FE0FB5">
        <w:t xml:space="preserve">  </w:t>
      </w:r>
      <w:r w:rsidR="00D26A30">
        <w:t>d.</w:t>
      </w:r>
      <w:r>
        <w:t xml:space="preserve"> Nr.</w:t>
      </w:r>
      <w:r w:rsidR="00D654DA">
        <w:t xml:space="preserve"> DPS-204</w:t>
      </w:r>
    </w:p>
    <w:p w14:paraId="3DD68B4D" w14:textId="432E7F89" w:rsidR="0046345B" w:rsidRPr="00E040E8" w:rsidRDefault="0046345B" w:rsidP="0046345B">
      <w:pPr>
        <w:ind w:left="3600"/>
        <w:jc w:val="both"/>
        <w:rPr>
          <w:i/>
          <w:sz w:val="20"/>
          <w:szCs w:val="20"/>
        </w:rPr>
      </w:pPr>
      <w:r>
        <w:rPr>
          <w:sz w:val="22"/>
          <w:szCs w:val="22"/>
        </w:rPr>
        <w:t xml:space="preserve">         </w:t>
      </w:r>
      <w:r w:rsidR="00D044BB">
        <w:rPr>
          <w:sz w:val="22"/>
          <w:szCs w:val="22"/>
        </w:rPr>
        <w:t xml:space="preserve">          </w:t>
      </w:r>
      <w:r w:rsidR="00D044BB">
        <w:rPr>
          <w:i/>
          <w:sz w:val="20"/>
          <w:szCs w:val="20"/>
        </w:rPr>
        <w:t>Vilnius</w:t>
      </w:r>
    </w:p>
    <w:p w14:paraId="6AAAE6B5" w14:textId="77777777" w:rsidR="000B10FF" w:rsidRDefault="000B10FF" w:rsidP="000B10FF">
      <w:pPr>
        <w:jc w:val="center"/>
        <w:rPr>
          <w:b/>
        </w:rPr>
      </w:pPr>
    </w:p>
    <w:p w14:paraId="39619083" w14:textId="77777777" w:rsidR="000B10FF" w:rsidRPr="00EA73AC" w:rsidRDefault="000B10FF" w:rsidP="000B10FF">
      <w:pPr>
        <w:jc w:val="center"/>
        <w:rPr>
          <w:b/>
        </w:rPr>
      </w:pPr>
      <w:r>
        <w:rPr>
          <w:b/>
        </w:rPr>
        <w:t xml:space="preserve">I. </w:t>
      </w:r>
      <w:r w:rsidRPr="00EA73AC">
        <w:rPr>
          <w:b/>
        </w:rPr>
        <w:t>SPECIALIOJI DALIS</w:t>
      </w:r>
    </w:p>
    <w:p w14:paraId="6EF1B480" w14:textId="77777777" w:rsidR="00E520D1" w:rsidRPr="00EA73AC" w:rsidRDefault="00E520D1" w:rsidP="00E520D1">
      <w:pPr>
        <w:jc w:val="both"/>
        <w:rPr>
          <w:b/>
          <w:sz w:val="22"/>
          <w:szCs w:val="22"/>
        </w:rPr>
      </w:pPr>
    </w:p>
    <w:p w14:paraId="6C9B350F" w14:textId="0B7E04B0" w:rsidR="00A33B8C" w:rsidRPr="00A33B8C" w:rsidRDefault="00A33B8C" w:rsidP="00A33B8C">
      <w:pPr>
        <w:ind w:firstLine="426"/>
        <w:jc w:val="both"/>
      </w:pPr>
      <w:r w:rsidRPr="00A33B8C">
        <w:rPr>
          <w:b/>
        </w:rPr>
        <w:t>Gynybos resursų agentūra prie Krašto apsaugos ministerijos</w:t>
      </w:r>
      <w:r w:rsidRPr="00A33B8C">
        <w:t xml:space="preserve"> (toliau – GRA), atstovaujama GRA </w:t>
      </w:r>
      <w:r w:rsidR="000820B7">
        <w:t xml:space="preserve">                   </w:t>
      </w:r>
      <w:r w:rsidRPr="00A33B8C">
        <w:t xml:space="preserve">, veikiančio pagal GRA nuostatus (toliau – </w:t>
      </w:r>
      <w:r w:rsidRPr="00A33B8C">
        <w:rPr>
          <w:b/>
        </w:rPr>
        <w:t>Pirkėjas</w:t>
      </w:r>
      <w:r w:rsidRPr="00A33B8C">
        <w:t xml:space="preserve">), ir </w:t>
      </w:r>
    </w:p>
    <w:p w14:paraId="194F7185" w14:textId="6AF659F2" w:rsidR="00A33B8C" w:rsidRPr="00A33B8C" w:rsidRDefault="00A33B8C" w:rsidP="00A33B8C">
      <w:pPr>
        <w:ind w:firstLine="426"/>
        <w:jc w:val="both"/>
      </w:pPr>
      <w:r w:rsidRPr="00A33B8C">
        <w:rPr>
          <w:b/>
        </w:rPr>
        <w:t>UAB ,,</w:t>
      </w:r>
      <w:r w:rsidR="001740B1">
        <w:rPr>
          <w:b/>
        </w:rPr>
        <w:t>Samsonas</w:t>
      </w:r>
      <w:r w:rsidRPr="00A33B8C">
        <w:rPr>
          <w:b/>
        </w:rPr>
        <w:t>“</w:t>
      </w:r>
      <w:r w:rsidRPr="00A33B8C">
        <w:t xml:space="preserve">, atstovaujama </w:t>
      </w:r>
      <w:r w:rsidR="001740B1">
        <w:t>generalinio</w:t>
      </w:r>
      <w:r w:rsidR="000820B7">
        <w:t xml:space="preserve">          </w:t>
      </w:r>
      <w:r w:rsidRPr="00A33B8C">
        <w:t xml:space="preserve">, veikiančio pagal </w:t>
      </w:r>
      <w:r>
        <w:t xml:space="preserve">  </w:t>
      </w:r>
      <w:r w:rsidRPr="00A33B8C">
        <w:t xml:space="preserve">bendrovės įstatus (toliau – </w:t>
      </w:r>
      <w:r w:rsidRPr="00A33B8C">
        <w:rPr>
          <w:b/>
        </w:rPr>
        <w:t>Pardavėjas</w:t>
      </w:r>
      <w:r w:rsidRPr="00A33B8C">
        <w:t xml:space="preserve">), </w:t>
      </w:r>
    </w:p>
    <w:p w14:paraId="4A4646B4" w14:textId="77777777" w:rsidR="001E2757" w:rsidRDefault="001E2757" w:rsidP="001E2757">
      <w:pPr>
        <w:jc w:val="both"/>
      </w:pPr>
      <w:r w:rsidRPr="0028680C">
        <w:t xml:space="preserve">toliau kartu šioje prekių </w:t>
      </w:r>
      <w:r>
        <w:t xml:space="preserve">viešojo </w:t>
      </w:r>
      <w:r w:rsidRPr="0028680C">
        <w:t xml:space="preserve">pirkimo-pardavimo sutartyje vadinami „Šalimis“, o kiekvienas atskirai – „Šalimi“, vadovaudamosi </w:t>
      </w:r>
      <w:r w:rsidRPr="0028680C">
        <w:rPr>
          <w:i/>
        </w:rPr>
        <w:t xml:space="preserve">Lietuvos Respublikos viešųjų pirkimų įstatymu </w:t>
      </w:r>
      <w:r w:rsidRPr="00351DA0">
        <w:t>(toliau – V</w:t>
      </w:r>
      <w:r>
        <w:t>iešųjų pirkimų įstatymas</w:t>
      </w:r>
      <w:r w:rsidRPr="00351DA0">
        <w:t>)</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14:paraId="05133698" w14:textId="77777777"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14:paraId="71D8C112"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D221878" w14:textId="77777777" w:rsidR="0051758C" w:rsidRPr="00EB4422" w:rsidRDefault="0051758C">
            <w:pPr>
              <w:jc w:val="both"/>
              <w:rPr>
                <w:b/>
              </w:rPr>
            </w:pPr>
            <w:r w:rsidRPr="00EB4422">
              <w:rPr>
                <w:b/>
              </w:rPr>
              <w:t>1. Sutarties objektas.</w:t>
            </w:r>
          </w:p>
          <w:p w14:paraId="301196BA" w14:textId="657BE5B6" w:rsidR="0051758C" w:rsidRPr="00EB4422" w:rsidRDefault="0051758C">
            <w:pPr>
              <w:jc w:val="both"/>
            </w:pPr>
            <w:r w:rsidRPr="00EB4422">
              <w:t xml:space="preserve">1.1. </w:t>
            </w:r>
            <w:r w:rsidRPr="00F07D92">
              <w:rPr>
                <w:b/>
              </w:rPr>
              <w:t>Pardavėjas</w:t>
            </w:r>
            <w:r w:rsidRPr="00EB4422">
              <w:t xml:space="preserve"> įsipareig</w:t>
            </w:r>
            <w:r w:rsidR="008B451E">
              <w:t>oja parduoti ir pristatyti</w:t>
            </w:r>
            <w:r w:rsidR="00FE0FB5">
              <w:t xml:space="preserve"> </w:t>
            </w:r>
            <w:r w:rsidR="00FE0FB5">
              <w:rPr>
                <w:b/>
              </w:rPr>
              <w:t>k</w:t>
            </w:r>
            <w:r w:rsidR="00FE0FB5" w:rsidRPr="00E72E0E">
              <w:rPr>
                <w:b/>
              </w:rPr>
              <w:t>iaulienos nuopjov</w:t>
            </w:r>
            <w:r w:rsidR="00FE0FB5">
              <w:rPr>
                <w:b/>
              </w:rPr>
              <w:t>a</w:t>
            </w:r>
            <w:r w:rsidR="00FE0FB5" w:rsidRPr="00E72E0E">
              <w:rPr>
                <w:b/>
              </w:rPr>
              <w:t>s</w:t>
            </w:r>
            <w:r w:rsidR="00FE0FB5">
              <w:rPr>
                <w:b/>
              </w:rPr>
              <w:t>, k</w:t>
            </w:r>
            <w:r w:rsidR="00FE0FB5" w:rsidRPr="00E72E0E">
              <w:rPr>
                <w:b/>
              </w:rPr>
              <w:t>iaulienos šonin</w:t>
            </w:r>
            <w:r w:rsidR="00FE0FB5">
              <w:rPr>
                <w:b/>
              </w:rPr>
              <w:t>ę, kiaulienos sprandinę, k</w:t>
            </w:r>
            <w:r w:rsidR="00FE0FB5" w:rsidRPr="00E72E0E">
              <w:rPr>
                <w:b/>
              </w:rPr>
              <w:t xml:space="preserve">alakutienos krūtinėlės </w:t>
            </w:r>
            <w:proofErr w:type="spellStart"/>
            <w:r w:rsidR="00FE0FB5" w:rsidRPr="00E72E0E">
              <w:rPr>
                <w:b/>
              </w:rPr>
              <w:t>fil</w:t>
            </w:r>
            <w:r w:rsidR="00CB05C0">
              <w:rPr>
                <w:b/>
              </w:rPr>
              <w:t>ė</w:t>
            </w:r>
            <w:proofErr w:type="spellEnd"/>
            <w:r w:rsidR="00FE0FB5">
              <w:rPr>
                <w:b/>
              </w:rPr>
              <w:t>, k</w:t>
            </w:r>
            <w:r w:rsidR="00FE0FB5" w:rsidRPr="00E72E0E">
              <w:rPr>
                <w:b/>
              </w:rPr>
              <w:t>arštai rūkyta jautienos nugarin</w:t>
            </w:r>
            <w:r w:rsidR="00FE0FB5">
              <w:rPr>
                <w:b/>
              </w:rPr>
              <w:t>ę, š</w:t>
            </w:r>
            <w:r w:rsidR="00FE0FB5" w:rsidRPr="00E72E0E">
              <w:rPr>
                <w:b/>
              </w:rPr>
              <w:t>altai rūkyt</w:t>
            </w:r>
            <w:r w:rsidR="00FE0FB5">
              <w:rPr>
                <w:b/>
              </w:rPr>
              <w:t>ą</w:t>
            </w:r>
            <w:r w:rsidR="00FE0FB5" w:rsidRPr="00E72E0E">
              <w:rPr>
                <w:b/>
              </w:rPr>
              <w:t xml:space="preserve"> jautienos kump</w:t>
            </w:r>
            <w:r w:rsidR="00FE0FB5">
              <w:rPr>
                <w:b/>
              </w:rPr>
              <w:t>į, v</w:t>
            </w:r>
            <w:r w:rsidR="00FE0FB5" w:rsidRPr="00E72E0E">
              <w:rPr>
                <w:b/>
              </w:rPr>
              <w:t>ytint</w:t>
            </w:r>
            <w:r w:rsidR="00FE0FB5">
              <w:rPr>
                <w:b/>
              </w:rPr>
              <w:t>ą</w:t>
            </w:r>
            <w:r w:rsidR="00FE0FB5" w:rsidRPr="00E72E0E">
              <w:rPr>
                <w:b/>
              </w:rPr>
              <w:t xml:space="preserve"> dešr</w:t>
            </w:r>
            <w:r w:rsidR="00FE0FB5">
              <w:rPr>
                <w:b/>
              </w:rPr>
              <w:t>ą (fasuota po 50 g), j</w:t>
            </w:r>
            <w:r w:rsidR="00FE0FB5" w:rsidRPr="00E72E0E">
              <w:rPr>
                <w:b/>
              </w:rPr>
              <w:t xml:space="preserve">ūrų lydekų </w:t>
            </w:r>
            <w:proofErr w:type="spellStart"/>
            <w:r w:rsidR="00FE0FB5" w:rsidRPr="00E72E0E">
              <w:rPr>
                <w:b/>
              </w:rPr>
              <w:t>fil</w:t>
            </w:r>
            <w:r w:rsidR="00CB05C0">
              <w:rPr>
                <w:b/>
              </w:rPr>
              <w:t>ė</w:t>
            </w:r>
            <w:proofErr w:type="spellEnd"/>
            <w:r w:rsidR="00FE0FB5">
              <w:rPr>
                <w:b/>
              </w:rPr>
              <w:t xml:space="preserve">, </w:t>
            </w:r>
            <w:r w:rsidR="008B451E">
              <w:t xml:space="preserve"> </w:t>
            </w:r>
            <w:r w:rsidR="00FE0FB5">
              <w:rPr>
                <w:b/>
              </w:rPr>
              <w:t>s</w:t>
            </w:r>
            <w:r w:rsidR="00FE0FB5" w:rsidRPr="00E72E0E">
              <w:rPr>
                <w:b/>
              </w:rPr>
              <w:t>ūdyt</w:t>
            </w:r>
            <w:r w:rsidR="00FE0FB5">
              <w:rPr>
                <w:b/>
              </w:rPr>
              <w:t>ą</w:t>
            </w:r>
            <w:r w:rsidR="00FE0FB5" w:rsidRPr="00E72E0E">
              <w:rPr>
                <w:b/>
              </w:rPr>
              <w:t xml:space="preserve"> silkių </w:t>
            </w:r>
            <w:proofErr w:type="spellStart"/>
            <w:r w:rsidR="00FE0FB5" w:rsidRPr="00E72E0E">
              <w:rPr>
                <w:b/>
              </w:rPr>
              <w:t>fil</w:t>
            </w:r>
            <w:r w:rsidR="00CB05C0">
              <w:rPr>
                <w:b/>
              </w:rPr>
              <w:t>ė</w:t>
            </w:r>
            <w:proofErr w:type="spellEnd"/>
            <w:r w:rsidR="00FE0FB5" w:rsidRPr="00E72E0E">
              <w:rPr>
                <w:b/>
              </w:rPr>
              <w:t xml:space="preserve"> (su oda)</w:t>
            </w:r>
            <w:r w:rsidR="00FE0FB5">
              <w:rPr>
                <w:b/>
              </w:rPr>
              <w:t xml:space="preserve">, </w:t>
            </w:r>
            <w:r w:rsidR="00E96286">
              <w:rPr>
                <w:b/>
              </w:rPr>
              <w:t>l</w:t>
            </w:r>
            <w:r w:rsidR="00E96286" w:rsidRPr="00E72E0E">
              <w:rPr>
                <w:b/>
              </w:rPr>
              <w:t xml:space="preserve">ašišų </w:t>
            </w:r>
            <w:proofErr w:type="spellStart"/>
            <w:r w:rsidR="00E96286" w:rsidRPr="00E72E0E">
              <w:rPr>
                <w:b/>
              </w:rPr>
              <w:t>fil</w:t>
            </w:r>
            <w:r w:rsidR="00CB05C0">
              <w:rPr>
                <w:b/>
              </w:rPr>
              <w:t>ė</w:t>
            </w:r>
            <w:proofErr w:type="spellEnd"/>
            <w:r w:rsidR="00E96286" w:rsidRPr="00E72E0E">
              <w:rPr>
                <w:b/>
              </w:rPr>
              <w:t xml:space="preserve"> salotoms</w:t>
            </w:r>
            <w:r w:rsidR="00E96286">
              <w:rPr>
                <w:b/>
              </w:rPr>
              <w:t xml:space="preserve">, </w:t>
            </w:r>
            <w:r w:rsidR="00E96286" w:rsidRPr="00E96286">
              <w:rPr>
                <w:b/>
              </w:rPr>
              <w:t>kiaušinius</w:t>
            </w:r>
            <w:r w:rsidR="00E96286">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pavadinimai, reikalavimai, kiekiai</w:t>
            </w:r>
            <w:r w:rsidR="004A35D5">
              <w:rPr>
                <w:i/>
              </w:rPr>
              <w:t xml:space="preserve"> ir </w:t>
            </w:r>
            <w:r w:rsidR="004538FB" w:rsidRPr="004538FB">
              <w:rPr>
                <w:i/>
              </w:rPr>
              <w:t>įkainiai</w:t>
            </w:r>
            <w:r w:rsidR="004538FB" w:rsidRPr="004538FB">
              <w:t>“ (toliau – 1 priedas).</w:t>
            </w:r>
          </w:p>
          <w:p w14:paraId="2DD01CF6"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23F3D678"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5C778FE9" w14:textId="77777777"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13B22ED" w14:textId="77777777"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2373D12B" w14:textId="77777777" w:rsidR="00C61B59" w:rsidRPr="004D7B17" w:rsidRDefault="00C61B59" w:rsidP="00C61B59">
            <w:pPr>
              <w:jc w:val="both"/>
              <w:rPr>
                <w:b/>
              </w:rPr>
            </w:pPr>
            <w:r w:rsidRPr="004D7B17">
              <w:rPr>
                <w:b/>
              </w:rPr>
              <w:t>2. Sutarties kaina/vertė/prekių įkainiai/kainodaros taisyklės</w:t>
            </w:r>
          </w:p>
          <w:p w14:paraId="2D2C1B64" w14:textId="04F9FF1D"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w:t>
            </w:r>
            <w:r w:rsidR="004D7B17" w:rsidRPr="00F06C80">
              <w:t xml:space="preserve">vertė </w:t>
            </w:r>
            <w:r w:rsidR="00E96286">
              <w:rPr>
                <w:b/>
              </w:rPr>
              <w:t>8 658 915,64</w:t>
            </w:r>
            <w:r w:rsidR="004D7B17" w:rsidRPr="00F06C80">
              <w:rPr>
                <w:b/>
              </w:rPr>
              <w:t xml:space="preserve"> </w:t>
            </w:r>
            <w:proofErr w:type="spellStart"/>
            <w:r w:rsidR="004D7B17" w:rsidRPr="00F06C80">
              <w:rPr>
                <w:b/>
              </w:rPr>
              <w:t>Eur</w:t>
            </w:r>
            <w:proofErr w:type="spellEnd"/>
            <w:r w:rsidR="004D7B17" w:rsidRPr="00F06C80">
              <w:t xml:space="preserve"> (</w:t>
            </w:r>
            <w:r w:rsidR="00E96286">
              <w:t xml:space="preserve">aštuoni milijonai </w:t>
            </w:r>
            <w:r w:rsidR="00F06C80" w:rsidRPr="00F06C80">
              <w:t>šeši</w:t>
            </w:r>
            <w:r w:rsidR="00A33B8C" w:rsidRPr="00F06C80">
              <w:t xml:space="preserve"> šimta</w:t>
            </w:r>
            <w:r w:rsidR="0036234E" w:rsidRPr="00F06C80">
              <w:t xml:space="preserve">i </w:t>
            </w:r>
            <w:r w:rsidR="00E96286">
              <w:t>penki</w:t>
            </w:r>
            <w:r w:rsidR="00F06C80" w:rsidRPr="00F06C80">
              <w:t xml:space="preserve">asdešimt </w:t>
            </w:r>
            <w:r w:rsidR="00E96286">
              <w:t>aštuoni</w:t>
            </w:r>
            <w:r w:rsidR="00F06C80">
              <w:t xml:space="preserve"> </w:t>
            </w:r>
            <w:r w:rsidR="00A33B8C" w:rsidRPr="00A33B8C">
              <w:t>tūkstanči</w:t>
            </w:r>
            <w:r w:rsidR="00F06C80">
              <w:t>ai</w:t>
            </w:r>
            <w:r w:rsidR="00A33B8C" w:rsidRPr="00A33B8C">
              <w:t xml:space="preserve"> </w:t>
            </w:r>
            <w:r w:rsidR="00E96286">
              <w:t xml:space="preserve">devyni šimtai penkiolika </w:t>
            </w:r>
            <w:r w:rsidR="00A33B8C" w:rsidRPr="00A33B8C">
              <w:t xml:space="preserve"> eu</w:t>
            </w:r>
            <w:r w:rsidR="00E96286">
              <w:t>rų</w:t>
            </w:r>
            <w:r w:rsidR="00A33B8C" w:rsidRPr="00A33B8C">
              <w:t xml:space="preserve"> </w:t>
            </w:r>
            <w:r w:rsidR="00E96286">
              <w:t>64</w:t>
            </w:r>
            <w:r w:rsidR="00A33B8C" w:rsidRPr="00A33B8C">
              <w:t xml:space="preserve"> ct</w:t>
            </w:r>
            <w:r w:rsidR="004D7B17" w:rsidRPr="00A33B8C">
              <w:t>)</w:t>
            </w:r>
            <w:r w:rsidR="004D7B17" w:rsidRPr="004D7B17">
              <w:t xml:space="preserve"> su pridėtinės vertės mokesčiu (toliau – PVM)</w:t>
            </w:r>
            <w:r w:rsidR="00496004">
              <w:t>.</w:t>
            </w:r>
          </w:p>
          <w:p w14:paraId="10238AB9" w14:textId="3034530D"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1 (vieno) kg</w:t>
            </w:r>
            <w:r w:rsidR="00F06C80">
              <w:rPr>
                <w:b/>
              </w:rPr>
              <w:t>/</w:t>
            </w:r>
            <w:r w:rsidR="00E96286">
              <w:rPr>
                <w:b/>
              </w:rPr>
              <w:t>vnt.</w:t>
            </w:r>
            <w:r w:rsidR="00312502" w:rsidRPr="004D7B17">
              <w:rPr>
                <w:b/>
              </w:rPr>
              <w:t xml:space="preserve">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3E8D81F2" w14:textId="54E02A07"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14:paraId="59ADFFAD" w14:textId="46FCB98D" w:rsidR="00496004" w:rsidRPr="00496004" w:rsidRDefault="00C61B59" w:rsidP="00496004">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496004">
              <w:t>A</w:t>
            </w:r>
            <w:r w:rsidR="00496004" w:rsidRPr="00496004">
              <w:t>tlikus prekių fiksuotų įkainių peržiūrą pagal Sutarties 4 priede nurodytas kainų peržiūros sąlygas, pradinė sutarties vertė</w:t>
            </w:r>
            <w:r w:rsidR="00496004">
              <w:t>,</w:t>
            </w:r>
            <w:r w:rsidR="00496004" w:rsidRPr="00496004">
              <w:t xml:space="preserve"> </w:t>
            </w:r>
            <w:r w:rsidR="00496004" w:rsidRPr="00F025EE">
              <w:t>pasirašius Susitarimą dėl Sutarties pakeitimo</w:t>
            </w:r>
            <w:r w:rsidR="00496004">
              <w:t>,</w:t>
            </w:r>
            <w:r w:rsidR="00496004" w:rsidRPr="00496004">
              <w:t xml:space="preserve"> nebus tikslinama. </w:t>
            </w:r>
          </w:p>
          <w:p w14:paraId="54DF2FD7" w14:textId="77777777"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w:t>
            </w:r>
            <w:r w:rsidRPr="004D7B17">
              <w:lastRenderedPageBreak/>
              <w:t xml:space="preserve">didesnėmis nei užsakymo dieną </w:t>
            </w:r>
            <w:r w:rsidRPr="004D7B17">
              <w:rPr>
                <w:b/>
              </w:rPr>
              <w:t>Pardavėjo</w:t>
            </w:r>
            <w:r w:rsidRPr="004D7B17">
              <w:t xml:space="preserve"> prekybos vietoje, kataloge ar interneto svetainėje 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14:paraId="02A7FCF8"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24B78D14" w14:textId="77777777" w:rsidR="0051758C" w:rsidRDefault="0051758C">
            <w:pPr>
              <w:rPr>
                <w:b/>
              </w:rPr>
            </w:pPr>
            <w:r w:rsidRPr="00EB4422">
              <w:rPr>
                <w:b/>
              </w:rPr>
              <w:lastRenderedPageBreak/>
              <w:t>3. Prekių pristatymo vieta, terminas ir sąlygos</w:t>
            </w:r>
          </w:p>
          <w:p w14:paraId="30AC0DD6"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539B8EDA" w14:textId="77777777"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14:paraId="11C41F4F" w14:textId="151C28DA" w:rsidR="00C61B59" w:rsidRPr="00064CE6" w:rsidRDefault="00E0236C"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sidRPr="00002017">
              <w:rPr>
                <w:i/>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14:paraId="2BF1D292" w14:textId="77777777"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14:paraId="7727FFB4" w14:textId="77777777"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14:paraId="5489A655" w14:textId="77777777"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14:paraId="3FBEF427" w14:textId="77777777"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14:paraId="1BA95DE1" w14:textId="77777777"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14:paraId="4B832ED2" w14:textId="77777777"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14:paraId="32A05119"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01A05EEF" w14:textId="77777777" w:rsidR="0051758C" w:rsidRDefault="0051758C">
            <w:pPr>
              <w:jc w:val="both"/>
              <w:rPr>
                <w:b/>
              </w:rPr>
            </w:pPr>
            <w:r w:rsidRPr="00EB4422">
              <w:rPr>
                <w:b/>
              </w:rPr>
              <w:t>4. Apmokėjimo tvarka</w:t>
            </w:r>
          </w:p>
          <w:p w14:paraId="0066AA15" w14:textId="77777777"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14:paraId="7D979507" w14:textId="77777777"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14:paraId="3B3D1D78" w14:textId="77777777"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14:paraId="526E919B" w14:textId="77777777"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4B53F104"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6E52047C" w14:textId="77777777"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14:paraId="5B8307AD" w14:textId="77777777"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14:paraId="4CCA50C9" w14:textId="77777777"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14:paraId="088A202A" w14:textId="77777777"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600A960" w14:textId="156F63ED" w:rsidR="00D03DFA" w:rsidRDefault="004D7B17" w:rsidP="00DE462E">
            <w:pPr>
              <w:jc w:val="both"/>
              <w:rPr>
                <w:b/>
              </w:rPr>
            </w:pPr>
            <w:r>
              <w:t>5.2</w:t>
            </w:r>
            <w:r w:rsidR="00A25A50" w:rsidRPr="00F025EE">
              <w:t>. Kitais Sutarties Bendrosios dalies 9.2 papunktyje numatytais pagrindais.</w:t>
            </w:r>
          </w:p>
        </w:tc>
      </w:tr>
      <w:tr w:rsidR="0051758C" w14:paraId="1C49820F" w14:textId="77777777"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14:paraId="76D4B6F4" w14:textId="77777777" w:rsidR="0051758C" w:rsidRPr="00EB4422" w:rsidRDefault="0051758C">
            <w:pPr>
              <w:rPr>
                <w:b/>
              </w:rPr>
            </w:pPr>
            <w:r w:rsidRPr="00EB4422">
              <w:rPr>
                <w:b/>
              </w:rPr>
              <w:t xml:space="preserve">6. Prekių kokybė </w:t>
            </w:r>
          </w:p>
          <w:p w14:paraId="597BB210"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796B00BA" w14:textId="77777777"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907D583" w14:textId="19E56454"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 xml:space="preserve">(vienas) kg/ </w:t>
            </w:r>
            <w:r w:rsidR="00114561">
              <w:t>vnt.</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18B46EFB" w14:textId="77777777" w:rsidR="00B22732" w:rsidRDefault="00C61B59" w:rsidP="00B12A2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p w14:paraId="5C96B278" w14:textId="77777777" w:rsidR="00D03DFA" w:rsidRPr="001E1776" w:rsidRDefault="00D03DFA" w:rsidP="00B12A26">
            <w:pPr>
              <w:jc w:val="both"/>
            </w:pPr>
          </w:p>
        </w:tc>
      </w:tr>
      <w:tr w:rsidR="0051758C" w14:paraId="2311AF3C" w14:textId="77777777"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14:paraId="4B0F3278" w14:textId="77777777" w:rsidR="0051758C" w:rsidRDefault="0051758C">
            <w:pPr>
              <w:jc w:val="both"/>
              <w:rPr>
                <w:b/>
              </w:rPr>
            </w:pPr>
            <w:r>
              <w:rPr>
                <w:b/>
              </w:rPr>
              <w:t>7. Garantiniai įsipareigojimai</w:t>
            </w:r>
          </w:p>
          <w:p w14:paraId="21100834" w14:textId="77777777"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14:paraId="7F1767DD" w14:textId="77777777"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14:paraId="3FF8733C" w14:textId="6D17E249"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4E6853">
              <w:t>/</w:t>
            </w:r>
            <w:r w:rsidR="00E96286">
              <w:t>vnt.</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14:paraId="396998A4" w14:textId="77777777"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14:paraId="2A789D65" w14:textId="77777777"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14:paraId="787C5A99" w14:textId="77777777"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14:paraId="59FF1940" w14:textId="460BC58A" w:rsidR="00B22732" w:rsidRPr="004E6853" w:rsidRDefault="00C646F4" w:rsidP="00E96286">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E96286">
              <w:rPr>
                <w:b/>
              </w:rPr>
              <w:t>500 929,00</w:t>
            </w:r>
            <w:r w:rsidR="004E6853" w:rsidRPr="00F06C80">
              <w:rPr>
                <w:b/>
              </w:rPr>
              <w:t xml:space="preserve"> </w:t>
            </w:r>
            <w:proofErr w:type="spellStart"/>
            <w:r w:rsidR="004E6853" w:rsidRPr="00A33B8C">
              <w:rPr>
                <w:b/>
              </w:rPr>
              <w:t>Eur</w:t>
            </w:r>
            <w:proofErr w:type="spellEnd"/>
            <w:r w:rsidR="00A33B8C">
              <w:rPr>
                <w:b/>
              </w:rPr>
              <w:t xml:space="preserve"> </w:t>
            </w:r>
            <w:r w:rsidR="00A33B8C" w:rsidRPr="0036234E">
              <w:t>(</w:t>
            </w:r>
            <w:r w:rsidR="00E96286">
              <w:t xml:space="preserve">penki šintai </w:t>
            </w:r>
            <w:r w:rsidR="0036234E" w:rsidRPr="0036234E">
              <w:t>tūkstanči</w:t>
            </w:r>
            <w:r w:rsidR="00E96286">
              <w:t>ų</w:t>
            </w:r>
            <w:r w:rsidR="00F06C80">
              <w:t xml:space="preserve"> </w:t>
            </w:r>
            <w:r w:rsidR="00E96286">
              <w:t>devyni</w:t>
            </w:r>
            <w:r w:rsidR="00F06C80">
              <w:t xml:space="preserve"> šimtai </w:t>
            </w:r>
            <w:r w:rsidR="00E96286">
              <w:t>dvidešimt devyni</w:t>
            </w:r>
            <w:r w:rsidR="00F06C80">
              <w:t xml:space="preserve"> eurai </w:t>
            </w:r>
            <w:r w:rsidR="00E96286">
              <w:t>00</w:t>
            </w:r>
            <w:r w:rsidR="00A33B8C" w:rsidRPr="0036234E">
              <w:t xml:space="preserve">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14:paraId="3CB4DC7C" w14:textId="77777777"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14:paraId="703AE9CE" w14:textId="5BB0A8CC" w:rsidR="0051758C" w:rsidRPr="00EB4422" w:rsidRDefault="0051758C">
            <w:pPr>
              <w:jc w:val="both"/>
              <w:rPr>
                <w:b/>
              </w:rPr>
            </w:pPr>
            <w:r w:rsidRPr="00EB4422">
              <w:rPr>
                <w:b/>
              </w:rPr>
              <w:t>9. Kitos sąlygos</w:t>
            </w:r>
          </w:p>
          <w:p w14:paraId="1F2873EE" w14:textId="6F087B40"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w:t>
            </w:r>
            <w:r w:rsidR="00183B03">
              <w:t>,00</w:t>
            </w:r>
            <w:r>
              <w:t xml:space="preserve"> </w:t>
            </w:r>
            <w:proofErr w:type="spellStart"/>
            <w:r>
              <w:t>Eur</w:t>
            </w:r>
            <w:proofErr w:type="spellEnd"/>
            <w:r>
              <w:t xml:space="preserve">, </w:t>
            </w:r>
            <w:r>
              <w:rPr>
                <w:b/>
              </w:rPr>
              <w:t>Pardavėjo</w:t>
            </w:r>
            <w:r>
              <w:t xml:space="preserve"> mokamas minimalių nuostolių dydis yra 30</w:t>
            </w:r>
            <w:r w:rsidR="00183B03">
              <w:t>,00</w:t>
            </w:r>
            <w:r>
              <w:t xml:space="preserve"> </w:t>
            </w:r>
            <w:proofErr w:type="spellStart"/>
            <w:r>
              <w:t>Eur</w:t>
            </w:r>
            <w:proofErr w:type="spellEnd"/>
            <w:r>
              <w:t>.</w:t>
            </w:r>
          </w:p>
          <w:p w14:paraId="6DF4411B" w14:textId="429E0FCD"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E96286">
              <w:rPr>
                <w:b/>
              </w:rPr>
              <w:t>500 929,00</w:t>
            </w:r>
            <w:r w:rsidR="00E96286" w:rsidRPr="00F06C80">
              <w:rPr>
                <w:b/>
              </w:rPr>
              <w:t xml:space="preserve"> </w:t>
            </w:r>
            <w:proofErr w:type="spellStart"/>
            <w:r w:rsidR="00E96286" w:rsidRPr="00A33B8C">
              <w:rPr>
                <w:b/>
              </w:rPr>
              <w:t>Eur</w:t>
            </w:r>
            <w:proofErr w:type="spellEnd"/>
            <w:r w:rsidR="00E96286">
              <w:rPr>
                <w:b/>
              </w:rPr>
              <w:t xml:space="preserve"> </w:t>
            </w:r>
            <w:r w:rsidR="00E96286" w:rsidRPr="0036234E">
              <w:t>(</w:t>
            </w:r>
            <w:r w:rsidR="00E96286">
              <w:t xml:space="preserve">penki šintai </w:t>
            </w:r>
            <w:r w:rsidR="00E96286" w:rsidRPr="0036234E">
              <w:t>tūkstanči</w:t>
            </w:r>
            <w:r w:rsidR="00E96286">
              <w:t>ų devyni šimtai dvidešimt devyni eurai 00</w:t>
            </w:r>
            <w:r w:rsidR="00E96286" w:rsidRPr="0036234E">
              <w:t xml:space="preserve"> ct)</w:t>
            </w:r>
            <w:r w:rsidR="00E96286">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14:paraId="4E72AC3B" w14:textId="43F1D745"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E96286">
              <w:t xml:space="preserve"> 1 073 419,29 </w:t>
            </w:r>
            <w:r w:rsidR="0036234E">
              <w:t>Eur</w:t>
            </w:r>
            <w:r w:rsidR="00F06C80">
              <w:t>ų</w:t>
            </w:r>
            <w:r w:rsidR="0036234E">
              <w:t xml:space="preserve"> (</w:t>
            </w:r>
            <w:r w:rsidR="00E96286">
              <w:t xml:space="preserve">vienas milijonas septyniasdešimt trys </w:t>
            </w:r>
            <w:r w:rsidR="00F06C80">
              <w:t xml:space="preserve">tūkstančiai </w:t>
            </w:r>
            <w:r w:rsidR="00E96286">
              <w:t>keturi</w:t>
            </w:r>
            <w:r w:rsidR="00F06C80">
              <w:t xml:space="preserve"> šimtai </w:t>
            </w:r>
            <w:r w:rsidR="00E96286">
              <w:t>devyniolika</w:t>
            </w:r>
            <w:r w:rsidR="00F06C80">
              <w:t xml:space="preserve"> eur</w:t>
            </w:r>
            <w:r w:rsidR="00E96286">
              <w:t>ų</w:t>
            </w:r>
            <w:r w:rsidR="00F06C80">
              <w:t xml:space="preserve"> </w:t>
            </w:r>
            <w:r w:rsidR="00E96286">
              <w:t>29</w:t>
            </w:r>
            <w:r w:rsidR="00F06C80">
              <w:t xml:space="preserve"> </w:t>
            </w:r>
            <w:r w:rsidR="00A33B8C">
              <w:t>ct</w:t>
            </w:r>
            <w:r w:rsidR="0094717F">
              <w:t>)</w:t>
            </w:r>
            <w:r w:rsidR="00A33B8C">
              <w:t xml:space="preserve"> </w:t>
            </w:r>
            <w:r w:rsidR="004E6853" w:rsidRPr="00AD3525">
              <w:t xml:space="preserve">(15 (penkiolika) procentų </w:t>
            </w:r>
            <w:r w:rsidR="004D7B17" w:rsidRPr="004D7B17">
              <w:t>nuo pradinės Sutarties vertės be PVM, nurodytos Sutarties 2.1 punkte</w:t>
            </w:r>
            <w:r w:rsidR="004E6853" w:rsidRPr="00AD3525">
              <w:t>).</w:t>
            </w:r>
          </w:p>
          <w:p w14:paraId="2046445A" w14:textId="77777777"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14:paraId="42B90045" w14:textId="77777777"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14:paraId="4E4C2D29" w14:textId="294FA5A3"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A33B8C">
              <w:t>.</w:t>
            </w:r>
            <w:r w:rsidR="00D4028D" w:rsidRPr="00A94548">
              <w:t xml:space="preserve"> </w:t>
            </w:r>
          </w:p>
          <w:p w14:paraId="5B6D4C6B" w14:textId="42A3C9E9" w:rsidR="00D4028D" w:rsidRDefault="000A7308" w:rsidP="00D4028D">
            <w:pPr>
              <w:jc w:val="both"/>
            </w:pPr>
            <w:r w:rsidRPr="002A740D">
              <w:t xml:space="preserve">9.7. </w:t>
            </w:r>
            <w:r w:rsidR="00D4028D" w:rsidRPr="004625D0">
              <w:rPr>
                <w:b/>
              </w:rPr>
              <w:t>Pardavėjo</w:t>
            </w:r>
            <w:r w:rsidR="00D4028D" w:rsidRPr="004625D0">
              <w:t xml:space="preserve"> atstovas: už Sutarties vykdymą bei koordinavimą, tiekiamų Prekių kokybę atsakinga</w:t>
            </w:r>
            <w:r w:rsidR="0094717F">
              <w:t xml:space="preserve">: </w:t>
            </w:r>
          </w:p>
          <w:p w14:paraId="295CF71F" w14:textId="7C868589" w:rsidR="004364E9" w:rsidRPr="004364E9" w:rsidRDefault="00A25A50" w:rsidP="004364E9">
            <w:pPr>
              <w:jc w:val="both"/>
              <w:rPr>
                <w:rFonts w:eastAsiaTheme="minorHAnsi"/>
                <w:lang w:eastAsia="en-US"/>
              </w:rPr>
            </w:pPr>
            <w:r>
              <w:t>9.8</w:t>
            </w:r>
            <w:r w:rsidR="00C61B59" w:rsidRPr="004625D0">
              <w:t xml:space="preserve">. </w:t>
            </w:r>
            <w:r w:rsidR="00D4028D" w:rsidRPr="004625D0">
              <w:rPr>
                <w:b/>
              </w:rPr>
              <w:t>Pirkėjo</w:t>
            </w:r>
            <w:r w:rsidR="00D4028D" w:rsidRPr="004625D0">
              <w:t xml:space="preserve"> atstovas: </w:t>
            </w:r>
            <w:r w:rsidR="004364E9" w:rsidRPr="004364E9">
              <w:rPr>
                <w:rFonts w:eastAsiaTheme="minorHAnsi"/>
                <w:lang w:eastAsia="en-US"/>
              </w:rPr>
              <w:t xml:space="preserve">už Sutarties vykdymą atsakinga GRA Atsargų valdymo departamento Maisto ir ūkinių prekių skyriaus </w:t>
            </w:r>
          </w:p>
          <w:p w14:paraId="39CB83A8" w14:textId="4FBDE26A" w:rsidR="00D4028D" w:rsidRDefault="00C61B59" w:rsidP="00D4028D">
            <w:pPr>
              <w:jc w:val="both"/>
              <w:rPr>
                <w:lang w:val="en-US"/>
              </w:rPr>
            </w:pPr>
            <w:r>
              <w:t>9</w:t>
            </w:r>
            <w:r w:rsidR="00A25A50">
              <w:t>.</w:t>
            </w:r>
            <w:r w:rsidR="00183B03">
              <w:t>9</w:t>
            </w:r>
            <w:r>
              <w:t xml:space="preserve">. </w:t>
            </w:r>
            <w:r w:rsidR="00D4028D" w:rsidRPr="002258BA">
              <w:t xml:space="preserve">Asmuo, atsakingas už Sutarties paskelbimą – </w:t>
            </w:r>
            <w:r w:rsidR="00183B03">
              <w:t xml:space="preserve">GRA Antrojo pirkimų skyriaus vyr. specialistė </w:t>
            </w:r>
          </w:p>
          <w:p w14:paraId="4F868A8A" w14:textId="5EB96BBE" w:rsidR="00D4028D" w:rsidRPr="004625D0" w:rsidRDefault="00D4028D" w:rsidP="00D4028D">
            <w:pPr>
              <w:jc w:val="both"/>
            </w:pPr>
            <w:r>
              <w:t>9.1</w:t>
            </w:r>
            <w:r w:rsidR="00183B03">
              <w:t>0</w:t>
            </w:r>
            <w:r w:rsidRPr="004625D0">
              <w:t>. Sutarties priedai:</w:t>
            </w:r>
          </w:p>
          <w:p w14:paraId="777DA70C" w14:textId="7AA8F03A" w:rsidR="00D4028D" w:rsidRPr="00D00536" w:rsidRDefault="00D4028D" w:rsidP="00D4028D">
            <w:pPr>
              <w:jc w:val="both"/>
              <w:rPr>
                <w:rFonts w:eastAsia="Calibri"/>
              </w:rPr>
            </w:pPr>
            <w:r>
              <w:rPr>
                <w:rFonts w:eastAsia="Calibri"/>
              </w:rPr>
              <w:t>9.1</w:t>
            </w:r>
            <w:r w:rsidR="00183B03">
              <w:rPr>
                <w:rFonts w:eastAsia="Calibri"/>
              </w:rPr>
              <w:t>0</w:t>
            </w:r>
            <w:r>
              <w:rPr>
                <w:rFonts w:eastAsia="Calibri"/>
              </w:rPr>
              <w:t xml:space="preserve">.1. </w:t>
            </w:r>
            <w:r w:rsidR="004D7B17">
              <w:rPr>
                <w:rFonts w:eastAsia="Calibri"/>
              </w:rPr>
              <w:t xml:space="preserve">1 </w:t>
            </w:r>
            <w:r w:rsidR="004D7B17" w:rsidRPr="00D00536">
              <w:rPr>
                <w:rFonts w:eastAsia="Calibri"/>
              </w:rPr>
              <w:t>priedas „Prekių pavadinimai, reikalavimai, kiekiai</w:t>
            </w:r>
            <w:r w:rsidR="00750FB3">
              <w:rPr>
                <w:rFonts w:eastAsia="Calibri"/>
              </w:rPr>
              <w:t xml:space="preserve"> ir </w:t>
            </w:r>
            <w:r w:rsidR="004D7B17" w:rsidRPr="00D00536">
              <w:rPr>
                <w:rFonts w:eastAsia="Calibri"/>
              </w:rPr>
              <w:t>įkainiai</w:t>
            </w:r>
            <w:r w:rsidR="004D7B17">
              <w:rPr>
                <w:rFonts w:eastAsia="Calibri"/>
              </w:rPr>
              <w:t>“</w:t>
            </w:r>
            <w:r w:rsidR="004D7B17" w:rsidRPr="00D00536">
              <w:rPr>
                <w:rFonts w:eastAsia="Calibri"/>
              </w:rPr>
              <w:t xml:space="preserve">, </w:t>
            </w:r>
            <w:r w:rsidR="00892774">
              <w:rPr>
                <w:rFonts w:eastAsia="Calibri"/>
              </w:rPr>
              <w:t>3</w:t>
            </w:r>
            <w:r w:rsidR="00E96286">
              <w:rPr>
                <w:rFonts w:eastAsia="Calibri"/>
              </w:rPr>
              <w:t xml:space="preserve"> </w:t>
            </w:r>
            <w:r w:rsidR="004D7B17" w:rsidRPr="00D00536">
              <w:rPr>
                <w:rFonts w:eastAsia="Calibri"/>
              </w:rPr>
              <w:t>lap</w:t>
            </w:r>
            <w:r w:rsidR="004A35D5">
              <w:rPr>
                <w:rFonts w:eastAsia="Calibri"/>
              </w:rPr>
              <w:t>ai</w:t>
            </w:r>
            <w:r w:rsidRPr="00D00536">
              <w:rPr>
                <w:rFonts w:eastAsia="Calibri"/>
              </w:rPr>
              <w:t>;</w:t>
            </w:r>
          </w:p>
          <w:p w14:paraId="2A7E6C2D" w14:textId="10502B8A" w:rsidR="00D4028D" w:rsidRPr="002B2BAD" w:rsidRDefault="00D4028D" w:rsidP="00D4028D">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.2. </w:t>
            </w:r>
            <w:r w:rsidRPr="002B2BAD">
              <w:rPr>
                <w:rFonts w:eastAsia="Calibri"/>
                <w:lang w:eastAsia="en-US"/>
              </w:rPr>
              <w:t>2 priedas „</w:t>
            </w:r>
            <w:r>
              <w:rPr>
                <w:rFonts w:eastAsia="Calibri"/>
                <w:lang w:eastAsia="en-US"/>
              </w:rPr>
              <w:t>Užsakymas</w:t>
            </w:r>
            <w:r w:rsidR="004364E9">
              <w:rPr>
                <w:rFonts w:eastAsia="Calibri"/>
                <w:lang w:eastAsia="en-US"/>
              </w:rPr>
              <w:t xml:space="preserve">“ (forma pildymui), </w:t>
            </w:r>
            <w:r w:rsidR="009F35A0">
              <w:rPr>
                <w:rFonts w:eastAsia="Calibri"/>
                <w:lang w:eastAsia="en-US"/>
              </w:rPr>
              <w:t>1 lapas;</w:t>
            </w:r>
          </w:p>
          <w:p w14:paraId="4F08B4B7" w14:textId="7D0AE179" w:rsidR="00D4028D" w:rsidRPr="002B2BAD" w:rsidRDefault="00D4028D" w:rsidP="00D4028D">
            <w:pPr>
              <w:spacing w:line="276" w:lineRule="auto"/>
              <w:contextualSpacing/>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.3. 3 priedas „Gavėjų adresai“</w:t>
            </w:r>
            <w:r w:rsidR="009F35A0">
              <w:rPr>
                <w:rFonts w:eastAsia="Calibri"/>
                <w:lang w:eastAsia="en-US"/>
              </w:rPr>
              <w:t>, 2 lapai;</w:t>
            </w:r>
          </w:p>
          <w:p w14:paraId="1C09BD6E" w14:textId="268C56DF" w:rsidR="00B22732" w:rsidRPr="00B22732" w:rsidRDefault="00D4028D" w:rsidP="00183B03">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F35A0">
              <w:rPr>
                <w:rFonts w:eastAsia="Calibri"/>
                <w:lang w:eastAsia="en-US"/>
              </w:rPr>
              <w:t>3</w:t>
            </w:r>
            <w:r w:rsidRPr="002B2BAD">
              <w:rPr>
                <w:rFonts w:eastAsia="Calibri"/>
                <w:lang w:eastAsia="en-US"/>
              </w:rPr>
              <w:t xml:space="preserve"> lapai.</w:t>
            </w:r>
          </w:p>
        </w:tc>
      </w:tr>
      <w:tr w:rsidR="0051758C" w14:paraId="1EFB8B9A" w14:textId="77777777" w:rsidTr="0036234E">
        <w:trPr>
          <w:trHeight w:val="1187"/>
        </w:trPr>
        <w:tc>
          <w:tcPr>
            <w:tcW w:w="5000" w:type="pct"/>
            <w:gridSpan w:val="3"/>
            <w:tcBorders>
              <w:top w:val="single" w:sz="4" w:space="0" w:color="auto"/>
              <w:left w:val="single" w:sz="4" w:space="0" w:color="auto"/>
              <w:bottom w:val="single" w:sz="4" w:space="0" w:color="auto"/>
              <w:right w:val="single" w:sz="4" w:space="0" w:color="auto"/>
            </w:tcBorders>
          </w:tcPr>
          <w:p w14:paraId="017B4B61" w14:textId="77777777" w:rsidR="0051758C" w:rsidRPr="00EB4422" w:rsidRDefault="0051758C" w:rsidP="00E86815">
            <w:pPr>
              <w:jc w:val="both"/>
              <w:rPr>
                <w:b/>
              </w:rPr>
            </w:pPr>
            <w:r>
              <w:rPr>
                <w:b/>
              </w:rPr>
              <w:lastRenderedPageBreak/>
              <w:t xml:space="preserve">10. Sutarties galiojimas </w:t>
            </w:r>
          </w:p>
          <w:p w14:paraId="720782E8" w14:textId="77777777"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14:paraId="2535E0BD" w14:textId="77777777" w:rsidR="0051758C" w:rsidRPr="00EB4422" w:rsidRDefault="00C61B59" w:rsidP="00C61B59">
            <w:pPr>
              <w:jc w:val="both"/>
            </w:pPr>
            <w:r w:rsidRPr="00EB4422">
              <w:t xml:space="preserve">10.2. Sutarties pratęsimas </w:t>
            </w:r>
            <w:r>
              <w:t>– nenumatytas.</w:t>
            </w:r>
          </w:p>
        </w:tc>
      </w:tr>
      <w:tr w:rsidR="0051758C" w14:paraId="5CEF5B59" w14:textId="77777777"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403218D4" w14:textId="44C3AD4C" w:rsidR="00B22732" w:rsidRDefault="00B22732" w:rsidP="00B22732">
            <w:pPr>
              <w:rPr>
                <w:b/>
              </w:rPr>
            </w:pPr>
          </w:p>
        </w:tc>
      </w:tr>
      <w:tr w:rsidR="003D3BB4" w14:paraId="4318D20B" w14:textId="77777777"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DC53F43" w14:textId="21DC1879" w:rsidR="0049440F" w:rsidRPr="002606B2" w:rsidRDefault="0049440F" w:rsidP="004866C6">
            <w:pPr>
              <w:rPr>
                <w:rFonts w:eastAsia="Calibri"/>
                <w:lang w:eastAsia="en-US"/>
              </w:rPr>
            </w:pPr>
          </w:p>
        </w:tc>
      </w:tr>
      <w:tr w:rsidR="00E655B8" w14:paraId="14916AEF" w14:textId="77777777"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14:paraId="795387E6" w14:textId="13A3A7F6" w:rsidR="00E655B8" w:rsidRDefault="00E655B8" w:rsidP="00B22732">
            <w:pPr>
              <w:rPr>
                <w:b/>
              </w:rPr>
            </w:pPr>
          </w:p>
        </w:tc>
      </w:tr>
      <w:tr w:rsidR="003D3BB4" w:rsidRPr="003802E8" w14:paraId="277CE5F2" w14:textId="77777777"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14:paraId="29C0075A"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14:paraId="46E6C7D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14:paraId="1E8D22CD" w14:textId="77777777" w:rsidR="003D3BB4" w:rsidRPr="003802E8" w:rsidRDefault="003D3BB4" w:rsidP="00264C29">
            <w:pPr>
              <w:pStyle w:val="BodyText1"/>
              <w:ind w:firstLine="0"/>
              <w:rPr>
                <w:rFonts w:ascii="Times New Roman" w:eastAsia="Times New Roman" w:hAnsi="Times New Roman"/>
                <w:b/>
                <w:lang w:val="lt-LT" w:eastAsia="en-US"/>
              </w:rPr>
            </w:pPr>
          </w:p>
        </w:tc>
      </w:tr>
    </w:tbl>
    <w:p w14:paraId="7D8E35B9" w14:textId="77777777" w:rsidR="0049440F" w:rsidRDefault="003D3BB4" w:rsidP="003D3BB4">
      <w:r>
        <w:tab/>
      </w:r>
    </w:p>
    <w:p w14:paraId="6BF695EB" w14:textId="77777777" w:rsidR="0049440F" w:rsidRDefault="0049440F" w:rsidP="0049440F">
      <w:r>
        <w:tab/>
      </w:r>
      <w:r>
        <w:tab/>
      </w:r>
      <w:r>
        <w:tab/>
      </w:r>
    </w:p>
    <w:p w14:paraId="6DE25353" w14:textId="77777777" w:rsidR="003D3BB4" w:rsidRDefault="003D3BB4" w:rsidP="003D3BB4">
      <w:r>
        <w:tab/>
      </w:r>
      <w:r>
        <w:tab/>
      </w:r>
      <w:r>
        <w:tab/>
      </w:r>
    </w:p>
    <w:tbl>
      <w:tblPr>
        <w:tblW w:w="0" w:type="auto"/>
        <w:tblInd w:w="-252" w:type="dxa"/>
        <w:tblLook w:val="04A0" w:firstRow="1" w:lastRow="0" w:firstColumn="1" w:lastColumn="0" w:noHBand="0" w:noVBand="1"/>
      </w:tblPr>
      <w:tblGrid>
        <w:gridCol w:w="4182"/>
        <w:gridCol w:w="945"/>
        <w:gridCol w:w="4339"/>
      </w:tblGrid>
      <w:tr w:rsidR="0094717F" w:rsidRPr="0094717F" w14:paraId="6C85491C" w14:textId="77777777" w:rsidTr="000304FF">
        <w:tc>
          <w:tcPr>
            <w:tcW w:w="4361" w:type="dxa"/>
            <w:shd w:val="clear" w:color="auto" w:fill="auto"/>
          </w:tcPr>
          <w:p w14:paraId="03E0CC4A" w14:textId="77777777" w:rsidR="0094717F" w:rsidRPr="0094717F" w:rsidRDefault="0094717F" w:rsidP="0094717F">
            <w:pPr>
              <w:suppressAutoHyphens/>
              <w:jc w:val="both"/>
              <w:rPr>
                <w:b/>
                <w:lang w:eastAsia="en-US"/>
              </w:rPr>
            </w:pPr>
            <w:r w:rsidRPr="0094717F">
              <w:rPr>
                <w:b/>
                <w:lang w:eastAsia="en-US"/>
              </w:rPr>
              <w:t>PIRKĖJAS</w:t>
            </w:r>
          </w:p>
        </w:tc>
        <w:tc>
          <w:tcPr>
            <w:tcW w:w="992" w:type="dxa"/>
            <w:shd w:val="clear" w:color="auto" w:fill="auto"/>
          </w:tcPr>
          <w:p w14:paraId="6209EFF3" w14:textId="77777777" w:rsidR="0094717F" w:rsidRPr="0094717F" w:rsidRDefault="0094717F" w:rsidP="0094717F">
            <w:pPr>
              <w:suppressAutoHyphens/>
              <w:jc w:val="both"/>
              <w:rPr>
                <w:b/>
                <w:lang w:eastAsia="en-US"/>
              </w:rPr>
            </w:pPr>
          </w:p>
        </w:tc>
        <w:tc>
          <w:tcPr>
            <w:tcW w:w="4501" w:type="dxa"/>
            <w:shd w:val="clear" w:color="auto" w:fill="auto"/>
          </w:tcPr>
          <w:p w14:paraId="3247188B" w14:textId="77777777" w:rsidR="0094717F" w:rsidRPr="0094717F" w:rsidRDefault="0094717F" w:rsidP="0094717F">
            <w:pPr>
              <w:suppressAutoHyphens/>
              <w:jc w:val="both"/>
              <w:rPr>
                <w:b/>
                <w:lang w:eastAsia="en-US"/>
              </w:rPr>
            </w:pPr>
            <w:r w:rsidRPr="0094717F">
              <w:rPr>
                <w:b/>
                <w:lang w:eastAsia="en-US"/>
              </w:rPr>
              <w:t>PARDAVĖJAS</w:t>
            </w:r>
          </w:p>
        </w:tc>
      </w:tr>
      <w:tr w:rsidR="0094717F" w:rsidRPr="0094717F" w14:paraId="59112A68" w14:textId="77777777" w:rsidTr="000304FF">
        <w:tc>
          <w:tcPr>
            <w:tcW w:w="4361" w:type="dxa"/>
            <w:shd w:val="clear" w:color="auto" w:fill="auto"/>
          </w:tcPr>
          <w:p w14:paraId="5052B55A" w14:textId="77777777" w:rsidR="0094717F" w:rsidRPr="0094717F" w:rsidRDefault="0094717F" w:rsidP="0094717F">
            <w:pPr>
              <w:suppressAutoHyphens/>
              <w:jc w:val="both"/>
              <w:rPr>
                <w:rFonts w:eastAsia="Arial"/>
                <w:b/>
                <w:lang w:val="en-GB" w:eastAsia="ar-SA"/>
              </w:rPr>
            </w:pPr>
          </w:p>
          <w:p w14:paraId="1004130B" w14:textId="77777777" w:rsidR="0094717F" w:rsidRPr="0094717F" w:rsidRDefault="0094717F" w:rsidP="0094717F">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992" w:type="dxa"/>
            <w:shd w:val="clear" w:color="auto" w:fill="auto"/>
          </w:tcPr>
          <w:p w14:paraId="075B3C34" w14:textId="77777777" w:rsidR="0094717F" w:rsidRPr="0094717F" w:rsidRDefault="0094717F" w:rsidP="0094717F">
            <w:pPr>
              <w:suppressAutoHyphens/>
              <w:jc w:val="both"/>
              <w:rPr>
                <w:b/>
                <w:lang w:eastAsia="en-US"/>
              </w:rPr>
            </w:pPr>
          </w:p>
        </w:tc>
        <w:tc>
          <w:tcPr>
            <w:tcW w:w="4501" w:type="dxa"/>
            <w:shd w:val="clear" w:color="auto" w:fill="auto"/>
          </w:tcPr>
          <w:p w14:paraId="52215B00" w14:textId="77777777" w:rsidR="0094717F" w:rsidRPr="0094717F" w:rsidRDefault="0094717F" w:rsidP="0094717F">
            <w:pPr>
              <w:rPr>
                <w:b/>
              </w:rPr>
            </w:pPr>
          </w:p>
          <w:p w14:paraId="64ACED1C" w14:textId="74FBDDBF" w:rsidR="0094717F" w:rsidRPr="0094717F" w:rsidRDefault="0094717F" w:rsidP="001740B1">
            <w:pPr>
              <w:rPr>
                <w:b/>
                <w:lang w:eastAsia="en-US"/>
              </w:rPr>
            </w:pPr>
            <w:r w:rsidRPr="0094717F">
              <w:rPr>
                <w:b/>
              </w:rPr>
              <w:t>UAB ,,</w:t>
            </w:r>
            <w:r w:rsidR="001740B1">
              <w:rPr>
                <w:b/>
              </w:rPr>
              <w:t>Samsonas</w:t>
            </w:r>
            <w:r w:rsidRPr="0094717F">
              <w:rPr>
                <w:b/>
              </w:rPr>
              <w:t>“</w:t>
            </w:r>
            <w:r w:rsidRPr="0094717F">
              <w:rPr>
                <w:b/>
                <w:lang w:eastAsia="en-US"/>
              </w:rPr>
              <w:t xml:space="preserve"> </w:t>
            </w:r>
          </w:p>
        </w:tc>
      </w:tr>
      <w:tr w:rsidR="0094717F" w:rsidRPr="0094717F" w14:paraId="045464B9" w14:textId="77777777" w:rsidTr="000304FF">
        <w:tc>
          <w:tcPr>
            <w:tcW w:w="4361" w:type="dxa"/>
            <w:shd w:val="clear" w:color="auto" w:fill="auto"/>
          </w:tcPr>
          <w:p w14:paraId="0294AC74" w14:textId="2085BB79" w:rsidR="0094717F" w:rsidRPr="0094717F" w:rsidRDefault="0094717F" w:rsidP="0094717F">
            <w:pPr>
              <w:suppressAutoHyphens/>
              <w:jc w:val="both"/>
              <w:rPr>
                <w:b/>
                <w:lang w:eastAsia="en-US"/>
              </w:rPr>
            </w:pPr>
          </w:p>
        </w:tc>
        <w:tc>
          <w:tcPr>
            <w:tcW w:w="992" w:type="dxa"/>
            <w:shd w:val="clear" w:color="auto" w:fill="auto"/>
          </w:tcPr>
          <w:p w14:paraId="1CA89B5C" w14:textId="77777777" w:rsidR="0094717F" w:rsidRPr="0094717F" w:rsidRDefault="0094717F" w:rsidP="0094717F">
            <w:pPr>
              <w:suppressAutoHyphens/>
              <w:jc w:val="both"/>
              <w:rPr>
                <w:b/>
                <w:lang w:eastAsia="en-US"/>
              </w:rPr>
            </w:pPr>
          </w:p>
        </w:tc>
        <w:tc>
          <w:tcPr>
            <w:tcW w:w="4501" w:type="dxa"/>
            <w:shd w:val="clear" w:color="auto" w:fill="auto"/>
          </w:tcPr>
          <w:p w14:paraId="0B5CDB44" w14:textId="77777777" w:rsidR="0094717F" w:rsidRPr="0094717F" w:rsidRDefault="0094717F" w:rsidP="0094717F">
            <w:pPr>
              <w:suppressAutoHyphens/>
              <w:jc w:val="both"/>
              <w:rPr>
                <w:b/>
                <w:lang w:eastAsia="en-US"/>
              </w:rPr>
            </w:pPr>
          </w:p>
        </w:tc>
      </w:tr>
      <w:tr w:rsidR="0094717F" w:rsidRPr="0094717F" w14:paraId="711B7B09" w14:textId="77777777" w:rsidTr="000304FF">
        <w:tc>
          <w:tcPr>
            <w:tcW w:w="4361" w:type="dxa"/>
            <w:shd w:val="clear" w:color="auto" w:fill="auto"/>
          </w:tcPr>
          <w:p w14:paraId="34A8B658" w14:textId="56B4F1AE" w:rsidR="0094717F" w:rsidRPr="0094717F" w:rsidRDefault="0094717F" w:rsidP="0094717F">
            <w:pPr>
              <w:suppressAutoHyphens/>
              <w:jc w:val="both"/>
              <w:rPr>
                <w:lang w:eastAsia="en-US"/>
              </w:rPr>
            </w:pPr>
          </w:p>
        </w:tc>
        <w:tc>
          <w:tcPr>
            <w:tcW w:w="992" w:type="dxa"/>
            <w:shd w:val="clear" w:color="auto" w:fill="auto"/>
          </w:tcPr>
          <w:p w14:paraId="47681D18" w14:textId="77777777" w:rsidR="0094717F" w:rsidRPr="0094717F" w:rsidRDefault="0094717F" w:rsidP="0094717F">
            <w:pPr>
              <w:suppressAutoHyphens/>
              <w:jc w:val="both"/>
              <w:rPr>
                <w:lang w:eastAsia="en-US"/>
              </w:rPr>
            </w:pPr>
          </w:p>
        </w:tc>
        <w:tc>
          <w:tcPr>
            <w:tcW w:w="4501" w:type="dxa"/>
            <w:shd w:val="clear" w:color="auto" w:fill="auto"/>
          </w:tcPr>
          <w:p w14:paraId="0030F45E" w14:textId="4575E3E7" w:rsidR="0094717F" w:rsidRPr="0094717F" w:rsidRDefault="0094717F" w:rsidP="001740B1">
            <w:pPr>
              <w:suppressAutoHyphens/>
              <w:jc w:val="both"/>
              <w:rPr>
                <w:lang w:eastAsia="en-US"/>
              </w:rPr>
            </w:pPr>
          </w:p>
        </w:tc>
      </w:tr>
      <w:tr w:rsidR="0094717F" w:rsidRPr="0094717F" w14:paraId="4A609A45" w14:textId="77777777" w:rsidTr="000304FF">
        <w:tc>
          <w:tcPr>
            <w:tcW w:w="4361" w:type="dxa"/>
            <w:shd w:val="clear" w:color="auto" w:fill="auto"/>
          </w:tcPr>
          <w:p w14:paraId="464BEDA6" w14:textId="77777777" w:rsidR="0094717F" w:rsidRPr="0094717F" w:rsidRDefault="0094717F" w:rsidP="0094717F">
            <w:pPr>
              <w:suppressAutoHyphens/>
              <w:jc w:val="both"/>
              <w:rPr>
                <w:lang w:eastAsia="en-US"/>
              </w:rPr>
            </w:pPr>
          </w:p>
        </w:tc>
        <w:tc>
          <w:tcPr>
            <w:tcW w:w="992" w:type="dxa"/>
            <w:shd w:val="clear" w:color="auto" w:fill="auto"/>
          </w:tcPr>
          <w:p w14:paraId="69E8D863" w14:textId="77777777" w:rsidR="0094717F" w:rsidRPr="0094717F" w:rsidRDefault="0094717F" w:rsidP="0094717F">
            <w:pPr>
              <w:suppressAutoHyphens/>
              <w:jc w:val="both"/>
              <w:rPr>
                <w:lang w:eastAsia="en-US"/>
              </w:rPr>
            </w:pPr>
          </w:p>
        </w:tc>
        <w:tc>
          <w:tcPr>
            <w:tcW w:w="4501" w:type="dxa"/>
            <w:shd w:val="clear" w:color="auto" w:fill="auto"/>
          </w:tcPr>
          <w:p w14:paraId="24C23B10" w14:textId="77777777" w:rsidR="0094717F" w:rsidRPr="0094717F" w:rsidRDefault="0094717F" w:rsidP="0094717F">
            <w:pPr>
              <w:suppressAutoHyphens/>
              <w:jc w:val="both"/>
              <w:rPr>
                <w:lang w:eastAsia="en-US"/>
              </w:rPr>
            </w:pPr>
          </w:p>
        </w:tc>
      </w:tr>
      <w:tr w:rsidR="0094717F" w:rsidRPr="0094717F" w14:paraId="0506218C" w14:textId="77777777" w:rsidTr="000304FF">
        <w:tc>
          <w:tcPr>
            <w:tcW w:w="4361" w:type="dxa"/>
            <w:shd w:val="clear" w:color="auto" w:fill="auto"/>
          </w:tcPr>
          <w:p w14:paraId="770B3183" w14:textId="77777777" w:rsidR="0094717F" w:rsidRPr="0094717F" w:rsidRDefault="0094717F" w:rsidP="0094717F">
            <w:pPr>
              <w:suppressAutoHyphens/>
              <w:jc w:val="both"/>
              <w:rPr>
                <w:lang w:eastAsia="en-US"/>
              </w:rPr>
            </w:pPr>
          </w:p>
        </w:tc>
        <w:tc>
          <w:tcPr>
            <w:tcW w:w="992" w:type="dxa"/>
            <w:shd w:val="clear" w:color="auto" w:fill="auto"/>
          </w:tcPr>
          <w:p w14:paraId="037776BD" w14:textId="77777777" w:rsidR="0094717F" w:rsidRPr="0094717F" w:rsidRDefault="0094717F" w:rsidP="0094717F">
            <w:pPr>
              <w:suppressAutoHyphens/>
              <w:jc w:val="both"/>
              <w:rPr>
                <w:lang w:eastAsia="en-US"/>
              </w:rPr>
            </w:pPr>
          </w:p>
        </w:tc>
        <w:tc>
          <w:tcPr>
            <w:tcW w:w="4501" w:type="dxa"/>
            <w:shd w:val="clear" w:color="auto" w:fill="auto"/>
          </w:tcPr>
          <w:p w14:paraId="1912E5C9" w14:textId="77777777" w:rsidR="0094717F" w:rsidRPr="0094717F" w:rsidRDefault="0094717F" w:rsidP="0094717F">
            <w:pPr>
              <w:suppressAutoHyphens/>
              <w:jc w:val="both"/>
              <w:rPr>
                <w:lang w:eastAsia="en-US"/>
              </w:rPr>
            </w:pPr>
          </w:p>
        </w:tc>
      </w:tr>
      <w:tr w:rsidR="0094717F" w:rsidRPr="0094717F" w14:paraId="1EF69D5A" w14:textId="77777777" w:rsidTr="000304FF">
        <w:tc>
          <w:tcPr>
            <w:tcW w:w="4361" w:type="dxa"/>
            <w:shd w:val="clear" w:color="auto" w:fill="auto"/>
          </w:tcPr>
          <w:p w14:paraId="57419CF3" w14:textId="37A15EEE" w:rsidR="0094717F" w:rsidRPr="0094717F" w:rsidRDefault="0094717F" w:rsidP="0094717F">
            <w:pPr>
              <w:suppressAutoHyphens/>
              <w:jc w:val="both"/>
              <w:rPr>
                <w:lang w:eastAsia="en-US"/>
              </w:rPr>
            </w:pPr>
          </w:p>
        </w:tc>
        <w:tc>
          <w:tcPr>
            <w:tcW w:w="992" w:type="dxa"/>
            <w:shd w:val="clear" w:color="auto" w:fill="auto"/>
          </w:tcPr>
          <w:p w14:paraId="0B2EECC0" w14:textId="77777777" w:rsidR="0094717F" w:rsidRPr="0094717F" w:rsidRDefault="0094717F" w:rsidP="0094717F">
            <w:pPr>
              <w:suppressAutoHyphens/>
              <w:jc w:val="both"/>
              <w:rPr>
                <w:lang w:eastAsia="en-US"/>
              </w:rPr>
            </w:pPr>
          </w:p>
        </w:tc>
        <w:tc>
          <w:tcPr>
            <w:tcW w:w="4501" w:type="dxa"/>
            <w:shd w:val="clear" w:color="auto" w:fill="auto"/>
          </w:tcPr>
          <w:p w14:paraId="223D2664" w14:textId="76A8751A" w:rsidR="0094717F" w:rsidRPr="0094717F" w:rsidRDefault="0094717F" w:rsidP="0094717F">
            <w:pPr>
              <w:suppressAutoHyphens/>
              <w:jc w:val="both"/>
              <w:rPr>
                <w:lang w:eastAsia="en-US"/>
              </w:rPr>
            </w:pPr>
          </w:p>
        </w:tc>
      </w:tr>
      <w:tr w:rsidR="0094717F" w:rsidRPr="0094717F" w14:paraId="6B76D3F7" w14:textId="77777777" w:rsidTr="000304FF">
        <w:tc>
          <w:tcPr>
            <w:tcW w:w="4361" w:type="dxa"/>
            <w:shd w:val="clear" w:color="auto" w:fill="auto"/>
          </w:tcPr>
          <w:p w14:paraId="75FF430F" w14:textId="77777777" w:rsidR="0094717F" w:rsidRPr="0094717F" w:rsidRDefault="0094717F" w:rsidP="0094717F">
            <w:pPr>
              <w:suppressAutoHyphens/>
              <w:jc w:val="both"/>
              <w:rPr>
                <w:lang w:eastAsia="en-US"/>
              </w:rPr>
            </w:pPr>
          </w:p>
        </w:tc>
        <w:tc>
          <w:tcPr>
            <w:tcW w:w="992" w:type="dxa"/>
            <w:shd w:val="clear" w:color="auto" w:fill="auto"/>
          </w:tcPr>
          <w:p w14:paraId="5CBC8D95" w14:textId="77777777" w:rsidR="0094717F" w:rsidRPr="0094717F" w:rsidRDefault="0094717F" w:rsidP="0094717F">
            <w:pPr>
              <w:suppressAutoHyphens/>
              <w:jc w:val="both"/>
              <w:rPr>
                <w:lang w:eastAsia="en-US"/>
              </w:rPr>
            </w:pPr>
          </w:p>
        </w:tc>
        <w:tc>
          <w:tcPr>
            <w:tcW w:w="4501" w:type="dxa"/>
            <w:shd w:val="clear" w:color="auto" w:fill="auto"/>
          </w:tcPr>
          <w:p w14:paraId="48908623" w14:textId="77777777" w:rsidR="0094717F" w:rsidRPr="0094717F" w:rsidRDefault="0094717F" w:rsidP="0094717F">
            <w:pPr>
              <w:suppressAutoHyphens/>
              <w:jc w:val="both"/>
              <w:rPr>
                <w:lang w:eastAsia="en-US"/>
              </w:rPr>
            </w:pPr>
          </w:p>
        </w:tc>
      </w:tr>
      <w:tr w:rsidR="0094717F" w:rsidRPr="0094717F" w14:paraId="1FAC8B92" w14:textId="77777777" w:rsidTr="000304FF">
        <w:tc>
          <w:tcPr>
            <w:tcW w:w="4361" w:type="dxa"/>
            <w:shd w:val="clear" w:color="auto" w:fill="auto"/>
          </w:tcPr>
          <w:p w14:paraId="48AE901C" w14:textId="11A8FF22" w:rsidR="0094717F" w:rsidRPr="0094717F" w:rsidRDefault="0094717F" w:rsidP="0094717F">
            <w:pPr>
              <w:suppressAutoHyphens/>
              <w:jc w:val="both"/>
              <w:rPr>
                <w:lang w:eastAsia="en-US"/>
              </w:rPr>
            </w:pPr>
          </w:p>
        </w:tc>
        <w:tc>
          <w:tcPr>
            <w:tcW w:w="992" w:type="dxa"/>
            <w:shd w:val="clear" w:color="auto" w:fill="auto"/>
          </w:tcPr>
          <w:p w14:paraId="6BDB52DE" w14:textId="77777777" w:rsidR="0094717F" w:rsidRPr="0094717F" w:rsidRDefault="0094717F" w:rsidP="0094717F">
            <w:pPr>
              <w:suppressAutoHyphens/>
              <w:jc w:val="both"/>
              <w:rPr>
                <w:lang w:eastAsia="en-US"/>
              </w:rPr>
            </w:pPr>
          </w:p>
        </w:tc>
        <w:tc>
          <w:tcPr>
            <w:tcW w:w="4501" w:type="dxa"/>
            <w:shd w:val="clear" w:color="auto" w:fill="auto"/>
          </w:tcPr>
          <w:p w14:paraId="5807008A" w14:textId="397326EC" w:rsidR="0094717F" w:rsidRPr="0094717F" w:rsidRDefault="0094717F" w:rsidP="0094717F">
            <w:pPr>
              <w:suppressAutoHyphens/>
              <w:jc w:val="both"/>
              <w:rPr>
                <w:lang w:eastAsia="en-US"/>
              </w:rPr>
            </w:pPr>
          </w:p>
        </w:tc>
      </w:tr>
    </w:tbl>
    <w:p w14:paraId="1EA39A34" w14:textId="77777777" w:rsidR="00593E93" w:rsidRPr="00010D70" w:rsidRDefault="00942961" w:rsidP="00942961">
      <w:pPr>
        <w:jc w:val="center"/>
        <w:rPr>
          <w:b/>
        </w:rPr>
      </w:pPr>
      <w:r>
        <w:br w:type="page"/>
      </w:r>
      <w:r w:rsidR="004B4FFE" w:rsidRPr="00010D70">
        <w:rPr>
          <w:b/>
        </w:rPr>
        <w:lastRenderedPageBreak/>
        <w:t>PREKIŲ PIRKIMO-PARDAVIMO SUTARTIS</w:t>
      </w:r>
    </w:p>
    <w:p w14:paraId="055F8AE5" w14:textId="77777777" w:rsidR="00EB04AE" w:rsidRDefault="005C316B" w:rsidP="00EB04AE">
      <w:pPr>
        <w:jc w:val="center"/>
        <w:rPr>
          <w:b/>
        </w:rPr>
      </w:pPr>
      <w:r>
        <w:rPr>
          <w:b/>
        </w:rPr>
        <w:t xml:space="preserve">II. </w:t>
      </w:r>
      <w:r w:rsidR="00EB04AE" w:rsidRPr="00010D70">
        <w:rPr>
          <w:b/>
        </w:rPr>
        <w:t>BENDROJI DALIS</w:t>
      </w:r>
    </w:p>
    <w:p w14:paraId="3D602A0A" w14:textId="77777777" w:rsidR="003B1F71" w:rsidRDefault="003B1F71" w:rsidP="00EB04AE">
      <w:pPr>
        <w:jc w:val="center"/>
        <w:rPr>
          <w:b/>
        </w:rPr>
      </w:pPr>
    </w:p>
    <w:p w14:paraId="2D3999FA" w14:textId="77777777" w:rsidR="003B1F71" w:rsidRDefault="003B1F71" w:rsidP="003B1F71">
      <w:pPr>
        <w:rPr>
          <w:sz w:val="22"/>
          <w:szCs w:val="22"/>
        </w:rPr>
      </w:pPr>
    </w:p>
    <w:p w14:paraId="15D4C538" w14:textId="77777777" w:rsidR="0055239D" w:rsidRPr="00010D70" w:rsidRDefault="0055239D" w:rsidP="0055239D">
      <w:pPr>
        <w:jc w:val="both"/>
        <w:rPr>
          <w:b/>
        </w:rPr>
      </w:pPr>
      <w:r w:rsidRPr="00010D70">
        <w:rPr>
          <w:b/>
        </w:rPr>
        <w:t>1.</w:t>
      </w:r>
      <w:r w:rsidRPr="00010D70">
        <w:t xml:space="preserve"> </w:t>
      </w:r>
      <w:r w:rsidRPr="00010D70">
        <w:rPr>
          <w:b/>
        </w:rPr>
        <w:t>Sąvokos</w:t>
      </w:r>
    </w:p>
    <w:p w14:paraId="1E9EAE11" w14:textId="77777777" w:rsidR="00EB04AE" w:rsidRPr="00010D70" w:rsidRDefault="0055239D" w:rsidP="00EB04AE">
      <w:pPr>
        <w:jc w:val="both"/>
      </w:pPr>
      <w:r w:rsidRPr="00010D70">
        <w:t xml:space="preserve">1.1. Šioje </w:t>
      </w:r>
      <w:r w:rsidR="004F0D9E">
        <w:t>S</w:t>
      </w:r>
      <w:r w:rsidRPr="00010D70">
        <w:t>utartyje naudojamos pagrindinės sąvokos:</w:t>
      </w:r>
    </w:p>
    <w:p w14:paraId="488888E8"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14:paraId="38F9181B" w14:textId="77777777"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14:paraId="471E85E5" w14:textId="77777777"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14:paraId="790383F8" w14:textId="77777777"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14:paraId="16EAC2DF" w14:textId="77777777"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14:paraId="4742AF91" w14:textId="77777777"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14:paraId="64561D3F" w14:textId="77777777"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14:paraId="56ACF65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14:paraId="44735C7E"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14:paraId="18B03567"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14:paraId="3AFD6BE9" w14:textId="77777777"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14:paraId="2721AC07" w14:textId="77777777"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14:paraId="51D14EFA"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65CF9CC4"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68BE0423"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5CB192FF"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3612A23"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619A50F6"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7820DBCF" w14:textId="77777777" w:rsidR="000B3CAF" w:rsidRPr="00010D70" w:rsidRDefault="000B3CAF" w:rsidP="00EB04AE">
      <w:pPr>
        <w:jc w:val="both"/>
      </w:pPr>
    </w:p>
    <w:p w14:paraId="1F9D8A5D"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79D1D67E" w14:textId="77777777"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14:paraId="021E8F45" w14:textId="77777777"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696B0854"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A2B7C8C"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14:paraId="0155E546"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57495CCF"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47A5BC0"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551E9EEE"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12C3E38F"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7FFDA948"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54222C" w14:textId="77777777"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14:paraId="53AFC4EE" w14:textId="77777777"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14:paraId="1922BB3A" w14:textId="77777777"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14:paraId="64754E99" w14:textId="77777777"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03553C12" w14:textId="77777777"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14:paraId="77EE3502" w14:textId="77777777"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14:paraId="08748FF5" w14:textId="77777777"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14:paraId="7AC368B7" w14:textId="77777777"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14:paraId="359535F5" w14:textId="77777777"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14:paraId="3843CD0C" w14:textId="77777777"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14:paraId="1C1E256C" w14:textId="77777777"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14:paraId="4B8E4E77" w14:textId="77777777"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14:paraId="2D6507D8" w14:textId="77777777"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14:paraId="17EAB06E" w14:textId="77777777"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14:paraId="217F1FF7" w14:textId="77777777"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24F9FC75" w14:textId="77777777" w:rsidR="00B3200A" w:rsidRPr="00010D70" w:rsidRDefault="00B3200A" w:rsidP="00EB04AE">
      <w:pPr>
        <w:jc w:val="both"/>
      </w:pPr>
    </w:p>
    <w:p w14:paraId="2556D10C"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0E9E8A36"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7328ECB7" w14:textId="77777777"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14:paraId="040E240B"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14:paraId="2D895B57"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14:paraId="0981EBEE"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5844BC5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5FFA15E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1826C630"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28DEAAB" w14:textId="77777777"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14:paraId="397063AF" w14:textId="77777777"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7AD07F1" w14:textId="77777777" w:rsidR="00EB04AE" w:rsidRPr="00010D70" w:rsidRDefault="00EB04AE" w:rsidP="00EB04AE">
      <w:pPr>
        <w:jc w:val="both"/>
      </w:pPr>
    </w:p>
    <w:p w14:paraId="34167A73" w14:textId="77777777" w:rsidR="00EB04AE" w:rsidRPr="00010D70" w:rsidRDefault="00EB04AE" w:rsidP="00EB04AE">
      <w:pPr>
        <w:jc w:val="both"/>
        <w:rPr>
          <w:b/>
        </w:rPr>
      </w:pPr>
      <w:r w:rsidRPr="00010D70">
        <w:rPr>
          <w:b/>
        </w:rPr>
        <w:t>4. Mokėjimo terminai ir sąlygos</w:t>
      </w:r>
    </w:p>
    <w:p w14:paraId="5D6455B5" w14:textId="77777777"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14:paraId="6D38E8FA"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14:paraId="3B4EB21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14:paraId="5511D160" w14:textId="77777777"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14:paraId="279A273E"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5FE0476B"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A20C22B" w14:textId="77777777"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15C5AD7C" w14:textId="77777777"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14:paraId="5B9D3AEC" w14:textId="77777777" w:rsidR="004211EA" w:rsidRPr="00C33D3A" w:rsidRDefault="004211EA" w:rsidP="00C33D3A">
      <w:pPr>
        <w:jc w:val="both"/>
      </w:pPr>
    </w:p>
    <w:p w14:paraId="39EA5783" w14:textId="77777777" w:rsidR="00EB04AE" w:rsidRPr="00010D70" w:rsidRDefault="00EB04AE" w:rsidP="00EB04AE">
      <w:pPr>
        <w:jc w:val="both"/>
        <w:rPr>
          <w:b/>
        </w:rPr>
      </w:pPr>
      <w:r w:rsidRPr="00010D70">
        <w:rPr>
          <w:b/>
        </w:rPr>
        <w:t>5. Prekių kokybė</w:t>
      </w:r>
    </w:p>
    <w:p w14:paraId="6E2C0604"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9EFC7F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14:paraId="6ED6C942"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14:paraId="40F3DF37"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14:paraId="66C70CBB"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7D405445"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14:paraId="27EDE250"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6C0FEBA7" w14:textId="77777777" w:rsidR="00EB04AE" w:rsidRPr="00010D70" w:rsidRDefault="00EB04AE" w:rsidP="00EB04AE">
      <w:pPr>
        <w:jc w:val="both"/>
        <w:rPr>
          <w:b/>
        </w:rPr>
      </w:pPr>
    </w:p>
    <w:p w14:paraId="39D068A5" w14:textId="77777777"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14:paraId="0B4B48E7"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623879EB"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AA0876"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14:paraId="35135369" w14:textId="77777777"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14:paraId="4173B3FE"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0ECCF0BE"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14:paraId="673C57DA" w14:textId="77777777"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11033431"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14:paraId="42F60827" w14:textId="77777777" w:rsidR="001A1F7A" w:rsidRPr="00010D70" w:rsidRDefault="001A1F7A" w:rsidP="00EB04AE">
      <w:pPr>
        <w:jc w:val="both"/>
      </w:pPr>
    </w:p>
    <w:p w14:paraId="73A39D87"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66DF2A51"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14:paraId="1A676362" w14:textId="77777777"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0B5C670B" w14:textId="77777777" w:rsidR="008F29B4" w:rsidRPr="00010D70" w:rsidRDefault="008F29B4" w:rsidP="00EB04AE">
      <w:pPr>
        <w:jc w:val="both"/>
      </w:pPr>
    </w:p>
    <w:p w14:paraId="72E9CC90"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0E5999AA"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1E68D139"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62F2F9B" w14:textId="77777777" w:rsidR="00EB04AE" w:rsidRPr="00010D70" w:rsidRDefault="00EB04AE" w:rsidP="00EB04AE">
      <w:pPr>
        <w:jc w:val="both"/>
      </w:pPr>
    </w:p>
    <w:p w14:paraId="4B42141E" w14:textId="77777777" w:rsidR="00EB04AE" w:rsidRPr="00010D70" w:rsidRDefault="00EB04AE" w:rsidP="00EB04AE">
      <w:pPr>
        <w:jc w:val="both"/>
        <w:rPr>
          <w:b/>
        </w:rPr>
      </w:pPr>
      <w:r w:rsidRPr="00010D70">
        <w:rPr>
          <w:b/>
        </w:rPr>
        <w:t>9. Sutarties nutraukimas</w:t>
      </w:r>
    </w:p>
    <w:p w14:paraId="410A8F53" w14:textId="77777777" w:rsidR="00EB04AE" w:rsidRPr="00010D70" w:rsidRDefault="00EB04AE" w:rsidP="00EB04AE">
      <w:pPr>
        <w:jc w:val="both"/>
      </w:pPr>
      <w:r w:rsidRPr="00010D70">
        <w:t>9.1. Ši Sutartis gali būti nutraukta:</w:t>
      </w:r>
    </w:p>
    <w:p w14:paraId="4D29477B"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3A81BD7" w14:textId="77777777"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14:paraId="2340DF0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0AB7B8F4"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53F13B9"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1FE48B0F"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1DB772AD"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1B7217A"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098C1BDE"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5F15BF41"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605715E0"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14:paraId="07EF167C" w14:textId="77777777"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14:paraId="7A3E39EE" w14:textId="77777777"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14:paraId="40416A14" w14:textId="77777777"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14:paraId="288F5C9B" w14:textId="77777777"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1EE069E5"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14:paraId="224B49E3" w14:textId="77777777" w:rsidR="00706E7E" w:rsidRPr="00010D70" w:rsidRDefault="00706E7E" w:rsidP="00EB04AE">
      <w:pPr>
        <w:jc w:val="both"/>
      </w:pPr>
    </w:p>
    <w:p w14:paraId="3D5E5F2F" w14:textId="77777777" w:rsidR="00EB04AE" w:rsidRPr="00010D70" w:rsidRDefault="00EB04AE" w:rsidP="00EB04AE">
      <w:pPr>
        <w:rPr>
          <w:b/>
        </w:rPr>
      </w:pPr>
      <w:r w:rsidRPr="00010D70">
        <w:rPr>
          <w:b/>
        </w:rPr>
        <w:t>10. Ginčų sprendimo tvarka</w:t>
      </w:r>
    </w:p>
    <w:p w14:paraId="6876601E" w14:textId="77777777" w:rsidR="00EB04AE" w:rsidRPr="00010D70" w:rsidRDefault="00EB04AE" w:rsidP="00EB04AE">
      <w:r w:rsidRPr="00010D70">
        <w:t>10.1. Sutartis sudaryta ir turi būti aiškinama pagal Lietuvos Respublikos teisę.</w:t>
      </w:r>
    </w:p>
    <w:p w14:paraId="20525B22"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14:paraId="127EE0F9" w14:textId="77777777" w:rsidR="00DB2A11" w:rsidRPr="00010D70" w:rsidRDefault="00DB2A11" w:rsidP="00EB04AE">
      <w:pPr>
        <w:jc w:val="both"/>
      </w:pPr>
    </w:p>
    <w:p w14:paraId="28897E16" w14:textId="77777777" w:rsidR="00EB04AE" w:rsidRPr="00010D70" w:rsidRDefault="00EB04AE" w:rsidP="00EB04AE">
      <w:pPr>
        <w:jc w:val="both"/>
        <w:rPr>
          <w:b/>
        </w:rPr>
      </w:pPr>
      <w:r w:rsidRPr="00010D70">
        <w:rPr>
          <w:b/>
        </w:rPr>
        <w:t>11. Atsakomybė</w:t>
      </w:r>
    </w:p>
    <w:p w14:paraId="3DB6CC5D"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28CAD25F"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07F53E0A"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6659A999"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14:paraId="18CC339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14:paraId="6CE4F07D"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5EADF2D" w14:textId="77777777"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14:paraId="3E808D40" w14:textId="77777777" w:rsidR="000B10FF" w:rsidRPr="000B10FF" w:rsidRDefault="000B10FF" w:rsidP="00EB04AE">
      <w:pPr>
        <w:jc w:val="both"/>
      </w:pPr>
    </w:p>
    <w:p w14:paraId="64B7AA29" w14:textId="77777777" w:rsidR="00EB04AE" w:rsidRPr="00010D70" w:rsidRDefault="00EB04AE" w:rsidP="00EB04AE">
      <w:pPr>
        <w:jc w:val="both"/>
        <w:rPr>
          <w:b/>
        </w:rPr>
      </w:pPr>
      <w:r w:rsidRPr="00010D70">
        <w:rPr>
          <w:b/>
        </w:rPr>
        <w:t>12. Sutarties galiojimas</w:t>
      </w:r>
    </w:p>
    <w:p w14:paraId="7507E5E5"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14:paraId="4B0B7DD3"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12E6D668" w14:textId="77777777"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14:paraId="3CBC0396" w14:textId="77777777"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13E266FD"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6F95B50D" w14:textId="77777777"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14:paraId="5D4F95F4" w14:textId="77777777"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14:paraId="51389093" w14:textId="77777777"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14:paraId="020F3691" w14:textId="77777777"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14:paraId="1CAD0004" w14:textId="77777777"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14:paraId="33E65ACB" w14:textId="77777777" w:rsidR="000134F5" w:rsidRPr="00010D70" w:rsidRDefault="000134F5" w:rsidP="00EB04AE">
      <w:pPr>
        <w:jc w:val="both"/>
        <w:rPr>
          <w:b/>
        </w:rPr>
      </w:pPr>
    </w:p>
    <w:p w14:paraId="2735F736" w14:textId="77777777" w:rsidR="00560D10" w:rsidRPr="00010D70" w:rsidRDefault="00560D10" w:rsidP="00560D10">
      <w:pPr>
        <w:pStyle w:val="BodyText"/>
        <w:spacing w:after="0"/>
        <w:ind w:right="125"/>
        <w:jc w:val="both"/>
        <w:rPr>
          <w:b/>
          <w:bCs/>
        </w:rPr>
      </w:pPr>
      <w:r w:rsidRPr="00010D70">
        <w:rPr>
          <w:b/>
          <w:bCs/>
        </w:rPr>
        <w:t>13. Susirašinėjimas</w:t>
      </w:r>
    </w:p>
    <w:p w14:paraId="5C59A7CF" w14:textId="77777777"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6879E31" w14:textId="77777777"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BCCB084" w14:textId="77777777" w:rsidR="00560D10" w:rsidRPr="00010D70" w:rsidRDefault="00560D10" w:rsidP="00EB04AE">
      <w:pPr>
        <w:jc w:val="both"/>
        <w:rPr>
          <w:b/>
        </w:rPr>
      </w:pPr>
    </w:p>
    <w:p w14:paraId="069C9564" w14:textId="77777777"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14:paraId="401BE436"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090EBF04" w14:textId="77777777"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14:paraId="15C2B64D" w14:textId="77777777"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14:paraId="69D86423" w14:textId="77777777"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14:paraId="2D868D73" w14:textId="77777777"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14:paraId="1DED3C7C" w14:textId="77777777"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3136345E" w14:textId="77777777"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14:paraId="0783D364" w14:textId="77777777"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14:paraId="6751639D" w14:textId="77777777"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14:paraId="38677865" w14:textId="77777777" w:rsidR="00852C0F" w:rsidRDefault="000C45FF" w:rsidP="000C45FF">
      <w:pPr>
        <w:jc w:val="both"/>
      </w:pPr>
      <w:r>
        <w:t>14.10. Šalys neatlygina viena kitos patirtų išlaidų ir nuostolių dėl asmens duomenų tvarkymo įsipareigojimų pagal šią Sutartį vykdymo.</w:t>
      </w:r>
    </w:p>
    <w:p w14:paraId="748285EB" w14:textId="66A2B0CE"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005A72">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14:paraId="4E58704C" w14:textId="77777777" w:rsidR="008F29B4" w:rsidRPr="00010D70" w:rsidRDefault="008F29B4" w:rsidP="00560D10">
      <w:pPr>
        <w:jc w:val="both"/>
        <w:rPr>
          <w:b/>
        </w:rPr>
      </w:pPr>
    </w:p>
    <w:p w14:paraId="31D8EB0D"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69BE2A96"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14:paraId="3F74A6AA"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14:paraId="792AB05B" w14:textId="77777777"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14:paraId="75BC82C6" w14:textId="7A69367B"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005A72">
        <w:t>pradinės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14:paraId="5BF1DF89"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14:paraId="6919837A"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14:paraId="12D5D11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14:paraId="2FC22250"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5AB2630" w14:textId="77777777"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14:paraId="51E4D215"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525C56E1"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B7DDB1E" w14:textId="77777777" w:rsidR="003B1F71" w:rsidRDefault="003B1F71" w:rsidP="00646DC6">
      <w:pPr>
        <w:jc w:val="both"/>
      </w:pPr>
    </w:p>
    <w:p w14:paraId="664BDE85" w14:textId="77777777" w:rsidR="00515AC5" w:rsidRDefault="00515AC5" w:rsidP="00646DC6">
      <w:pPr>
        <w:jc w:val="both"/>
      </w:pPr>
    </w:p>
    <w:p w14:paraId="07A47F3E" w14:textId="77777777" w:rsidR="002A740D" w:rsidRPr="00EA73AC" w:rsidRDefault="003B1F71" w:rsidP="00F6734F">
      <w:pPr>
        <w:pStyle w:val="BodyText1"/>
        <w:ind w:firstLine="0"/>
      </w:pPr>
      <w:r>
        <w:t xml:space="preserve"> </w:t>
      </w:r>
    </w:p>
    <w:tbl>
      <w:tblPr>
        <w:tblW w:w="9917" w:type="pct"/>
        <w:tblInd w:w="-252" w:type="dxa"/>
        <w:tblLook w:val="04A0" w:firstRow="1" w:lastRow="0" w:firstColumn="1" w:lastColumn="0" w:noHBand="0" w:noVBand="1"/>
      </w:tblPr>
      <w:tblGrid>
        <w:gridCol w:w="252"/>
        <w:gridCol w:w="3772"/>
        <w:gridCol w:w="157"/>
        <w:gridCol w:w="947"/>
        <w:gridCol w:w="164"/>
        <w:gridCol w:w="3768"/>
        <w:gridCol w:w="406"/>
        <w:gridCol w:w="3363"/>
        <w:gridCol w:w="2113"/>
        <w:gridCol w:w="3333"/>
      </w:tblGrid>
      <w:tr w:rsidR="0094717F" w:rsidRPr="005507ED" w14:paraId="3C49FA9A" w14:textId="77777777" w:rsidTr="001740B1">
        <w:trPr>
          <w:gridBefore w:val="1"/>
          <w:wBefore w:w="69" w:type="pct"/>
        </w:trPr>
        <w:tc>
          <w:tcPr>
            <w:tcW w:w="1032" w:type="pct"/>
          </w:tcPr>
          <w:p w14:paraId="1BE7E068" w14:textId="7247F8C1" w:rsidR="0094717F" w:rsidRPr="00573C30" w:rsidRDefault="0094717F" w:rsidP="0094717F">
            <w:pPr>
              <w:widowControl w:val="0"/>
              <w:suppressAutoHyphens/>
              <w:jc w:val="both"/>
              <w:rPr>
                <w:rFonts w:eastAsia="Arial Unicode MS"/>
                <w:b/>
                <w:color w:val="000000"/>
                <w:lang w:eastAsia="en-US" w:bidi="lt-LT"/>
              </w:rPr>
            </w:pPr>
          </w:p>
        </w:tc>
        <w:tc>
          <w:tcPr>
            <w:tcW w:w="347" w:type="pct"/>
            <w:gridSpan w:val="3"/>
          </w:tcPr>
          <w:p w14:paraId="2998AC68"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611AD537" w14:textId="3F77CEDE" w:rsidR="0094717F" w:rsidRPr="00573C30" w:rsidRDefault="0094717F" w:rsidP="0094717F">
            <w:pPr>
              <w:widowControl w:val="0"/>
              <w:suppressAutoHyphens/>
              <w:ind w:left="-1621" w:firstLine="1710"/>
              <w:jc w:val="both"/>
              <w:rPr>
                <w:rFonts w:eastAsia="Arial Unicode MS"/>
                <w:b/>
                <w:color w:val="000000"/>
                <w:lang w:eastAsia="en-US" w:bidi="lt-LT"/>
              </w:rPr>
            </w:pPr>
          </w:p>
        </w:tc>
        <w:tc>
          <w:tcPr>
            <w:tcW w:w="1031" w:type="pct"/>
            <w:gridSpan w:val="2"/>
            <w:shd w:val="clear" w:color="auto" w:fill="auto"/>
          </w:tcPr>
          <w:p w14:paraId="0624257D" w14:textId="7A21A496" w:rsidR="0094717F" w:rsidRPr="004E2AC6" w:rsidRDefault="0094717F" w:rsidP="0094717F">
            <w:pPr>
              <w:widowControl w:val="0"/>
              <w:suppressAutoHyphens/>
              <w:jc w:val="both"/>
              <w:rPr>
                <w:rFonts w:eastAsia="Arial"/>
                <w:color w:val="000000"/>
                <w:lang w:val="en-GB" w:eastAsia="ar-SA" w:bidi="lt-LT"/>
              </w:rPr>
            </w:pPr>
          </w:p>
        </w:tc>
        <w:tc>
          <w:tcPr>
            <w:tcW w:w="578" w:type="pct"/>
            <w:shd w:val="clear" w:color="auto" w:fill="auto"/>
          </w:tcPr>
          <w:p w14:paraId="33BEE6B5"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500A757C" w14:textId="77777777" w:rsidR="0094717F" w:rsidRPr="004E2AC6" w:rsidRDefault="0094717F" w:rsidP="0094717F">
            <w:pPr>
              <w:widowControl w:val="0"/>
              <w:suppressAutoHyphens/>
              <w:jc w:val="both"/>
              <w:rPr>
                <w:rFonts w:eastAsia="Arial"/>
                <w:color w:val="000000"/>
                <w:lang w:eastAsia="ar-SA" w:bidi="lt-LT"/>
              </w:rPr>
            </w:pPr>
          </w:p>
        </w:tc>
      </w:tr>
      <w:tr w:rsidR="001740B1" w:rsidRPr="0094717F" w14:paraId="6F961667" w14:textId="77777777" w:rsidTr="001740B1">
        <w:trPr>
          <w:gridAfter w:val="3"/>
          <w:wAfter w:w="2410" w:type="pct"/>
        </w:trPr>
        <w:tc>
          <w:tcPr>
            <w:tcW w:w="1144" w:type="pct"/>
            <w:gridSpan w:val="3"/>
            <w:shd w:val="clear" w:color="auto" w:fill="auto"/>
          </w:tcPr>
          <w:p w14:paraId="7ACA88A3" w14:textId="77777777" w:rsidR="001740B1" w:rsidRPr="0094717F" w:rsidRDefault="001740B1" w:rsidP="005A5006">
            <w:pPr>
              <w:suppressAutoHyphens/>
              <w:jc w:val="both"/>
              <w:rPr>
                <w:b/>
                <w:lang w:eastAsia="en-US"/>
              </w:rPr>
            </w:pPr>
            <w:r w:rsidRPr="0094717F">
              <w:rPr>
                <w:b/>
                <w:lang w:eastAsia="en-US"/>
              </w:rPr>
              <w:t>PIRKĖJAS</w:t>
            </w:r>
          </w:p>
        </w:tc>
        <w:tc>
          <w:tcPr>
            <w:tcW w:w="259" w:type="pct"/>
            <w:shd w:val="clear" w:color="auto" w:fill="auto"/>
          </w:tcPr>
          <w:p w14:paraId="46E8C695" w14:textId="77777777" w:rsidR="001740B1" w:rsidRPr="0094717F" w:rsidRDefault="001740B1" w:rsidP="005A5006">
            <w:pPr>
              <w:suppressAutoHyphens/>
              <w:jc w:val="both"/>
              <w:rPr>
                <w:b/>
                <w:lang w:eastAsia="en-US"/>
              </w:rPr>
            </w:pPr>
          </w:p>
        </w:tc>
        <w:tc>
          <w:tcPr>
            <w:tcW w:w="1187" w:type="pct"/>
            <w:gridSpan w:val="3"/>
            <w:shd w:val="clear" w:color="auto" w:fill="auto"/>
          </w:tcPr>
          <w:p w14:paraId="6B171539" w14:textId="77777777" w:rsidR="001740B1" w:rsidRPr="0094717F" w:rsidRDefault="001740B1" w:rsidP="005A5006">
            <w:pPr>
              <w:suppressAutoHyphens/>
              <w:jc w:val="both"/>
              <w:rPr>
                <w:b/>
                <w:lang w:eastAsia="en-US"/>
              </w:rPr>
            </w:pPr>
            <w:r w:rsidRPr="0094717F">
              <w:rPr>
                <w:b/>
                <w:lang w:eastAsia="en-US"/>
              </w:rPr>
              <w:t>PARDAVĖJAS</w:t>
            </w:r>
          </w:p>
        </w:tc>
      </w:tr>
      <w:tr w:rsidR="001740B1" w:rsidRPr="0094717F" w14:paraId="20EC85C8" w14:textId="77777777" w:rsidTr="001740B1">
        <w:trPr>
          <w:gridAfter w:val="3"/>
          <w:wAfter w:w="2410" w:type="pct"/>
        </w:trPr>
        <w:tc>
          <w:tcPr>
            <w:tcW w:w="1144" w:type="pct"/>
            <w:gridSpan w:val="3"/>
            <w:shd w:val="clear" w:color="auto" w:fill="auto"/>
          </w:tcPr>
          <w:p w14:paraId="6BE6606E" w14:textId="77777777" w:rsidR="001740B1" w:rsidRPr="0094717F" w:rsidRDefault="001740B1" w:rsidP="005A5006">
            <w:pPr>
              <w:suppressAutoHyphens/>
              <w:jc w:val="both"/>
              <w:rPr>
                <w:rFonts w:eastAsia="Arial"/>
                <w:b/>
                <w:lang w:val="en-GB" w:eastAsia="ar-SA"/>
              </w:rPr>
            </w:pPr>
          </w:p>
          <w:p w14:paraId="000E5546" w14:textId="77777777" w:rsidR="001740B1" w:rsidRPr="0094717F" w:rsidRDefault="001740B1" w:rsidP="005A5006">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259" w:type="pct"/>
            <w:shd w:val="clear" w:color="auto" w:fill="auto"/>
          </w:tcPr>
          <w:p w14:paraId="40EA14E7" w14:textId="77777777" w:rsidR="001740B1" w:rsidRPr="0094717F" w:rsidRDefault="001740B1" w:rsidP="005A5006">
            <w:pPr>
              <w:suppressAutoHyphens/>
              <w:jc w:val="both"/>
              <w:rPr>
                <w:b/>
                <w:lang w:eastAsia="en-US"/>
              </w:rPr>
            </w:pPr>
          </w:p>
        </w:tc>
        <w:tc>
          <w:tcPr>
            <w:tcW w:w="1187" w:type="pct"/>
            <w:gridSpan w:val="3"/>
            <w:shd w:val="clear" w:color="auto" w:fill="auto"/>
          </w:tcPr>
          <w:p w14:paraId="6F30BDC7" w14:textId="77777777" w:rsidR="001740B1" w:rsidRPr="0094717F" w:rsidRDefault="001740B1" w:rsidP="005A5006">
            <w:pPr>
              <w:rPr>
                <w:b/>
              </w:rPr>
            </w:pPr>
          </w:p>
          <w:p w14:paraId="3BED7D4B" w14:textId="77777777" w:rsidR="001740B1" w:rsidRPr="0094717F" w:rsidRDefault="001740B1" w:rsidP="005A5006">
            <w:pPr>
              <w:rPr>
                <w:b/>
                <w:lang w:eastAsia="en-US"/>
              </w:rPr>
            </w:pPr>
            <w:r w:rsidRPr="0094717F">
              <w:rPr>
                <w:b/>
              </w:rPr>
              <w:t>UAB ,,</w:t>
            </w:r>
            <w:r>
              <w:rPr>
                <w:b/>
              </w:rPr>
              <w:t>Samsonas</w:t>
            </w:r>
            <w:r w:rsidRPr="0094717F">
              <w:rPr>
                <w:b/>
              </w:rPr>
              <w:t>“</w:t>
            </w:r>
            <w:r w:rsidRPr="0094717F">
              <w:rPr>
                <w:b/>
                <w:lang w:eastAsia="en-US"/>
              </w:rPr>
              <w:t xml:space="preserve"> </w:t>
            </w:r>
          </w:p>
        </w:tc>
      </w:tr>
      <w:tr w:rsidR="001740B1" w:rsidRPr="0094717F" w14:paraId="3E71AAB4" w14:textId="77777777" w:rsidTr="001740B1">
        <w:trPr>
          <w:gridAfter w:val="3"/>
          <w:wAfter w:w="2410" w:type="pct"/>
        </w:trPr>
        <w:tc>
          <w:tcPr>
            <w:tcW w:w="1144" w:type="pct"/>
            <w:gridSpan w:val="3"/>
            <w:shd w:val="clear" w:color="auto" w:fill="auto"/>
          </w:tcPr>
          <w:p w14:paraId="2CD513D6" w14:textId="77777777" w:rsidR="001740B1" w:rsidRPr="0094717F" w:rsidRDefault="001740B1" w:rsidP="005A5006">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259" w:type="pct"/>
            <w:shd w:val="clear" w:color="auto" w:fill="auto"/>
          </w:tcPr>
          <w:p w14:paraId="0566CBD7" w14:textId="77777777" w:rsidR="001740B1" w:rsidRPr="0094717F" w:rsidRDefault="001740B1" w:rsidP="005A5006">
            <w:pPr>
              <w:suppressAutoHyphens/>
              <w:jc w:val="both"/>
              <w:rPr>
                <w:b/>
                <w:lang w:eastAsia="en-US"/>
              </w:rPr>
            </w:pPr>
          </w:p>
        </w:tc>
        <w:tc>
          <w:tcPr>
            <w:tcW w:w="1187" w:type="pct"/>
            <w:gridSpan w:val="3"/>
            <w:shd w:val="clear" w:color="auto" w:fill="auto"/>
          </w:tcPr>
          <w:p w14:paraId="53A6BB70" w14:textId="77777777" w:rsidR="001740B1" w:rsidRPr="0094717F" w:rsidRDefault="001740B1" w:rsidP="005A5006">
            <w:pPr>
              <w:suppressAutoHyphens/>
              <w:jc w:val="both"/>
              <w:rPr>
                <w:b/>
                <w:lang w:eastAsia="en-US"/>
              </w:rPr>
            </w:pPr>
          </w:p>
        </w:tc>
      </w:tr>
      <w:tr w:rsidR="001740B1" w:rsidRPr="0094717F" w14:paraId="1C141AE6" w14:textId="77777777" w:rsidTr="001740B1">
        <w:trPr>
          <w:gridAfter w:val="3"/>
          <w:wAfter w:w="2410" w:type="pct"/>
        </w:trPr>
        <w:tc>
          <w:tcPr>
            <w:tcW w:w="1144" w:type="pct"/>
            <w:gridSpan w:val="3"/>
            <w:shd w:val="clear" w:color="auto" w:fill="auto"/>
          </w:tcPr>
          <w:p w14:paraId="29AE8E43" w14:textId="2ED8F953" w:rsidR="001740B1" w:rsidRPr="0094717F" w:rsidRDefault="001740B1" w:rsidP="005A5006">
            <w:pPr>
              <w:suppressAutoHyphens/>
              <w:jc w:val="both"/>
              <w:rPr>
                <w:lang w:eastAsia="en-US"/>
              </w:rPr>
            </w:pPr>
            <w:bookmarkStart w:id="0" w:name="_GoBack"/>
            <w:bookmarkEnd w:id="0"/>
          </w:p>
        </w:tc>
        <w:tc>
          <w:tcPr>
            <w:tcW w:w="259" w:type="pct"/>
            <w:shd w:val="clear" w:color="auto" w:fill="auto"/>
          </w:tcPr>
          <w:p w14:paraId="28947622" w14:textId="77777777" w:rsidR="001740B1" w:rsidRPr="0094717F" w:rsidRDefault="001740B1" w:rsidP="005A5006">
            <w:pPr>
              <w:suppressAutoHyphens/>
              <w:jc w:val="both"/>
              <w:rPr>
                <w:lang w:eastAsia="en-US"/>
              </w:rPr>
            </w:pPr>
          </w:p>
        </w:tc>
        <w:tc>
          <w:tcPr>
            <w:tcW w:w="1187" w:type="pct"/>
            <w:gridSpan w:val="3"/>
            <w:shd w:val="clear" w:color="auto" w:fill="auto"/>
          </w:tcPr>
          <w:p w14:paraId="6284CF5D" w14:textId="086F3F38" w:rsidR="001740B1" w:rsidRPr="0094717F" w:rsidRDefault="001740B1" w:rsidP="005A5006">
            <w:pPr>
              <w:suppressAutoHyphens/>
              <w:jc w:val="both"/>
              <w:rPr>
                <w:lang w:eastAsia="en-US"/>
              </w:rPr>
            </w:pPr>
          </w:p>
        </w:tc>
      </w:tr>
      <w:tr w:rsidR="001740B1" w:rsidRPr="0094717F" w14:paraId="711DCE65" w14:textId="77777777" w:rsidTr="001740B1">
        <w:trPr>
          <w:gridAfter w:val="3"/>
          <w:wAfter w:w="2410" w:type="pct"/>
        </w:trPr>
        <w:tc>
          <w:tcPr>
            <w:tcW w:w="1144" w:type="pct"/>
            <w:gridSpan w:val="3"/>
            <w:shd w:val="clear" w:color="auto" w:fill="auto"/>
          </w:tcPr>
          <w:p w14:paraId="4A58A38D" w14:textId="77777777" w:rsidR="001740B1" w:rsidRPr="0094717F" w:rsidRDefault="001740B1" w:rsidP="005A5006">
            <w:pPr>
              <w:suppressAutoHyphens/>
              <w:jc w:val="both"/>
              <w:rPr>
                <w:lang w:eastAsia="en-US"/>
              </w:rPr>
            </w:pPr>
          </w:p>
        </w:tc>
        <w:tc>
          <w:tcPr>
            <w:tcW w:w="259" w:type="pct"/>
            <w:shd w:val="clear" w:color="auto" w:fill="auto"/>
          </w:tcPr>
          <w:p w14:paraId="45872254" w14:textId="77777777" w:rsidR="001740B1" w:rsidRPr="0094717F" w:rsidRDefault="001740B1" w:rsidP="005A5006">
            <w:pPr>
              <w:suppressAutoHyphens/>
              <w:jc w:val="both"/>
              <w:rPr>
                <w:lang w:eastAsia="en-US"/>
              </w:rPr>
            </w:pPr>
          </w:p>
        </w:tc>
        <w:tc>
          <w:tcPr>
            <w:tcW w:w="1187" w:type="pct"/>
            <w:gridSpan w:val="3"/>
            <w:shd w:val="clear" w:color="auto" w:fill="auto"/>
          </w:tcPr>
          <w:p w14:paraId="6C3CBCA4" w14:textId="77777777" w:rsidR="001740B1" w:rsidRPr="0094717F" w:rsidRDefault="001740B1" w:rsidP="005A5006">
            <w:pPr>
              <w:suppressAutoHyphens/>
              <w:jc w:val="both"/>
              <w:rPr>
                <w:lang w:eastAsia="en-US"/>
              </w:rPr>
            </w:pPr>
          </w:p>
        </w:tc>
      </w:tr>
      <w:tr w:rsidR="001740B1" w:rsidRPr="0094717F" w14:paraId="0B910578" w14:textId="77777777" w:rsidTr="001740B1">
        <w:trPr>
          <w:gridAfter w:val="3"/>
          <w:wAfter w:w="2410" w:type="pct"/>
        </w:trPr>
        <w:tc>
          <w:tcPr>
            <w:tcW w:w="1144" w:type="pct"/>
            <w:gridSpan w:val="3"/>
            <w:shd w:val="clear" w:color="auto" w:fill="auto"/>
          </w:tcPr>
          <w:p w14:paraId="1F83EB69" w14:textId="77777777" w:rsidR="001740B1" w:rsidRPr="0094717F" w:rsidRDefault="001740B1" w:rsidP="005A5006">
            <w:pPr>
              <w:suppressAutoHyphens/>
              <w:jc w:val="both"/>
              <w:rPr>
                <w:lang w:eastAsia="en-US"/>
              </w:rPr>
            </w:pPr>
          </w:p>
        </w:tc>
        <w:tc>
          <w:tcPr>
            <w:tcW w:w="259" w:type="pct"/>
            <w:shd w:val="clear" w:color="auto" w:fill="auto"/>
          </w:tcPr>
          <w:p w14:paraId="22EAD238" w14:textId="77777777" w:rsidR="001740B1" w:rsidRPr="0094717F" w:rsidRDefault="001740B1" w:rsidP="005A5006">
            <w:pPr>
              <w:suppressAutoHyphens/>
              <w:jc w:val="both"/>
              <w:rPr>
                <w:lang w:eastAsia="en-US"/>
              </w:rPr>
            </w:pPr>
          </w:p>
        </w:tc>
        <w:tc>
          <w:tcPr>
            <w:tcW w:w="1187" w:type="pct"/>
            <w:gridSpan w:val="3"/>
            <w:shd w:val="clear" w:color="auto" w:fill="auto"/>
          </w:tcPr>
          <w:p w14:paraId="258F753A" w14:textId="77777777" w:rsidR="001740B1" w:rsidRPr="0094717F" w:rsidRDefault="001740B1" w:rsidP="005A5006">
            <w:pPr>
              <w:suppressAutoHyphens/>
              <w:jc w:val="both"/>
              <w:rPr>
                <w:lang w:eastAsia="en-US"/>
              </w:rPr>
            </w:pPr>
          </w:p>
        </w:tc>
      </w:tr>
      <w:tr w:rsidR="001740B1" w:rsidRPr="0094717F" w14:paraId="7D216D2F" w14:textId="77777777" w:rsidTr="001740B1">
        <w:trPr>
          <w:gridAfter w:val="3"/>
          <w:wAfter w:w="2410" w:type="pct"/>
        </w:trPr>
        <w:tc>
          <w:tcPr>
            <w:tcW w:w="1144" w:type="pct"/>
            <w:gridSpan w:val="3"/>
            <w:shd w:val="clear" w:color="auto" w:fill="auto"/>
          </w:tcPr>
          <w:p w14:paraId="558B8670" w14:textId="6E8C3FF1" w:rsidR="001740B1" w:rsidRPr="0094717F" w:rsidRDefault="001740B1" w:rsidP="005A5006">
            <w:pPr>
              <w:suppressAutoHyphens/>
              <w:jc w:val="both"/>
              <w:rPr>
                <w:lang w:eastAsia="en-US"/>
              </w:rPr>
            </w:pPr>
          </w:p>
        </w:tc>
        <w:tc>
          <w:tcPr>
            <w:tcW w:w="259" w:type="pct"/>
            <w:shd w:val="clear" w:color="auto" w:fill="auto"/>
          </w:tcPr>
          <w:p w14:paraId="64B15937" w14:textId="77777777" w:rsidR="001740B1" w:rsidRPr="0094717F" w:rsidRDefault="001740B1" w:rsidP="005A5006">
            <w:pPr>
              <w:suppressAutoHyphens/>
              <w:jc w:val="both"/>
              <w:rPr>
                <w:lang w:eastAsia="en-US"/>
              </w:rPr>
            </w:pPr>
          </w:p>
        </w:tc>
        <w:tc>
          <w:tcPr>
            <w:tcW w:w="1187" w:type="pct"/>
            <w:gridSpan w:val="3"/>
            <w:shd w:val="clear" w:color="auto" w:fill="auto"/>
          </w:tcPr>
          <w:p w14:paraId="02B88DB8" w14:textId="54E19E8C" w:rsidR="001740B1" w:rsidRPr="0094717F" w:rsidRDefault="001740B1" w:rsidP="005A5006">
            <w:pPr>
              <w:suppressAutoHyphens/>
              <w:jc w:val="both"/>
              <w:rPr>
                <w:lang w:eastAsia="en-US"/>
              </w:rPr>
            </w:pPr>
          </w:p>
        </w:tc>
      </w:tr>
      <w:tr w:rsidR="0094717F" w:rsidRPr="005507ED" w14:paraId="5EADF84F" w14:textId="77777777" w:rsidTr="001740B1">
        <w:trPr>
          <w:gridBefore w:val="1"/>
          <w:wBefore w:w="69" w:type="pct"/>
        </w:trPr>
        <w:tc>
          <w:tcPr>
            <w:tcW w:w="1032" w:type="pct"/>
          </w:tcPr>
          <w:p w14:paraId="507BB7DD" w14:textId="17C45FDD" w:rsidR="0094717F" w:rsidRPr="00C45157" w:rsidRDefault="0094717F" w:rsidP="0094717F">
            <w:pPr>
              <w:widowControl w:val="0"/>
              <w:suppressAutoHyphens/>
              <w:jc w:val="both"/>
              <w:rPr>
                <w:b/>
              </w:rPr>
            </w:pPr>
          </w:p>
        </w:tc>
        <w:tc>
          <w:tcPr>
            <w:tcW w:w="347" w:type="pct"/>
            <w:gridSpan w:val="3"/>
          </w:tcPr>
          <w:p w14:paraId="35496F61"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D42AAC3" w14:textId="4E1F09B6" w:rsidR="0094717F" w:rsidRPr="00C45157" w:rsidRDefault="0094717F" w:rsidP="0094717F">
            <w:pPr>
              <w:widowControl w:val="0"/>
              <w:suppressAutoHyphens/>
              <w:jc w:val="both"/>
              <w:rPr>
                <w:b/>
              </w:rPr>
            </w:pPr>
          </w:p>
        </w:tc>
        <w:tc>
          <w:tcPr>
            <w:tcW w:w="1031" w:type="pct"/>
            <w:gridSpan w:val="2"/>
            <w:shd w:val="clear" w:color="auto" w:fill="auto"/>
          </w:tcPr>
          <w:p w14:paraId="619DE277"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0105D117"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57331B5F"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2D830C3D" w14:textId="77777777" w:rsidTr="001740B1">
        <w:trPr>
          <w:gridBefore w:val="1"/>
          <w:wBefore w:w="69" w:type="pct"/>
        </w:trPr>
        <w:tc>
          <w:tcPr>
            <w:tcW w:w="1032" w:type="pct"/>
          </w:tcPr>
          <w:p w14:paraId="5FFF9F4E" w14:textId="639E6578" w:rsidR="0094717F" w:rsidRPr="00C45157" w:rsidRDefault="0094717F" w:rsidP="0094717F">
            <w:pPr>
              <w:suppressAutoHyphens/>
              <w:jc w:val="both"/>
              <w:rPr>
                <w:rFonts w:eastAsia="Arial"/>
                <w:b/>
                <w:lang w:val="en-GB" w:eastAsia="ar-SA"/>
              </w:rPr>
            </w:pPr>
          </w:p>
        </w:tc>
        <w:tc>
          <w:tcPr>
            <w:tcW w:w="347" w:type="pct"/>
            <w:gridSpan w:val="3"/>
          </w:tcPr>
          <w:p w14:paraId="6C8F574A"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214978F" w14:textId="77777777" w:rsidR="0094717F" w:rsidRPr="00C45157" w:rsidRDefault="0094717F" w:rsidP="0094717F">
            <w:pPr>
              <w:rPr>
                <w:b/>
              </w:rPr>
            </w:pPr>
          </w:p>
        </w:tc>
        <w:tc>
          <w:tcPr>
            <w:tcW w:w="1031" w:type="pct"/>
            <w:gridSpan w:val="2"/>
            <w:shd w:val="clear" w:color="auto" w:fill="auto"/>
          </w:tcPr>
          <w:p w14:paraId="7B073584"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5E9D10B9"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4A976824"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5F5EBE47" w14:textId="77777777" w:rsidTr="001740B1">
        <w:trPr>
          <w:gridBefore w:val="1"/>
          <w:wBefore w:w="69" w:type="pct"/>
        </w:trPr>
        <w:tc>
          <w:tcPr>
            <w:tcW w:w="1032" w:type="pct"/>
          </w:tcPr>
          <w:p w14:paraId="39BF21DD" w14:textId="0D8C4E9A" w:rsidR="0094717F" w:rsidRPr="00C45157" w:rsidRDefault="0094717F" w:rsidP="0094717F">
            <w:pPr>
              <w:suppressAutoHyphens/>
              <w:jc w:val="both"/>
              <w:rPr>
                <w:rFonts w:eastAsia="Arial"/>
                <w:b/>
                <w:lang w:val="en-GB" w:eastAsia="ar-SA"/>
              </w:rPr>
            </w:pPr>
          </w:p>
        </w:tc>
        <w:tc>
          <w:tcPr>
            <w:tcW w:w="347" w:type="pct"/>
            <w:gridSpan w:val="3"/>
          </w:tcPr>
          <w:p w14:paraId="7482F353"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EBDA166" w14:textId="4EA791AC" w:rsidR="0094717F" w:rsidRPr="00C45157" w:rsidRDefault="0094717F" w:rsidP="0094717F">
            <w:pPr>
              <w:rPr>
                <w:b/>
              </w:rPr>
            </w:pPr>
          </w:p>
        </w:tc>
        <w:tc>
          <w:tcPr>
            <w:tcW w:w="1031" w:type="pct"/>
            <w:gridSpan w:val="2"/>
            <w:shd w:val="clear" w:color="auto" w:fill="auto"/>
          </w:tcPr>
          <w:p w14:paraId="2BE5B5C6"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267B401A"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6156F0BF"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4C51A42A" w14:textId="77777777" w:rsidTr="001740B1">
        <w:trPr>
          <w:gridBefore w:val="1"/>
          <w:wBefore w:w="69" w:type="pct"/>
        </w:trPr>
        <w:tc>
          <w:tcPr>
            <w:tcW w:w="1032" w:type="pct"/>
          </w:tcPr>
          <w:p w14:paraId="6B12D796" w14:textId="77777777" w:rsidR="0094717F" w:rsidRPr="00C45157" w:rsidRDefault="0094717F" w:rsidP="0094717F">
            <w:pPr>
              <w:suppressAutoHyphens/>
              <w:jc w:val="both"/>
              <w:rPr>
                <w:rFonts w:eastAsia="Arial"/>
                <w:lang w:val="en-GB" w:eastAsia="ar-SA"/>
              </w:rPr>
            </w:pPr>
          </w:p>
        </w:tc>
        <w:tc>
          <w:tcPr>
            <w:tcW w:w="347" w:type="pct"/>
            <w:gridSpan w:val="3"/>
          </w:tcPr>
          <w:p w14:paraId="4CE5745A"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19AD790A" w14:textId="77777777" w:rsidR="0094717F" w:rsidRPr="00C45157" w:rsidRDefault="0094717F" w:rsidP="0094717F"/>
        </w:tc>
        <w:tc>
          <w:tcPr>
            <w:tcW w:w="1031" w:type="pct"/>
            <w:gridSpan w:val="2"/>
            <w:shd w:val="clear" w:color="auto" w:fill="auto"/>
          </w:tcPr>
          <w:p w14:paraId="2F092E07"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0E37A1A1"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07406439"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587909F5" w14:textId="77777777" w:rsidTr="001740B1">
        <w:trPr>
          <w:gridBefore w:val="1"/>
          <w:wBefore w:w="69" w:type="pct"/>
        </w:trPr>
        <w:tc>
          <w:tcPr>
            <w:tcW w:w="1032" w:type="pct"/>
          </w:tcPr>
          <w:p w14:paraId="4C90A12D" w14:textId="77777777" w:rsidR="0094717F" w:rsidRPr="00C45157" w:rsidRDefault="0094717F" w:rsidP="0094717F">
            <w:pPr>
              <w:suppressAutoHyphens/>
              <w:jc w:val="both"/>
              <w:rPr>
                <w:rFonts w:eastAsia="Arial"/>
                <w:lang w:val="en-GB" w:eastAsia="ar-SA"/>
              </w:rPr>
            </w:pPr>
          </w:p>
        </w:tc>
        <w:tc>
          <w:tcPr>
            <w:tcW w:w="347" w:type="pct"/>
            <w:gridSpan w:val="3"/>
          </w:tcPr>
          <w:p w14:paraId="63840E5E"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5C280FE0" w14:textId="77777777" w:rsidR="0094717F" w:rsidRPr="00C45157" w:rsidRDefault="0094717F" w:rsidP="0094717F"/>
        </w:tc>
        <w:tc>
          <w:tcPr>
            <w:tcW w:w="1031" w:type="pct"/>
            <w:gridSpan w:val="2"/>
            <w:shd w:val="clear" w:color="auto" w:fill="auto"/>
          </w:tcPr>
          <w:p w14:paraId="07F5FB84"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02BEA317"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66835C4E"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13407484" w14:textId="77777777" w:rsidTr="001740B1">
        <w:trPr>
          <w:gridBefore w:val="1"/>
          <w:wBefore w:w="69" w:type="pct"/>
        </w:trPr>
        <w:tc>
          <w:tcPr>
            <w:tcW w:w="1032" w:type="pct"/>
          </w:tcPr>
          <w:p w14:paraId="3D610537" w14:textId="30AD922F" w:rsidR="0094717F" w:rsidRPr="00C45157" w:rsidRDefault="0094717F" w:rsidP="0094717F">
            <w:pPr>
              <w:suppressAutoHyphens/>
              <w:jc w:val="both"/>
              <w:rPr>
                <w:rFonts w:eastAsia="Arial"/>
                <w:lang w:val="en-GB" w:eastAsia="ar-SA"/>
              </w:rPr>
            </w:pPr>
          </w:p>
        </w:tc>
        <w:tc>
          <w:tcPr>
            <w:tcW w:w="347" w:type="pct"/>
            <w:gridSpan w:val="3"/>
          </w:tcPr>
          <w:p w14:paraId="4E11E8BE"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201AB218" w14:textId="5AB018A0" w:rsidR="0094717F" w:rsidRPr="00C45157" w:rsidRDefault="0094717F" w:rsidP="0094717F"/>
        </w:tc>
        <w:tc>
          <w:tcPr>
            <w:tcW w:w="1031" w:type="pct"/>
            <w:gridSpan w:val="2"/>
            <w:shd w:val="clear" w:color="auto" w:fill="auto"/>
          </w:tcPr>
          <w:p w14:paraId="3B2EF9DE"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14348780"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3E3F08C6"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68BCE52A" w14:textId="77777777" w:rsidTr="001740B1">
        <w:trPr>
          <w:gridBefore w:val="1"/>
          <w:wBefore w:w="69" w:type="pct"/>
        </w:trPr>
        <w:tc>
          <w:tcPr>
            <w:tcW w:w="1032" w:type="pct"/>
          </w:tcPr>
          <w:p w14:paraId="593DC8A7" w14:textId="77777777" w:rsidR="0094717F" w:rsidRPr="00C45157" w:rsidRDefault="0094717F" w:rsidP="0094717F">
            <w:pPr>
              <w:suppressAutoHyphens/>
              <w:jc w:val="both"/>
              <w:rPr>
                <w:rFonts w:eastAsia="Arial"/>
                <w:lang w:val="en-GB" w:eastAsia="ar-SA"/>
              </w:rPr>
            </w:pPr>
          </w:p>
        </w:tc>
        <w:tc>
          <w:tcPr>
            <w:tcW w:w="347" w:type="pct"/>
            <w:gridSpan w:val="3"/>
          </w:tcPr>
          <w:p w14:paraId="32479A31"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7FF31660" w14:textId="77777777" w:rsidR="0094717F" w:rsidRDefault="0094717F" w:rsidP="0094717F"/>
        </w:tc>
        <w:tc>
          <w:tcPr>
            <w:tcW w:w="1031" w:type="pct"/>
            <w:gridSpan w:val="2"/>
            <w:shd w:val="clear" w:color="auto" w:fill="auto"/>
          </w:tcPr>
          <w:p w14:paraId="2BAE5324"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59B86611"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123079CA" w14:textId="77777777" w:rsidR="0094717F" w:rsidRPr="005507ED" w:rsidRDefault="0094717F" w:rsidP="0094717F">
            <w:pPr>
              <w:widowControl w:val="0"/>
              <w:suppressAutoHyphens/>
              <w:jc w:val="both"/>
              <w:rPr>
                <w:rFonts w:eastAsia="Arial Unicode MS"/>
                <w:b/>
                <w:color w:val="000000"/>
                <w:lang w:eastAsia="en-US" w:bidi="lt-LT"/>
              </w:rPr>
            </w:pPr>
          </w:p>
        </w:tc>
      </w:tr>
      <w:tr w:rsidR="0094717F" w:rsidRPr="005507ED" w14:paraId="6A8BD113" w14:textId="77777777" w:rsidTr="001740B1">
        <w:trPr>
          <w:gridBefore w:val="1"/>
          <w:wBefore w:w="69" w:type="pct"/>
        </w:trPr>
        <w:tc>
          <w:tcPr>
            <w:tcW w:w="1032" w:type="pct"/>
          </w:tcPr>
          <w:p w14:paraId="65C1F91D" w14:textId="501AC634" w:rsidR="0094717F" w:rsidRPr="00C45157" w:rsidRDefault="0094717F" w:rsidP="0094717F">
            <w:pPr>
              <w:suppressAutoHyphens/>
              <w:jc w:val="both"/>
              <w:rPr>
                <w:rFonts w:eastAsia="Arial"/>
                <w:lang w:val="en-GB" w:eastAsia="ar-SA"/>
              </w:rPr>
            </w:pPr>
          </w:p>
        </w:tc>
        <w:tc>
          <w:tcPr>
            <w:tcW w:w="347" w:type="pct"/>
            <w:gridSpan w:val="3"/>
          </w:tcPr>
          <w:p w14:paraId="5D7EAF04" w14:textId="77777777" w:rsidR="0094717F" w:rsidRPr="00573C30" w:rsidRDefault="0094717F" w:rsidP="0094717F">
            <w:pPr>
              <w:widowControl w:val="0"/>
              <w:suppressAutoHyphens/>
              <w:jc w:val="both"/>
              <w:rPr>
                <w:rFonts w:eastAsia="Arial Unicode MS"/>
                <w:b/>
                <w:color w:val="000000"/>
                <w:lang w:eastAsia="en-US" w:bidi="lt-LT"/>
              </w:rPr>
            </w:pPr>
          </w:p>
        </w:tc>
        <w:tc>
          <w:tcPr>
            <w:tcW w:w="1031" w:type="pct"/>
          </w:tcPr>
          <w:p w14:paraId="600D125B" w14:textId="77B4046D" w:rsidR="0094717F" w:rsidRDefault="0094717F" w:rsidP="0094717F"/>
        </w:tc>
        <w:tc>
          <w:tcPr>
            <w:tcW w:w="1031" w:type="pct"/>
            <w:gridSpan w:val="2"/>
            <w:shd w:val="clear" w:color="auto" w:fill="auto"/>
          </w:tcPr>
          <w:p w14:paraId="70860818" w14:textId="77777777" w:rsidR="0094717F" w:rsidRPr="00573C30" w:rsidRDefault="0094717F" w:rsidP="0094717F">
            <w:pPr>
              <w:widowControl w:val="0"/>
              <w:suppressAutoHyphens/>
              <w:jc w:val="both"/>
              <w:rPr>
                <w:rFonts w:eastAsia="Arial Unicode MS"/>
                <w:b/>
                <w:color w:val="000000"/>
                <w:lang w:eastAsia="en-US" w:bidi="lt-LT"/>
              </w:rPr>
            </w:pPr>
          </w:p>
        </w:tc>
        <w:tc>
          <w:tcPr>
            <w:tcW w:w="578" w:type="pct"/>
            <w:shd w:val="clear" w:color="auto" w:fill="auto"/>
          </w:tcPr>
          <w:p w14:paraId="60F17528" w14:textId="77777777" w:rsidR="0094717F" w:rsidRPr="005507ED" w:rsidRDefault="0094717F" w:rsidP="0094717F">
            <w:pPr>
              <w:widowControl w:val="0"/>
              <w:suppressAutoHyphens/>
              <w:ind w:right="870"/>
              <w:jc w:val="both"/>
              <w:rPr>
                <w:rFonts w:eastAsia="Arial Unicode MS"/>
                <w:b/>
                <w:color w:val="000000"/>
                <w:lang w:eastAsia="en-US" w:bidi="lt-LT"/>
              </w:rPr>
            </w:pPr>
          </w:p>
        </w:tc>
        <w:tc>
          <w:tcPr>
            <w:tcW w:w="911" w:type="pct"/>
            <w:shd w:val="clear" w:color="auto" w:fill="auto"/>
          </w:tcPr>
          <w:p w14:paraId="2A2863DD" w14:textId="77777777" w:rsidR="0094717F" w:rsidRPr="005507ED" w:rsidRDefault="0094717F" w:rsidP="0094717F">
            <w:pPr>
              <w:widowControl w:val="0"/>
              <w:suppressAutoHyphens/>
              <w:jc w:val="both"/>
              <w:rPr>
                <w:rFonts w:eastAsia="Arial Unicode MS"/>
                <w:b/>
                <w:color w:val="000000"/>
                <w:lang w:eastAsia="en-US" w:bidi="lt-LT"/>
              </w:rPr>
            </w:pPr>
          </w:p>
        </w:tc>
      </w:tr>
    </w:tbl>
    <w:p w14:paraId="7D1FB6A4" w14:textId="77777777"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246F" w14:textId="77777777" w:rsidR="00E931E1" w:rsidRDefault="00E931E1">
      <w:r>
        <w:separator/>
      </w:r>
    </w:p>
  </w:endnote>
  <w:endnote w:type="continuationSeparator" w:id="0">
    <w:p w14:paraId="03FC6068" w14:textId="77777777" w:rsidR="00E931E1" w:rsidRDefault="00E9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783B5" w14:textId="77777777" w:rsidR="00E931E1" w:rsidRDefault="00E931E1">
      <w:r>
        <w:separator/>
      </w:r>
    </w:p>
  </w:footnote>
  <w:footnote w:type="continuationSeparator" w:id="0">
    <w:p w14:paraId="207C2F5C" w14:textId="77777777" w:rsidR="00E931E1" w:rsidRDefault="00E9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0ABFA"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D26D44"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111" w14:textId="77777777" w:rsidR="003B65D9" w:rsidRDefault="003B65D9" w:rsidP="00EB04AE">
    <w:pPr>
      <w:pStyle w:val="Header"/>
      <w:framePr w:wrap="around" w:vAnchor="text" w:hAnchor="margin" w:xAlign="center" w:y="1"/>
      <w:rPr>
        <w:rStyle w:val="PageNumber"/>
      </w:rPr>
    </w:pPr>
  </w:p>
  <w:p w14:paraId="7E466B6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A72"/>
    <w:rsid w:val="00006E0F"/>
    <w:rsid w:val="00010D70"/>
    <w:rsid w:val="000134F5"/>
    <w:rsid w:val="000137AA"/>
    <w:rsid w:val="000155AF"/>
    <w:rsid w:val="000163AF"/>
    <w:rsid w:val="00017F60"/>
    <w:rsid w:val="0002013B"/>
    <w:rsid w:val="00020ABB"/>
    <w:rsid w:val="000274E3"/>
    <w:rsid w:val="000324B7"/>
    <w:rsid w:val="00033999"/>
    <w:rsid w:val="00034101"/>
    <w:rsid w:val="00034A68"/>
    <w:rsid w:val="00042E9F"/>
    <w:rsid w:val="00043F0E"/>
    <w:rsid w:val="00044E1B"/>
    <w:rsid w:val="000457FB"/>
    <w:rsid w:val="0004621C"/>
    <w:rsid w:val="00046519"/>
    <w:rsid w:val="00047409"/>
    <w:rsid w:val="000530A6"/>
    <w:rsid w:val="00053538"/>
    <w:rsid w:val="00056D2A"/>
    <w:rsid w:val="0006010C"/>
    <w:rsid w:val="00062469"/>
    <w:rsid w:val="00062BD0"/>
    <w:rsid w:val="00063E3D"/>
    <w:rsid w:val="00063FD4"/>
    <w:rsid w:val="00064CE6"/>
    <w:rsid w:val="000670D5"/>
    <w:rsid w:val="00067FB9"/>
    <w:rsid w:val="00073F9C"/>
    <w:rsid w:val="00074550"/>
    <w:rsid w:val="00074DAB"/>
    <w:rsid w:val="00075263"/>
    <w:rsid w:val="000803B6"/>
    <w:rsid w:val="0008050E"/>
    <w:rsid w:val="000820B7"/>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23BE"/>
    <w:rsid w:val="000D31DB"/>
    <w:rsid w:val="000D35FE"/>
    <w:rsid w:val="000D496B"/>
    <w:rsid w:val="000D669E"/>
    <w:rsid w:val="000D792D"/>
    <w:rsid w:val="000E242A"/>
    <w:rsid w:val="000E3914"/>
    <w:rsid w:val="000E4893"/>
    <w:rsid w:val="000E5D67"/>
    <w:rsid w:val="000E6C17"/>
    <w:rsid w:val="000E7ECE"/>
    <w:rsid w:val="000F1657"/>
    <w:rsid w:val="000F1E27"/>
    <w:rsid w:val="000F2AD0"/>
    <w:rsid w:val="000F3206"/>
    <w:rsid w:val="000F50B3"/>
    <w:rsid w:val="000F6744"/>
    <w:rsid w:val="0010248B"/>
    <w:rsid w:val="00104989"/>
    <w:rsid w:val="0010619B"/>
    <w:rsid w:val="00107939"/>
    <w:rsid w:val="00107F79"/>
    <w:rsid w:val="00107FA3"/>
    <w:rsid w:val="001101A3"/>
    <w:rsid w:val="001112AB"/>
    <w:rsid w:val="00114561"/>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0B1"/>
    <w:rsid w:val="00174CEB"/>
    <w:rsid w:val="001819A9"/>
    <w:rsid w:val="00183B03"/>
    <w:rsid w:val="00190248"/>
    <w:rsid w:val="00195E7B"/>
    <w:rsid w:val="00196FEF"/>
    <w:rsid w:val="001A0D32"/>
    <w:rsid w:val="001A1C50"/>
    <w:rsid w:val="001A1F7A"/>
    <w:rsid w:val="001A236B"/>
    <w:rsid w:val="001A3672"/>
    <w:rsid w:val="001A39E4"/>
    <w:rsid w:val="001A4564"/>
    <w:rsid w:val="001A5610"/>
    <w:rsid w:val="001A7311"/>
    <w:rsid w:val="001B1CB9"/>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6A1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34E"/>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52E"/>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ECC"/>
    <w:rsid w:val="00412622"/>
    <w:rsid w:val="004128F9"/>
    <w:rsid w:val="0041512E"/>
    <w:rsid w:val="00415D1F"/>
    <w:rsid w:val="00416688"/>
    <w:rsid w:val="004211EA"/>
    <w:rsid w:val="0042565B"/>
    <w:rsid w:val="00425E86"/>
    <w:rsid w:val="00426A13"/>
    <w:rsid w:val="00427155"/>
    <w:rsid w:val="00427F9A"/>
    <w:rsid w:val="00430481"/>
    <w:rsid w:val="004322A5"/>
    <w:rsid w:val="004364E9"/>
    <w:rsid w:val="00440292"/>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866C6"/>
    <w:rsid w:val="00490EBE"/>
    <w:rsid w:val="004917A6"/>
    <w:rsid w:val="004926FD"/>
    <w:rsid w:val="0049440F"/>
    <w:rsid w:val="00496004"/>
    <w:rsid w:val="004A0CAE"/>
    <w:rsid w:val="004A35D5"/>
    <w:rsid w:val="004A3DBE"/>
    <w:rsid w:val="004A6DBB"/>
    <w:rsid w:val="004B1292"/>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2F8B"/>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80C5A"/>
    <w:rsid w:val="00681C35"/>
    <w:rsid w:val="00681D91"/>
    <w:rsid w:val="00683419"/>
    <w:rsid w:val="006841A5"/>
    <w:rsid w:val="00684E2A"/>
    <w:rsid w:val="00690AB0"/>
    <w:rsid w:val="00693E67"/>
    <w:rsid w:val="006946FB"/>
    <w:rsid w:val="006958AF"/>
    <w:rsid w:val="0069677F"/>
    <w:rsid w:val="006976FE"/>
    <w:rsid w:val="006A0D94"/>
    <w:rsid w:val="006A3476"/>
    <w:rsid w:val="006B392F"/>
    <w:rsid w:val="006B479B"/>
    <w:rsid w:val="006B64F4"/>
    <w:rsid w:val="006C05C4"/>
    <w:rsid w:val="006C0824"/>
    <w:rsid w:val="006C0E9C"/>
    <w:rsid w:val="006C24BC"/>
    <w:rsid w:val="006C4385"/>
    <w:rsid w:val="006D1B17"/>
    <w:rsid w:val="006D5131"/>
    <w:rsid w:val="006D67EE"/>
    <w:rsid w:val="006E16CC"/>
    <w:rsid w:val="006E3687"/>
    <w:rsid w:val="006F008D"/>
    <w:rsid w:val="006F078E"/>
    <w:rsid w:val="006F24D5"/>
    <w:rsid w:val="006F3C3F"/>
    <w:rsid w:val="006F5433"/>
    <w:rsid w:val="006F675A"/>
    <w:rsid w:val="006F6DC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0FB3"/>
    <w:rsid w:val="007511AF"/>
    <w:rsid w:val="007513FE"/>
    <w:rsid w:val="007522B4"/>
    <w:rsid w:val="00754BA4"/>
    <w:rsid w:val="0075500B"/>
    <w:rsid w:val="0075505E"/>
    <w:rsid w:val="00760977"/>
    <w:rsid w:val="007702A5"/>
    <w:rsid w:val="00770B20"/>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986"/>
    <w:rsid w:val="00814CBA"/>
    <w:rsid w:val="00815EAA"/>
    <w:rsid w:val="008163BF"/>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508E"/>
    <w:rsid w:val="0088536D"/>
    <w:rsid w:val="00886185"/>
    <w:rsid w:val="00892165"/>
    <w:rsid w:val="00892774"/>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3743"/>
    <w:rsid w:val="008C55C8"/>
    <w:rsid w:val="008E5120"/>
    <w:rsid w:val="008E64FC"/>
    <w:rsid w:val="008E7C0A"/>
    <w:rsid w:val="008F0586"/>
    <w:rsid w:val="008F29B4"/>
    <w:rsid w:val="008F4636"/>
    <w:rsid w:val="00910341"/>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4717F"/>
    <w:rsid w:val="009523E7"/>
    <w:rsid w:val="0095581C"/>
    <w:rsid w:val="00956358"/>
    <w:rsid w:val="009566DA"/>
    <w:rsid w:val="009569E0"/>
    <w:rsid w:val="00962B8E"/>
    <w:rsid w:val="00963B1D"/>
    <w:rsid w:val="00964060"/>
    <w:rsid w:val="00966B72"/>
    <w:rsid w:val="00971EA0"/>
    <w:rsid w:val="0097231A"/>
    <w:rsid w:val="00973545"/>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E30"/>
    <w:rsid w:val="009E2E9B"/>
    <w:rsid w:val="009E43E9"/>
    <w:rsid w:val="009E5A56"/>
    <w:rsid w:val="009E675F"/>
    <w:rsid w:val="009E738E"/>
    <w:rsid w:val="009F35A0"/>
    <w:rsid w:val="009F412A"/>
    <w:rsid w:val="009F51DA"/>
    <w:rsid w:val="00A041A3"/>
    <w:rsid w:val="00A0561C"/>
    <w:rsid w:val="00A06203"/>
    <w:rsid w:val="00A1016B"/>
    <w:rsid w:val="00A123F0"/>
    <w:rsid w:val="00A12BF7"/>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91D"/>
    <w:rsid w:val="00A33B8C"/>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CE0"/>
    <w:rsid w:val="00AE74DD"/>
    <w:rsid w:val="00AF2974"/>
    <w:rsid w:val="00AF377A"/>
    <w:rsid w:val="00AF3D5D"/>
    <w:rsid w:val="00AF5175"/>
    <w:rsid w:val="00AF5F98"/>
    <w:rsid w:val="00AF65FF"/>
    <w:rsid w:val="00AF66A6"/>
    <w:rsid w:val="00B03C14"/>
    <w:rsid w:val="00B04736"/>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2411"/>
    <w:rsid w:val="00BA530F"/>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0F6"/>
    <w:rsid w:val="00C32AF0"/>
    <w:rsid w:val="00C332AB"/>
    <w:rsid w:val="00C336F1"/>
    <w:rsid w:val="00C33813"/>
    <w:rsid w:val="00C33CC2"/>
    <w:rsid w:val="00C33D3A"/>
    <w:rsid w:val="00C374AD"/>
    <w:rsid w:val="00C4065E"/>
    <w:rsid w:val="00C41C5A"/>
    <w:rsid w:val="00C43BC5"/>
    <w:rsid w:val="00C449D5"/>
    <w:rsid w:val="00C4732A"/>
    <w:rsid w:val="00C5143F"/>
    <w:rsid w:val="00C51B07"/>
    <w:rsid w:val="00C526B5"/>
    <w:rsid w:val="00C52D42"/>
    <w:rsid w:val="00C61A76"/>
    <w:rsid w:val="00C61B59"/>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05C0"/>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05F"/>
    <w:rsid w:val="00D0053B"/>
    <w:rsid w:val="00D01E74"/>
    <w:rsid w:val="00D0327A"/>
    <w:rsid w:val="00D03DFA"/>
    <w:rsid w:val="00D044BB"/>
    <w:rsid w:val="00D0549D"/>
    <w:rsid w:val="00D061C8"/>
    <w:rsid w:val="00D06ACE"/>
    <w:rsid w:val="00D1015D"/>
    <w:rsid w:val="00D136E9"/>
    <w:rsid w:val="00D139AE"/>
    <w:rsid w:val="00D15279"/>
    <w:rsid w:val="00D21F1D"/>
    <w:rsid w:val="00D262A9"/>
    <w:rsid w:val="00D26A30"/>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4DA"/>
    <w:rsid w:val="00D657D5"/>
    <w:rsid w:val="00D70353"/>
    <w:rsid w:val="00D70CB6"/>
    <w:rsid w:val="00D72B13"/>
    <w:rsid w:val="00D73574"/>
    <w:rsid w:val="00D7482F"/>
    <w:rsid w:val="00D8002B"/>
    <w:rsid w:val="00D804D5"/>
    <w:rsid w:val="00D9022C"/>
    <w:rsid w:val="00D906DE"/>
    <w:rsid w:val="00D92F70"/>
    <w:rsid w:val="00D93585"/>
    <w:rsid w:val="00D962AF"/>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E5"/>
    <w:rsid w:val="00DD41CC"/>
    <w:rsid w:val="00DD5BA0"/>
    <w:rsid w:val="00DD6B0A"/>
    <w:rsid w:val="00DD777F"/>
    <w:rsid w:val="00DE03D6"/>
    <w:rsid w:val="00DE0D90"/>
    <w:rsid w:val="00DE219D"/>
    <w:rsid w:val="00DE462E"/>
    <w:rsid w:val="00DE4757"/>
    <w:rsid w:val="00DE5488"/>
    <w:rsid w:val="00DE72EA"/>
    <w:rsid w:val="00DE7504"/>
    <w:rsid w:val="00DF18D4"/>
    <w:rsid w:val="00DF7478"/>
    <w:rsid w:val="00E0236C"/>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1BD"/>
    <w:rsid w:val="00E31EED"/>
    <w:rsid w:val="00E3569C"/>
    <w:rsid w:val="00E35D4E"/>
    <w:rsid w:val="00E40BDB"/>
    <w:rsid w:val="00E45BC7"/>
    <w:rsid w:val="00E4632D"/>
    <w:rsid w:val="00E505D8"/>
    <w:rsid w:val="00E520D1"/>
    <w:rsid w:val="00E52292"/>
    <w:rsid w:val="00E53C1E"/>
    <w:rsid w:val="00E549FF"/>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931E1"/>
    <w:rsid w:val="00E96286"/>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3F8F"/>
    <w:rsid w:val="00EE4BD4"/>
    <w:rsid w:val="00EE51A8"/>
    <w:rsid w:val="00EF103C"/>
    <w:rsid w:val="00EF1E5D"/>
    <w:rsid w:val="00EF517F"/>
    <w:rsid w:val="00EF7207"/>
    <w:rsid w:val="00F000E2"/>
    <w:rsid w:val="00F0139C"/>
    <w:rsid w:val="00F028D1"/>
    <w:rsid w:val="00F0353A"/>
    <w:rsid w:val="00F039F8"/>
    <w:rsid w:val="00F0567C"/>
    <w:rsid w:val="00F05BC8"/>
    <w:rsid w:val="00F06C80"/>
    <w:rsid w:val="00F07D92"/>
    <w:rsid w:val="00F10760"/>
    <w:rsid w:val="00F13282"/>
    <w:rsid w:val="00F134F3"/>
    <w:rsid w:val="00F141A8"/>
    <w:rsid w:val="00F1478D"/>
    <w:rsid w:val="00F16613"/>
    <w:rsid w:val="00F201A5"/>
    <w:rsid w:val="00F20776"/>
    <w:rsid w:val="00F20928"/>
    <w:rsid w:val="00F2500B"/>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B0202"/>
    <w:rsid w:val="00FB0F49"/>
    <w:rsid w:val="00FB33F0"/>
    <w:rsid w:val="00FB4165"/>
    <w:rsid w:val="00FC0184"/>
    <w:rsid w:val="00FC364A"/>
    <w:rsid w:val="00FC39B1"/>
    <w:rsid w:val="00FC5ACE"/>
    <w:rsid w:val="00FD157B"/>
    <w:rsid w:val="00FD213B"/>
    <w:rsid w:val="00FD4454"/>
    <w:rsid w:val="00FD5F59"/>
    <w:rsid w:val="00FD5F69"/>
    <w:rsid w:val="00FD62AA"/>
    <w:rsid w:val="00FE0FB5"/>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7C297E"/>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0B1"/>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rsid w:val="00496004"/>
    <w:rPr>
      <w:rFonts w:ascii="Consolas" w:hAnsi="Consolas"/>
      <w:sz w:val="21"/>
      <w:szCs w:val="21"/>
    </w:rPr>
  </w:style>
  <w:style w:type="character" w:customStyle="1" w:styleId="PlainTextChar">
    <w:name w:val="Plain Text Char"/>
    <w:basedOn w:val="DefaultParagraphFont"/>
    <w:link w:val="PlainText"/>
    <w:rsid w:val="00496004"/>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15186755">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891F-1513-4A61-B9F8-41F3EF45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17</Pages>
  <Words>9266</Words>
  <Characters>52817</Characters>
  <Application>Microsoft Office Word</Application>
  <DocSecurity>0</DocSecurity>
  <Lines>440</Lines>
  <Paragraphs>123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61960</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27</cp:revision>
  <cp:lastPrinted>2023-04-28T06:27:00Z</cp:lastPrinted>
  <dcterms:created xsi:type="dcterms:W3CDTF">2023-02-13T07:38:00Z</dcterms:created>
  <dcterms:modified xsi:type="dcterms:W3CDTF">2023-04-28T06:48:00Z</dcterms:modified>
</cp:coreProperties>
</file>