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E1" w:rsidRDefault="00324017">
      <w:pPr>
        <w:jc w:val="center"/>
        <w:rPr>
          <w:b/>
        </w:rPr>
      </w:pPr>
      <w:r>
        <w:rPr>
          <w:b/>
        </w:rPr>
        <w:t>PREKIŲ VIEŠOJO PIRKIMO–PARDAVIMO SUTARTIS NR. ____</w:t>
      </w:r>
    </w:p>
    <w:p w:rsidR="00501FE1" w:rsidRDefault="00324017">
      <w:pPr>
        <w:jc w:val="center"/>
      </w:pPr>
      <w:r>
        <w:rPr>
          <w:b/>
        </w:rPr>
        <w:t xml:space="preserve">Pirkimo   Nr. </w:t>
      </w:r>
      <w:r w:rsidR="00514084">
        <w:rPr>
          <w:b/>
        </w:rPr>
        <w:t>609657</w:t>
      </w:r>
    </w:p>
    <w:p w:rsidR="00501FE1" w:rsidRDefault="00324017">
      <w:pPr>
        <w:jc w:val="center"/>
      </w:pPr>
      <w:r>
        <w:rPr>
          <w:b/>
          <w:color w:val="000000"/>
        </w:rPr>
        <w:t>202</w:t>
      </w:r>
      <w:r w:rsidR="00514084">
        <w:rPr>
          <w:b/>
          <w:color w:val="000000"/>
        </w:rPr>
        <w:t>2</w:t>
      </w:r>
      <w:r>
        <w:rPr>
          <w:b/>
          <w:color w:val="000000"/>
        </w:rPr>
        <w:t xml:space="preserve"> m. </w:t>
      </w:r>
      <w:r w:rsidR="00514084">
        <w:rPr>
          <w:b/>
          <w:color w:val="000000"/>
        </w:rPr>
        <w:t>liepos 19</w:t>
      </w:r>
      <w:r>
        <w:rPr>
          <w:b/>
          <w:color w:val="000000"/>
        </w:rPr>
        <w:t xml:space="preserve"> d.</w:t>
      </w:r>
    </w:p>
    <w:p w:rsidR="00501FE1" w:rsidRDefault="00501FE1">
      <w:pPr>
        <w:jc w:val="center"/>
      </w:pPr>
    </w:p>
    <w:p w:rsidR="00501FE1" w:rsidRDefault="00324017">
      <w:pPr>
        <w:jc w:val="both"/>
      </w:pPr>
      <w:r>
        <w:t xml:space="preserve">UAB „Šalčininkų autobusų parkas“, juridinio asmens kodas 174919318, kurios registruota buveinė yra Vilniaus g. 56, Šalčininkai, LT - 17116,  duomenys apie įmonę kaupiami ir saugomi Lietuvos Respublikos juridinių asmenų registre, atstovaujama  direktorės Teresos Butrimovič, veikiančios pagal įmonės įstatus (toliau – Pirkėjas), ir UAB „RYTAS“, įmonės kodas </w:t>
      </w:r>
      <w:r>
        <w:rPr>
          <w:color w:val="000000"/>
        </w:rPr>
        <w:t>185103120</w:t>
      </w:r>
      <w:r>
        <w:t>, kurios registruota buveinė yra Žemdirbių g. 5</w:t>
      </w:r>
      <w:r>
        <w:rPr>
          <w:color w:val="000000"/>
        </w:rPr>
        <w:t>, LT-70171 Vilkaviškis</w:t>
      </w:r>
      <w:r>
        <w:t>, duomenys apie įmonę kaupiami ir saugomi Lietuvos juridinių asmenų registre, atstovaujama Vilniaus filialo direktoriaus Sigito Gružausko, veikiančio pagal įmonės įstatus (toliau – Tiekėjas), toliau kartu šioje prekių viešojo pirkimo–pardavimo sutartyje vadinami „Šalimis“, o kiekvienas atskirai – „Šalimi“, sudarė šią prekių viešojo pirkimo–pardavimo sutartį, toliau vadinamą „Sutartimi“, ir susitarė dėl toliau išvardintų sąlygų.</w:t>
      </w:r>
    </w:p>
    <w:p w:rsidR="00501FE1" w:rsidRDefault="00324017">
      <w:pPr>
        <w:numPr>
          <w:ilvl w:val="0"/>
          <w:numId w:val="1"/>
        </w:numPr>
        <w:jc w:val="center"/>
        <w:rPr>
          <w:b/>
        </w:rPr>
      </w:pPr>
      <w:r>
        <w:rPr>
          <w:b/>
        </w:rPr>
        <w:t>SUTARTIES DALYKAS</w:t>
      </w:r>
    </w:p>
    <w:p w:rsidR="00501FE1" w:rsidRDefault="00324017">
      <w:pPr>
        <w:jc w:val="both"/>
      </w:pPr>
      <w:r>
        <w:t xml:space="preserve">1.Sutarties dalykas yra </w:t>
      </w:r>
      <w:r w:rsidR="003F09CC">
        <w:t>akumuliatorinių</w:t>
      </w:r>
      <w:r>
        <w:t xml:space="preserve"> </w:t>
      </w:r>
      <w:r w:rsidR="003F09CC">
        <w:t>baterijų autobusams</w:t>
      </w:r>
      <w:bookmarkStart w:id="0" w:name="_GoBack"/>
      <w:bookmarkEnd w:id="0"/>
      <w:r>
        <w:t xml:space="preserve"> (toliau – Prekės) pirkimas. </w:t>
      </w:r>
    </w:p>
    <w:p w:rsidR="00501FE1" w:rsidRDefault="00324017">
      <w:pPr>
        <w:numPr>
          <w:ilvl w:val="0"/>
          <w:numId w:val="1"/>
        </w:numPr>
        <w:tabs>
          <w:tab w:val="left" w:pos="0"/>
          <w:tab w:val="left" w:pos="284"/>
        </w:tabs>
        <w:ind w:left="0" w:firstLine="0"/>
        <w:jc w:val="both"/>
      </w:pPr>
      <w:r>
        <w:t>Sutartis sudaroma remiantis atviro konkurso (</w:t>
      </w:r>
      <w:r>
        <w:rPr>
          <w:b/>
        </w:rPr>
        <w:t>paskelbtas Centrinėje viešųjų pirkimų informacinėje sistemoje  202</w:t>
      </w:r>
      <w:r w:rsidR="00514084">
        <w:rPr>
          <w:b/>
        </w:rPr>
        <w:t>2</w:t>
      </w:r>
      <w:r>
        <w:rPr>
          <w:b/>
        </w:rPr>
        <w:t xml:space="preserve"> m. </w:t>
      </w:r>
      <w:r w:rsidR="00514084">
        <w:rPr>
          <w:b/>
        </w:rPr>
        <w:t>birželio 16</w:t>
      </w:r>
      <w:r>
        <w:rPr>
          <w:b/>
        </w:rPr>
        <w:t xml:space="preserve"> d., Pirkimo Nr. </w:t>
      </w:r>
      <w:r w:rsidR="00514084">
        <w:rPr>
          <w:b/>
        </w:rPr>
        <w:t>609657</w:t>
      </w:r>
      <w:r>
        <w:t>) pirkimo sąlygomis ir rezultatais.</w:t>
      </w:r>
    </w:p>
    <w:p w:rsidR="00501FE1" w:rsidRDefault="00324017">
      <w:pPr>
        <w:numPr>
          <w:ilvl w:val="0"/>
          <w:numId w:val="1"/>
        </w:numPr>
        <w:tabs>
          <w:tab w:val="left" w:pos="0"/>
          <w:tab w:val="left" w:pos="284"/>
        </w:tabs>
        <w:ind w:left="0" w:firstLine="0"/>
        <w:jc w:val="both"/>
      </w:pPr>
      <w:r>
        <w:t>Perkamos Prekės nurodytos Pasiūlyme, kuris yra neatskiriama šios Sutarties dalis.</w:t>
      </w:r>
    </w:p>
    <w:p w:rsidR="00501FE1" w:rsidRDefault="00324017">
      <w:pPr>
        <w:numPr>
          <w:ilvl w:val="0"/>
          <w:numId w:val="1"/>
        </w:numPr>
        <w:tabs>
          <w:tab w:val="left" w:pos="0"/>
          <w:tab w:val="left" w:pos="284"/>
        </w:tabs>
        <w:ind w:left="0" w:firstLine="0"/>
        <w:jc w:val="both"/>
      </w:pPr>
      <w:r>
        <w:t>Prekių kiekiai yra preliminarūs. Pirkėjas turi teisę perkamų Prekių kiekį sumažinti arba padidinti priklausomai nuo savo poreikių. Perkamų Prekių kiekį sumažinus ar padidinus, šių Prekių pirkimui lieka galioti šios Sutarties sąlygos ir Prekių vienetų kainos.</w:t>
      </w:r>
    </w:p>
    <w:p w:rsidR="00501FE1" w:rsidRDefault="00501FE1">
      <w:pPr>
        <w:tabs>
          <w:tab w:val="left" w:pos="284"/>
        </w:tabs>
        <w:jc w:val="both"/>
      </w:pPr>
    </w:p>
    <w:p w:rsidR="00501FE1" w:rsidRDefault="00324017">
      <w:pPr>
        <w:jc w:val="center"/>
        <w:rPr>
          <w:b/>
        </w:rPr>
      </w:pPr>
      <w:r>
        <w:rPr>
          <w:b/>
        </w:rPr>
        <w:t>II. PREKIŲ KAINOS IR MOKĖJIMO SĄLYGOS</w:t>
      </w:r>
    </w:p>
    <w:p w:rsidR="00501FE1" w:rsidRDefault="00324017">
      <w:pPr>
        <w:widowControl w:val="0"/>
        <w:tabs>
          <w:tab w:val="left" w:pos="4111"/>
        </w:tabs>
        <w:jc w:val="both"/>
      </w:pPr>
      <w:r>
        <w:t>5.</w:t>
      </w:r>
      <w:r>
        <w:rPr>
          <w:b/>
        </w:rPr>
        <w:t xml:space="preserve"> </w:t>
      </w:r>
      <w:r>
        <w:rPr>
          <w:bCs/>
        </w:rPr>
        <w:t xml:space="preserve">Prekių kainos už vienetą nurodytos tiekėjo pasiūlyme. Jos </w:t>
      </w:r>
      <w:r>
        <w:t>negali b</w:t>
      </w:r>
      <w:r>
        <w:rPr>
          <w:rFonts w:eastAsia="Arial Unicode MS"/>
        </w:rPr>
        <w:t xml:space="preserve">ūti keičiamos visą Sutarties galiojimo laikotarpį. </w:t>
      </w:r>
    </w:p>
    <w:p w:rsidR="00501FE1" w:rsidRDefault="00324017">
      <w:pPr>
        <w:jc w:val="both"/>
      </w:pPr>
      <w:r>
        <w:rPr>
          <w:rFonts w:eastAsia="Arial Unicode MS"/>
        </w:rPr>
        <w:t xml:space="preserve">6. </w:t>
      </w:r>
      <w:r>
        <w:t>Už tinkamas, kokybiškas ir nustatytais terminais patiektas Prekes Pirkėjas atsiskaito pagal Tiekėjo pateiktą sąskaitą faktūrą per 30 kalendorinių dienų nuo sąskaitos - faktūros gavimo dienos.</w:t>
      </w:r>
    </w:p>
    <w:p w:rsidR="00501FE1" w:rsidRDefault="00324017">
      <w:pPr>
        <w:jc w:val="both"/>
      </w:pPr>
      <w:r>
        <w:t>7.Pirkėjas už perkamas Prekes Tiekėjui atsiskaito mokėjimo pavedimu į Tiekėjo nurodytą banko sąskaitą. Apmokėjimas laikomas įvykdytu, kai pinigai patenka į Tiekėjo šiame punkte nurodytą sąskaitą.</w:t>
      </w:r>
    </w:p>
    <w:p w:rsidR="00501FE1" w:rsidRDefault="00501FE1">
      <w:pPr>
        <w:jc w:val="both"/>
      </w:pPr>
    </w:p>
    <w:p w:rsidR="00501FE1" w:rsidRDefault="00324017">
      <w:pPr>
        <w:jc w:val="center"/>
        <w:rPr>
          <w:b/>
        </w:rPr>
      </w:pPr>
      <w:r>
        <w:rPr>
          <w:b/>
        </w:rPr>
        <w:t>III. PREKIŲ UŽSAKYMAS IR PRISTATYMAS</w:t>
      </w:r>
    </w:p>
    <w:p w:rsidR="00501FE1" w:rsidRDefault="00324017">
      <w:pPr>
        <w:jc w:val="both"/>
      </w:pPr>
      <w:r>
        <w:t>8.</w:t>
      </w:r>
      <w:r>
        <w:rPr>
          <w:b/>
        </w:rPr>
        <w:t xml:space="preserve"> Pirkėjas Prekes užsako telefonu arba kitomis elektroninėmis ryšio priemonėmis. Tiekėjas savo transportu pristato Prekes Pirkėjui adresu Vilniaus g. 7, Šalčininkai. Jei užsakymas pateiktas darbo dieną iki 16.00 val., prekės pristatomos kitą darbo dieną iki 10.00 val. </w:t>
      </w:r>
      <w:r>
        <w:t xml:space="preserve">Iškilus būtinybei pateikti Prekes nedelsiant arba vėliau, šią galimybę Pirkėjas derina su Tiekėju kiekvienu konkrečiu atveju. </w:t>
      </w:r>
    </w:p>
    <w:p w:rsidR="00501FE1" w:rsidRDefault="00324017">
      <w:pPr>
        <w:jc w:val="both"/>
      </w:pPr>
      <w:r>
        <w:t>9. Jei pristatymo metu yra akivaizdus Prekių pažeidimas ir/ar kyla įtarimų, kad Prekės gali būti nekokybiškos ar galimas jų trūkumas, Pirkėjo atstovas privalo Tiekėjo atstovo, pristačiusio Prekes, akivaizdoje, sutikrinti pristatytas Prekes. Nustačius Prekių trūkumą ar nekokybiškumą, Prekės grąžinamos Tiekėjui, ar imamasi kitų teisėtų veiksmų tinkamam Sutarties vykdymui užtikrinti. Iškilus būtinybei pateikti Prekes nedelsiant arba vėliau, šią galimybę Pirkėjas derina su Tiekėju kiekvienu konkrečiu atveju.</w:t>
      </w:r>
    </w:p>
    <w:p w:rsidR="00501FE1" w:rsidRDefault="00501FE1"/>
    <w:p w:rsidR="00501FE1" w:rsidRDefault="00324017">
      <w:pPr>
        <w:jc w:val="center"/>
        <w:rPr>
          <w:b/>
        </w:rPr>
      </w:pPr>
      <w:r>
        <w:rPr>
          <w:b/>
        </w:rPr>
        <w:t>IV. PREKIŲ KOKYBĖ IR GARANTINIAI ĮSIPAREIGOJIMAI</w:t>
      </w:r>
    </w:p>
    <w:p w:rsidR="00501FE1" w:rsidRDefault="00324017">
      <w:pPr>
        <w:jc w:val="both"/>
      </w:pPr>
      <w:r>
        <w:t>10.Tiekėjas garantuoja, kad šios Sutarties pagrindu tiekiamos Prekės visiškai atitinka Pirkėjo reikalavimus, keliamus atviro konkurso pirkimo dokumentuose.</w:t>
      </w:r>
    </w:p>
    <w:p w:rsidR="00501FE1" w:rsidRDefault="00324017">
      <w:pPr>
        <w:tabs>
          <w:tab w:val="left" w:pos="284"/>
        </w:tabs>
        <w:jc w:val="both"/>
      </w:pPr>
      <w:r>
        <w:t>11.Tiekėjas garantuoja Prekių kokybę bei paslėptų trūkumų nebuvimą. Prekių kokybė privalo atitikti konkurso pirkimo dokumentuose ir Sutarties sąlygose pateiktus reikalavimus.</w:t>
      </w:r>
    </w:p>
    <w:p w:rsidR="00501FE1" w:rsidRDefault="00324017">
      <w:pPr>
        <w:tabs>
          <w:tab w:val="left" w:pos="284"/>
        </w:tabs>
        <w:jc w:val="both"/>
      </w:pPr>
      <w:r>
        <w:t>12.Prekėms Tiekėjas suteikia garantijas, nurodytas atviro konkurso pirkimo dokumentuose.</w:t>
      </w:r>
    </w:p>
    <w:p w:rsidR="00501FE1" w:rsidRDefault="00324017">
      <w:pPr>
        <w:jc w:val="both"/>
      </w:pPr>
      <w:r>
        <w:t>13.Jei per Sutartyje nurodytą garantinį terminą po Prekių</w:t>
      </w:r>
      <w:r>
        <w:rPr>
          <w:i/>
        </w:rPr>
        <w:t xml:space="preserve"> </w:t>
      </w:r>
      <w:r>
        <w:t xml:space="preserve">perdavimo Pirkėjui dienos išryškėja paslėptų Prekių trūkumų, kurie atsirado ne dėl to, kad Pirkėjas pažeidė Prekių naudojimo ir /ar daiktų saugojimo taisykles, Pirkėjas per 3 (tris) darbo dienas turi pranešti apie tokius neatitikimus Tiekėjui, Šalys </w:t>
      </w:r>
      <w:r>
        <w:lastRenderedPageBreak/>
        <w:t>tarpusavio susitarimu nustato protingą terminą, per kurį Tiekėjas turi pašalinti defektą. Gavęs pranešimą Tiekėjas per pranešime nurodytą, Šalių tarpusavio sutarimu suderintą terminą privalo pakeisti Prekes tinkamos kokybės Prekėmis bei pašalinti trūkumus. Jeigu per pranešime nurodytą terminą Tiekėjas nepašalina trūkumų, Tiekėjas turi atlyginti Pirkėjo turėtas išlaidas dėl trūkumų šalinimo. Tai laikoma Sutarties vykdymo sąlygų pažeidimu ir taikomos Sutartyje numatytos sankcijos už Sutarties sąlygų nevykdymą arba netinkamą jų vykdymą.</w:t>
      </w:r>
    </w:p>
    <w:p w:rsidR="00501FE1" w:rsidRDefault="00501FE1"/>
    <w:p w:rsidR="00501FE1" w:rsidRDefault="00324017">
      <w:pPr>
        <w:jc w:val="center"/>
        <w:rPr>
          <w:b/>
        </w:rPr>
      </w:pPr>
      <w:r>
        <w:rPr>
          <w:b/>
        </w:rPr>
        <w:t>V. ŠALIŲ ATSAKOMYBĖ</w:t>
      </w:r>
    </w:p>
    <w:p w:rsidR="00501FE1" w:rsidRDefault="00324017">
      <w:pPr>
        <w:jc w:val="both"/>
      </w:pPr>
      <w:r>
        <w:t>14.Šalių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501FE1" w:rsidRDefault="00324017">
      <w:pPr>
        <w:jc w:val="both"/>
      </w:pPr>
      <w:r>
        <w:t>15.Tiekėjas įsipareigoja:</w:t>
      </w:r>
    </w:p>
    <w:p w:rsidR="00501FE1" w:rsidRDefault="00324017">
      <w:pPr>
        <w:jc w:val="both"/>
      </w:pPr>
      <w:r>
        <w:t xml:space="preserve">15.1.nuosekliai vykdyti Sutartimi prisiimtus įsipareigojimus, numatytus Sutartyje ir Techninėje specifikacijoje, įskaitant ir Prekių defektų/trūkumų šalinimą; </w:t>
      </w:r>
    </w:p>
    <w:p w:rsidR="00501FE1" w:rsidRDefault="00324017">
      <w:pPr>
        <w:jc w:val="both"/>
      </w:pPr>
      <w:r>
        <w:t xml:space="preserve">15.2. tiekti Prekes, atitinkančias standartų reikalavimus ir neblogesnės kokybės nei buvo reikalauta pirkimo konkurse pagal Pirkėjo atsakingų darbuotojų užsakymus, kuriuose nurodomas Prekių asortimentas ir kiekis, Tiekėjo pasiūlyme nurodytomis kainomis; </w:t>
      </w:r>
    </w:p>
    <w:p w:rsidR="00501FE1" w:rsidRDefault="00324017">
      <w:pPr>
        <w:jc w:val="both"/>
      </w:pPr>
      <w:r>
        <w:t>15.3.prisiimti Prekių žuvimo ar sugedimo riziką iki Prekių perdavimo-priėmimo akto pasirašymo momento;</w:t>
      </w:r>
    </w:p>
    <w:p w:rsidR="00501FE1" w:rsidRDefault="00324017">
      <w:pPr>
        <w:jc w:val="both"/>
      </w:pPr>
      <w:r>
        <w:t xml:space="preserve">15.4.gavus iš Pirkėjo pagrįstą pretenziją dėl Prekių kokybės arba pristatyto kiekio neatitikimo, nedelsiant, bet ne vėliau kaip per 3 darbo dienas nuo pranešimo gavimo dienos, ištaisyti nurodytus trūkumus; </w:t>
      </w:r>
    </w:p>
    <w:p w:rsidR="00501FE1" w:rsidRDefault="00324017">
      <w:pPr>
        <w:jc w:val="both"/>
      </w:pPr>
      <w:r>
        <w:t xml:space="preserve">15.5.per Pirkėjo nustatytą terminą savo lėšomis atlyginti Pirkėjui visus nuostolius ar žalą, susidariusius dėl Tiekėjo netinkamo Sutarties įvykdymo arba nevykdymo; </w:t>
      </w:r>
    </w:p>
    <w:p w:rsidR="00501FE1" w:rsidRDefault="00324017">
      <w:pPr>
        <w:jc w:val="both"/>
      </w:pPr>
      <w:r>
        <w:t>15.6.laikytis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rsidR="00501FE1" w:rsidRDefault="00324017">
      <w:pPr>
        <w:jc w:val="both"/>
      </w:pPr>
      <w:r>
        <w:t xml:space="preserve">16.Pirkėjas įsipareigoja: </w:t>
      </w:r>
    </w:p>
    <w:p w:rsidR="00501FE1" w:rsidRDefault="00324017">
      <w:pPr>
        <w:jc w:val="both"/>
      </w:pPr>
      <w:r>
        <w:t xml:space="preserve">16.1.užsakymus pateikti laiku ir išsamiai, aiškiai nurodant Prekių pavadinimus, kiekius, o esant reikalui ir specifinius  reikalavimus kokybei; </w:t>
      </w:r>
    </w:p>
    <w:p w:rsidR="00501FE1" w:rsidRDefault="00324017">
      <w:pPr>
        <w:jc w:val="both"/>
      </w:pPr>
      <w:r>
        <w:t xml:space="preserve">16.2.priimti Šalių sutartu laiku pristatytas Prekes, jeigu jos atitinka šios Sutarties ir Prekėms taikomus kitus šios rūšies prekėms keliamus kokybės reikalavimus; </w:t>
      </w:r>
    </w:p>
    <w:p w:rsidR="00501FE1" w:rsidRDefault="00324017">
      <w:pPr>
        <w:jc w:val="both"/>
      </w:pPr>
      <w:r>
        <w:t>16.3.priėmimo metu patikrinti perduodamas Prekes bei po patikrinimo pasirašyti Prekių gavimo dokumentus;</w:t>
      </w:r>
    </w:p>
    <w:p w:rsidR="00501FE1" w:rsidRDefault="00324017">
      <w:pPr>
        <w:jc w:val="both"/>
      </w:pPr>
      <w:r>
        <w:t xml:space="preserve"> 16.4.nedelsiant, bet ne vėliau kaip per dvi darbo dienas nuo Prekių gavimo, pareikšti pretenzijas Tiekėjui dėl gautų Prekių kiekio neatitikimų;</w:t>
      </w:r>
    </w:p>
    <w:p w:rsidR="00501FE1" w:rsidRDefault="00324017">
      <w:pPr>
        <w:jc w:val="both"/>
      </w:pPr>
      <w:r>
        <w:t xml:space="preserve"> 16.5.nedelsiant, bet ne vėliau kaip per dvi darbo dienas, pareikšti pretenzijas Tiekėjui dėl pastebėtų Prekių kokybės neatitikimų iškeltiems reikalavimams;</w:t>
      </w:r>
    </w:p>
    <w:p w:rsidR="00501FE1" w:rsidRDefault="00324017">
      <w:pPr>
        <w:jc w:val="both"/>
      </w:pPr>
      <w:r>
        <w:t>16.6.sumokėti Sutarties kainą nustatyta tvarka ir terminais;</w:t>
      </w:r>
    </w:p>
    <w:p w:rsidR="00501FE1" w:rsidRDefault="00324017">
      <w:pPr>
        <w:jc w:val="both"/>
      </w:pPr>
      <w:r>
        <w:t>16.7.tinkamai vykdyti kitus įsipareigojimus, numatytus Sutartyje.</w:t>
      </w:r>
    </w:p>
    <w:p w:rsidR="00501FE1" w:rsidRDefault="00324017">
      <w:pPr>
        <w:jc w:val="both"/>
      </w:pPr>
      <w:r>
        <w:t xml:space="preserve">17.Pirkėjas, uždelsęs atsiskaityti už gautas Prekes Sutartyje nustatytu terminu, Tiekėjui pareikalavus, nuo sekančios dienos moka 0,02% dydžio delspinigius nuo pavėluotai sumokėtos sumos (be PVM) už kiekvieną uždelstą dieną. </w:t>
      </w:r>
    </w:p>
    <w:p w:rsidR="00501FE1" w:rsidRDefault="00324017">
      <w:pPr>
        <w:jc w:val="both"/>
      </w:pPr>
      <w:r>
        <w:t xml:space="preserve">18.Tiekėjas, uždelsęs pristatyti Prekes Sutartyje nurodytu terminu arba nepašalinęs pastebėtų kokybės trūkumų per sutartą laiką, Pirkėjui pareikalavus, nuo sekančios dienos moka 0,02% dydžio delspinigius nuo pavėluotai atlikto užsakymo vertės už kiekvieną uždelstą dieną. </w:t>
      </w:r>
    </w:p>
    <w:p w:rsidR="00501FE1" w:rsidRDefault="00324017">
      <w:pPr>
        <w:jc w:val="both"/>
      </w:pPr>
      <w:r>
        <w:t xml:space="preserve">19.Kilus teisminiam ginčui už pristatytas Prekes, Tiekėjas gali reikalauti priteisti ne didesnes kaip 5% metines palūkanas nuo nesumokėtos sumos, kaip tai numatyta LR CK 6.210 str. 1d. 20.Delspinigių sumokėjimas neatleidžia Sutarties šalių nuo pareigos vykdyti Sutartyje prisiimtus įsipareigojimus. </w:t>
      </w:r>
    </w:p>
    <w:p w:rsidR="00501FE1" w:rsidRDefault="00501FE1">
      <w:pPr>
        <w:jc w:val="both"/>
      </w:pPr>
    </w:p>
    <w:p w:rsidR="00501FE1" w:rsidRDefault="00501FE1">
      <w:pPr>
        <w:jc w:val="center"/>
        <w:rPr>
          <w:b/>
        </w:rPr>
      </w:pPr>
    </w:p>
    <w:p w:rsidR="00501FE1" w:rsidRDefault="00324017">
      <w:pPr>
        <w:jc w:val="center"/>
        <w:rPr>
          <w:b/>
        </w:rPr>
      </w:pPr>
      <w:r>
        <w:rPr>
          <w:b/>
        </w:rPr>
        <w:lastRenderedPageBreak/>
        <w:t>VI. NENUGALIMOS JĖGOS APLINKYBĖS (FORCE MAJEURE)</w:t>
      </w:r>
    </w:p>
    <w:p w:rsidR="00501FE1" w:rsidRDefault="00324017">
      <w:pPr>
        <w:jc w:val="both"/>
      </w:pPr>
      <w:r>
        <w:t>21.Sutarties šalys neatsako už savo sutartinių įsipareigojimų neįvykdymą, jeigu šis nevykdymas yra nenugalimos jėgos (Force Majeure) aplinkybių pasekmė. Nenugalimos jėgos (Force Majeure) aplinkybės suprantamos taip, kaip jos apibrėžtos Lietuvos Respublikos Civilinio kodekso 6.212 straipsnyje. Dėl atleidimo nuo atsakomybės esant nenugalimos jėgos aplinkybėms šalys vadovaujasi Lietuvos Respublikos Vyriausybės 1996 m. liepos 15 d. nutarimu Nr. 840.</w:t>
      </w:r>
    </w:p>
    <w:p w:rsidR="00501FE1" w:rsidRDefault="00501FE1"/>
    <w:p w:rsidR="00501FE1" w:rsidRDefault="00324017">
      <w:pPr>
        <w:jc w:val="center"/>
        <w:rPr>
          <w:b/>
        </w:rPr>
      </w:pPr>
      <w:r>
        <w:rPr>
          <w:b/>
        </w:rPr>
        <w:t>VII. SUTARTIES GALIOJIMAS</w:t>
      </w:r>
    </w:p>
    <w:p w:rsidR="00501FE1" w:rsidRDefault="00324017">
      <w:pPr>
        <w:jc w:val="both"/>
      </w:pPr>
      <w:r>
        <w:t>22.Sutarties galiojimo terminas  – 24 mėnesiai nuo jos pasirašymo dienos.</w:t>
      </w:r>
      <w:r w:rsidR="00514084">
        <w:t xml:space="preserve"> Sutartis gali būti pratęsta vieną kartą 12 mėnesių. </w:t>
      </w:r>
    </w:p>
    <w:p w:rsidR="00501FE1" w:rsidRDefault="00324017">
      <w:pPr>
        <w:jc w:val="both"/>
      </w:pPr>
      <w:r>
        <w:t xml:space="preserve">23. Ši Sutartis įsigalioja nuo jos pasirašymo momento ir galioja, kol Šalys sutaria ją nutraukti arba kol Sutarties galiojimas pasibaigia (visiškai įvykdomi įsipareigojimai), nutraukiama įstatymu ar šioje Sutartyje nustatytais atvejais. </w:t>
      </w:r>
    </w:p>
    <w:p w:rsidR="00501FE1" w:rsidRDefault="00324017">
      <w:pPr>
        <w:jc w:val="both"/>
      </w:pPr>
      <w:r>
        <w:t>24.Nutraukus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501FE1" w:rsidRDefault="00501FE1"/>
    <w:p w:rsidR="00501FE1" w:rsidRDefault="00324017">
      <w:pPr>
        <w:jc w:val="center"/>
        <w:rPr>
          <w:b/>
        </w:rPr>
      </w:pPr>
      <w:r>
        <w:rPr>
          <w:b/>
        </w:rPr>
        <w:t>VIII. SUTARTIES PAKEITIMAI</w:t>
      </w:r>
    </w:p>
    <w:p w:rsidR="00501FE1" w:rsidRDefault="00324017">
      <w:pPr>
        <w:jc w:val="both"/>
      </w:pPr>
      <w:r>
        <w:t>25.Sutarties sąlygos jos galiojimo laikotarpiu negali būti keičiamos, išskyrus Lietuvos Respublikos viešųjų pirkimų įstatyme nustatytus atvejus ir tvarką.</w:t>
      </w:r>
    </w:p>
    <w:p w:rsidR="00501FE1" w:rsidRDefault="00324017">
      <w:pPr>
        <w:jc w:val="both"/>
      </w:pPr>
      <w:r>
        <w:t>26.Jei Lietuvos Respublikos teisės aktų nustatyta tvarka Sutarties galiojimo laikotarpiu keisis PVM mokesčio dydis, Šalių sutarimu Prekių įkainiai galės būti keičiami proporcingai PVM pasikeitimo dydžiui. Prekių įkainiai perskaičiuojami per 1 darbo dieną po Lietuvos Respublikos pridėtinės vertės mokesčio įstatymo pakeitimo įsigaliojimo. Perskaičiuoti įkainiai taikomi po perskaičiavimo tiekiamoms Prekėms apmokėti.</w:t>
      </w:r>
    </w:p>
    <w:p w:rsidR="00501FE1" w:rsidRDefault="00324017">
      <w:pPr>
        <w:jc w:val="both"/>
      </w:pPr>
      <w:r>
        <w:t>27.Prekių įkainiai dėl bendro kainų lygio kitimo perskaičiuojami nebus. Įkainiai apima visas tiesiogines ir netiesiogines išlaidas, susijusias su tiekiamomis Prekėmis. Visą riziką dėl Prekių įkainių padidėjimo prisiima Tiekėjas.</w:t>
      </w:r>
    </w:p>
    <w:p w:rsidR="00501FE1" w:rsidRDefault="00324017">
      <w:pPr>
        <w:jc w:val="both"/>
      </w:pPr>
      <w:r>
        <w:t>28.Sutarties sąlygų keitimu nebus laikomas Sutarties sąlygų koregavimas jose numatytomis aplinkybėmis, jei šios aplinkybės nustatytos aiškiai ir nedviprasmiškai bei buvo pateiktos konkurso sąlygose. Tais atvejais, kai sutarčių sąlygų keitimo būtinybės nebuvo įmanoma numatyti rengiant konkurso sąlygas ir (ar) Sutarties sudarymo metu, Šalys gali keisti tik neesmines Sutarties sąlygas.</w:t>
      </w:r>
    </w:p>
    <w:p w:rsidR="00501FE1" w:rsidRDefault="00501FE1"/>
    <w:p w:rsidR="00501FE1" w:rsidRDefault="00324017">
      <w:pPr>
        <w:jc w:val="center"/>
        <w:rPr>
          <w:b/>
        </w:rPr>
      </w:pPr>
      <w:r>
        <w:rPr>
          <w:b/>
        </w:rPr>
        <w:t>IX. SUTARTIES PAŽEIDIMAI</w:t>
      </w:r>
    </w:p>
    <w:p w:rsidR="00501FE1" w:rsidRDefault="00324017">
      <w:pPr>
        <w:jc w:val="both"/>
      </w:pPr>
      <w:r>
        <w:t xml:space="preserve"> 29.Jei kuri nors Šalis nevykdo arba netinkamai vykdo kokius nors savo įsipareigojimus pagal šią Sutartį, ji pažeidžia Sutartį.</w:t>
      </w:r>
    </w:p>
    <w:p w:rsidR="00501FE1" w:rsidRDefault="00324017">
      <w:pPr>
        <w:jc w:val="both"/>
      </w:pPr>
      <w:r>
        <w:t xml:space="preserve"> 30.Vienai Šaliai pažeidus Sutartį, nukentėjusioji Šalis turi teisę:</w:t>
      </w:r>
    </w:p>
    <w:p w:rsidR="00501FE1" w:rsidRDefault="00324017">
      <w:pPr>
        <w:jc w:val="both"/>
      </w:pPr>
      <w:r>
        <w:t xml:space="preserve"> 30.1.reikalauti kitos Šalies vykdyti sutartinius įsipareigojimus;  </w:t>
      </w:r>
    </w:p>
    <w:p w:rsidR="00501FE1" w:rsidRDefault="00324017">
      <w:pPr>
        <w:jc w:val="both"/>
      </w:pPr>
      <w:r>
        <w:t xml:space="preserve">30.2.reikalauti atlyginti tiesioginius nuostolius; </w:t>
      </w:r>
    </w:p>
    <w:p w:rsidR="00501FE1" w:rsidRDefault="00324017">
      <w:pPr>
        <w:jc w:val="both"/>
      </w:pPr>
      <w:r>
        <w:t xml:space="preserve">30.3.reikalauti sumokėti Sutartyje nustatytus delspinigius;  </w:t>
      </w:r>
    </w:p>
    <w:p w:rsidR="00501FE1" w:rsidRDefault="00324017">
      <w:pPr>
        <w:jc w:val="both"/>
      </w:pPr>
      <w:r>
        <w:t xml:space="preserve">30.4.nutraukti Sutartį;  </w:t>
      </w:r>
    </w:p>
    <w:p w:rsidR="00501FE1" w:rsidRDefault="00324017">
      <w:pPr>
        <w:jc w:val="both"/>
      </w:pPr>
      <w:r>
        <w:t>30.5.taikyti kitus Lietuvos Respublikos teisės aktų nustatytus teisių gynimo būdus.</w:t>
      </w:r>
    </w:p>
    <w:p w:rsidR="00501FE1" w:rsidRDefault="00501FE1">
      <w:pPr>
        <w:jc w:val="both"/>
      </w:pPr>
    </w:p>
    <w:p w:rsidR="00501FE1" w:rsidRDefault="00324017">
      <w:pPr>
        <w:jc w:val="center"/>
        <w:rPr>
          <w:b/>
        </w:rPr>
      </w:pPr>
      <w:r>
        <w:rPr>
          <w:b/>
        </w:rPr>
        <w:t>X. SUTARTIES NUTRAUKIMAS</w:t>
      </w:r>
    </w:p>
    <w:p w:rsidR="00501FE1" w:rsidRDefault="00324017">
      <w:pPr>
        <w:jc w:val="both"/>
      </w:pPr>
      <w:r>
        <w:t xml:space="preserve">31.Sutartis gali būti nutraukta raštišku Šalių susitarimu arba vienos iš Šalių valia. </w:t>
      </w:r>
    </w:p>
    <w:p w:rsidR="00501FE1" w:rsidRDefault="00324017">
      <w:pPr>
        <w:jc w:val="both"/>
      </w:pPr>
      <w:r>
        <w:t xml:space="preserve">32.Pirkėjas, įspėjęs Tiekėją prieš 30 dienų, gali nutraukti Sutartį šiais atvejais: </w:t>
      </w:r>
    </w:p>
    <w:p w:rsidR="00501FE1" w:rsidRDefault="00324017">
      <w:pPr>
        <w:jc w:val="both"/>
      </w:pPr>
      <w:r>
        <w:t xml:space="preserve">32.1.kai Tiekėjas bankrutuoja arba yra likviduojamas, sustabdo ūkinę veiklą arba įstatymuose ir kituose teisės aktuose numatyta tvarka susidaro analogiška situacija; </w:t>
      </w:r>
    </w:p>
    <w:p w:rsidR="00501FE1" w:rsidRDefault="00324017">
      <w:pPr>
        <w:jc w:val="both"/>
      </w:pPr>
      <w:r>
        <w:t>32.2.kai keičiasi Tiekėjo organizacinė struktūra – juridinis statusas, pobūdis ar valdymo struktūra ir tai gali turėti įtakos tinkamam Sutarties įvykdymui;</w:t>
      </w:r>
    </w:p>
    <w:p w:rsidR="00501FE1" w:rsidRDefault="00324017">
      <w:pPr>
        <w:jc w:val="both"/>
      </w:pPr>
      <w:r>
        <w:lastRenderedPageBreak/>
        <w:t xml:space="preserve">32.3.kai Tiekėjas įsiteisėjusiu teismo sprendimu pripažįstamas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w:t>
      </w:r>
    </w:p>
    <w:p w:rsidR="00501FE1" w:rsidRDefault="00324017">
      <w:pPr>
        <w:jc w:val="both"/>
      </w:pPr>
      <w:r>
        <w:t>32.4.kai Tiekėjas sudaro subtiekimo sutartį be Pirkėjo sutikimo;</w:t>
      </w:r>
    </w:p>
    <w:p w:rsidR="00501FE1" w:rsidRDefault="00324017">
      <w:pPr>
        <w:jc w:val="both"/>
      </w:pPr>
      <w:r>
        <w:t xml:space="preserve">32.5.kai Tiekėjas nevykdo savo įsipareigojimų pagal Sutartį; </w:t>
      </w:r>
    </w:p>
    <w:p w:rsidR="00501FE1" w:rsidRDefault="00324017">
      <w:pPr>
        <w:jc w:val="both"/>
      </w:pPr>
      <w:r>
        <w:t xml:space="preserve">32.6.kai Tiekėjas per pagrįstai nustatytą laikotarpį neįvykdo Pirkėjo nurodymo ištaisyti netinkamai įvykdytus arba neįvykdytus sutartinius įsipareigojimus; </w:t>
      </w:r>
    </w:p>
    <w:p w:rsidR="00501FE1" w:rsidRDefault="00324017">
      <w:pPr>
        <w:jc w:val="both"/>
      </w:pPr>
      <w:r>
        <w:t xml:space="preserve">32.7.kai Tiekėjas nevykdo kitų savo sutartinių įsipareigojimų ir tai yra esminis Sutarties pažeidimas; </w:t>
      </w:r>
    </w:p>
    <w:p w:rsidR="00501FE1" w:rsidRDefault="00324017">
      <w:pPr>
        <w:jc w:val="both"/>
      </w:pPr>
      <w:r>
        <w:t>32.8.dėl kitokio pobūdžio neveiksnumo, trukdančio vykdyti Sutartį;</w:t>
      </w:r>
    </w:p>
    <w:p w:rsidR="00501FE1" w:rsidRDefault="00324017">
      <w:pPr>
        <w:jc w:val="both"/>
      </w:pPr>
      <w:r>
        <w:t>32.9.kai prekės Pirkėjui tampa nebereikalingos.</w:t>
      </w:r>
    </w:p>
    <w:p w:rsidR="00501FE1" w:rsidRDefault="00324017">
      <w:pPr>
        <w:jc w:val="both"/>
      </w:pPr>
      <w:r>
        <w:t xml:space="preserve"> 33.Tiekėjas, prieš 60 dienų įspėjęs Pirkėją, turi teisę vienašališkai nutraukti šią Sutartį prieš terminą šiais atvejais: </w:t>
      </w:r>
    </w:p>
    <w:p w:rsidR="00501FE1" w:rsidRDefault="00324017">
      <w:pPr>
        <w:jc w:val="both"/>
      </w:pPr>
      <w:r>
        <w:t>33.1.kai Pirkėjas nevykdo ar netinkamai vykdo savo sutartinius įsipareigojimus ir toks nevykdymas ar netinkamas vykdymas yra esminis Sutarties sąlygų pažeidimas – dėl atitinkamos Sutarties arba Sutarties dalies, kurią pažeidžia Pirkėjas;</w:t>
      </w:r>
    </w:p>
    <w:p w:rsidR="00501FE1" w:rsidRDefault="00324017">
      <w:pPr>
        <w:jc w:val="both"/>
      </w:pPr>
      <w:r>
        <w:t xml:space="preserve"> 33.2.kai Pirkėjas bankrutuoja arba yra likviduojamas, sustabdo ūkinę veiklą arba įstatymuose ir kituose teisės aktuose numatyta tvarka susidaro analogiška situacija;</w:t>
      </w:r>
    </w:p>
    <w:p w:rsidR="00501FE1" w:rsidRDefault="00324017">
      <w:pPr>
        <w:jc w:val="both"/>
      </w:pPr>
      <w:r>
        <w:t>33.3.dėl kitokių objektyvių, nuo Tiekėjo nepriklausančių priežasčių, Pirkėjui sutikus.</w:t>
      </w:r>
    </w:p>
    <w:p w:rsidR="00501FE1" w:rsidRDefault="00324017">
      <w:pPr>
        <w:jc w:val="both"/>
      </w:pPr>
      <w:r>
        <w:t xml:space="preserve">34.Jei Sutartis nutraukiama dėl to, kad Tiekėjas Sutarties nevykdo, vykdo ją netinkamai ar kitaip pažeidžia šios Sutarties sąlygas, Pirkėjas tokiu atveju turi teisę reikalauti tiesioginių nuostolių, atsiradusių dėl netinkamo sutarties vykdymo, atlyginimo. Nutraukus sutartį, Pirkėjas gali pasinaudoti savo teise į Tiekėjo pateiktą Sutarties vykdymo užtikrinimą. Toks Sutarties nutraukimas neatleidžia Tiekėjo nuo delspinigių mokėjimo. </w:t>
      </w:r>
    </w:p>
    <w:p w:rsidR="00501FE1" w:rsidRDefault="00324017">
      <w:pPr>
        <w:jc w:val="both"/>
      </w:pPr>
      <w:r>
        <w:t>35.Nutraukiant Sutartį, Pirkėjas, dalyvaujant Tiekėjui ar jo atstovams, inventorizuoja pristatytas Prekes ir parengia jų aprašą. Taip pat parengiama ataskaita apie Sutarties nutraukimo dieną esančią Tiekėjo skolą Pirkėjui ir Pirkėjo skolą Tiekėjui.</w:t>
      </w:r>
    </w:p>
    <w:p w:rsidR="00501FE1" w:rsidRDefault="00501FE1"/>
    <w:p w:rsidR="00501FE1" w:rsidRDefault="00324017">
      <w:pPr>
        <w:jc w:val="center"/>
        <w:rPr>
          <w:b/>
        </w:rPr>
      </w:pPr>
      <w:r>
        <w:rPr>
          <w:b/>
        </w:rPr>
        <w:t>XI. SUTARTIES VYKDYMO UŽTIKRINIMAS</w:t>
      </w:r>
    </w:p>
    <w:p w:rsidR="00501FE1" w:rsidRDefault="00324017">
      <w:pPr>
        <w:jc w:val="both"/>
      </w:pPr>
      <w:r>
        <w:t xml:space="preserve">36.Sutarties įvykdymo užtikrinimas - netesybos. </w:t>
      </w:r>
    </w:p>
    <w:p w:rsidR="00501FE1" w:rsidRDefault="00324017">
      <w:pPr>
        <w:jc w:val="both"/>
      </w:pPr>
      <w:r>
        <w:t>37.Pirkimo Sutarties įvykdymo užtikrinimas skirtas užtikrinti visų pirkimo Sutartimi Tiekėjui nustatytų prievolių, tarp jų ir netesybų, įvykdymą.</w:t>
      </w:r>
    </w:p>
    <w:p w:rsidR="00501FE1" w:rsidRDefault="00501FE1">
      <w:pPr>
        <w:jc w:val="both"/>
      </w:pPr>
    </w:p>
    <w:p w:rsidR="00501FE1" w:rsidRDefault="00324017">
      <w:pPr>
        <w:jc w:val="center"/>
        <w:rPr>
          <w:b/>
        </w:rPr>
      </w:pPr>
      <w:r>
        <w:rPr>
          <w:b/>
        </w:rPr>
        <w:t>XII. GINČŲ NAGRINĖJIMO TVARKA</w:t>
      </w:r>
    </w:p>
    <w:p w:rsidR="00501FE1" w:rsidRDefault="00324017">
      <w:r>
        <w:t xml:space="preserve">38.Šiai Sutarčiai ir visoms iš šios Sutarties atsirandančioms teisėms ir pareigoms taikomi Lietuvos Respublikos įstatymai bei kiti norminiai teisės aktai. Sutartis sudaryta ir turi būti aiškinama pagal Lietuvos Respublikos teisę. </w:t>
      </w:r>
    </w:p>
    <w:p w:rsidR="00501FE1" w:rsidRDefault="00324017">
      <w:pPr>
        <w:jc w:val="both"/>
      </w:pPr>
      <w:r>
        <w:t>39.Bet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501FE1" w:rsidRDefault="00501FE1"/>
    <w:p w:rsidR="00501FE1" w:rsidRDefault="00324017">
      <w:pPr>
        <w:jc w:val="center"/>
        <w:rPr>
          <w:b/>
        </w:rPr>
      </w:pPr>
      <w:r>
        <w:rPr>
          <w:b/>
        </w:rPr>
        <w:t>XIII. BAIGIAMOSIOS NUOSTATOS</w:t>
      </w:r>
    </w:p>
    <w:p w:rsidR="00501FE1" w:rsidRDefault="00324017">
      <w:pPr>
        <w:jc w:val="both"/>
      </w:pPr>
      <w:r>
        <w:t>40. Sutarties galiojimo metu, suderinus su Pirkėju (gavus Pirkėjo rašytinį sutikimą), Tiekėjas gali keisti subtiekėjus. Tuo atveju, naujas subtiekėjas privalo Pirkėjui pateikti dokumentus, įrodančius, kad jo kvalifikacija atitinka pirkimo dokumentuose nustatytus minimalius kvalifikacijos reikalavimus subtiekėjams.</w:t>
      </w:r>
    </w:p>
    <w:p w:rsidR="00501FE1" w:rsidRDefault="00324017">
      <w:pPr>
        <w:jc w:val="both"/>
      </w:pPr>
      <w:r>
        <w:t xml:space="preserve"> 41.Nei viena Šalis neturi teisės perleisti visų arba dalies teisių ir pareigų pagal šią Sutartį jokiai trečiajai šaliai be išankstinio raštiško kitos Šalies sutikimo.</w:t>
      </w:r>
    </w:p>
    <w:p w:rsidR="00501FE1" w:rsidRDefault="00324017">
      <w:pPr>
        <w:jc w:val="both"/>
      </w:pPr>
      <w:r>
        <w:lastRenderedPageBreak/>
        <w:t xml:space="preserve"> 42.Bet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501FE1" w:rsidRDefault="00324017">
      <w:pPr>
        <w:jc w:val="both"/>
      </w:pPr>
      <w:r>
        <w:t xml:space="preserve">43.Supaprastinto atviro konkurso, CVP IS interneto adresu: </w:t>
      </w:r>
      <w:hyperlink r:id="rId8">
        <w:r>
          <w:rPr>
            <w:rStyle w:val="-"/>
          </w:rPr>
          <w:t>https://pirkimai.eviesiejipirkimai.lt</w:t>
        </w:r>
      </w:hyperlink>
      <w:r>
        <w:t xml:space="preserve"> sąlygos ir Tiekėjo konkursinis pasiūlymas yra neatsiejamos šios Sutarties sąlygos.</w:t>
      </w:r>
    </w:p>
    <w:p w:rsidR="00501FE1" w:rsidRDefault="00324017">
      <w:pPr>
        <w:jc w:val="both"/>
      </w:pPr>
      <w:r>
        <w:t xml:space="preserve">44.Visus kitus klausimus, kurie neaptarti Sutartyje, reguliuoja Lietuvos Respublikos teisės aktai. </w:t>
      </w:r>
    </w:p>
    <w:p w:rsidR="00501FE1" w:rsidRDefault="00324017">
      <w:pPr>
        <w:jc w:val="both"/>
      </w:pPr>
      <w:r>
        <w:t>45.Ši Sutartis sudaryta lietuvių kalba, 2 (dviem) egzemplioriais, turinčiais vienodą teisinę galią – po vieną kiekvienai Šaliai.</w:t>
      </w:r>
    </w:p>
    <w:p w:rsidR="00501FE1" w:rsidRDefault="00324017">
      <w:pPr>
        <w:jc w:val="both"/>
      </w:pPr>
      <w:r>
        <w:t>47.Sutartis yra Šalių perskaityta, jų suprasta ir jos autentiškumas patvirtintas ant kiekvieno Sutarties lapo kiekvienos Šalies tinkamus įgaliojimus turinčių asmenų.</w:t>
      </w:r>
    </w:p>
    <w:p w:rsidR="00501FE1" w:rsidRDefault="00501FE1">
      <w:pPr>
        <w:jc w:val="both"/>
      </w:pPr>
    </w:p>
    <w:p w:rsidR="00501FE1" w:rsidRDefault="00501FE1">
      <w:pPr>
        <w:jc w:val="both"/>
      </w:pPr>
    </w:p>
    <w:p w:rsidR="00501FE1" w:rsidRDefault="00324017">
      <w:pPr>
        <w:pStyle w:val="BodyText"/>
        <w:jc w:val="both"/>
        <w:rPr>
          <w:rFonts w:ascii="Times New Roman" w:hAnsi="Times New Roman" w:cs="Times New Roman"/>
          <w:b/>
          <w:szCs w:val="24"/>
        </w:rPr>
      </w:pPr>
      <w:r>
        <w:rPr>
          <w:rFonts w:ascii="Times New Roman" w:hAnsi="Times New Roman" w:cs="Times New Roman"/>
          <w:b/>
          <w:szCs w:val="24"/>
        </w:rPr>
        <w:t>Pirkėjas                                                                                       Tiekėjas</w:t>
      </w:r>
    </w:p>
    <w:p w:rsidR="00501FE1" w:rsidRDefault="00324017">
      <w:pPr>
        <w:pStyle w:val="BodyText"/>
        <w:jc w:val="both"/>
      </w:pPr>
      <w:r>
        <w:rPr>
          <w:rFonts w:ascii="Times New Roman" w:hAnsi="Times New Roman" w:cs="Times New Roman"/>
          <w:szCs w:val="24"/>
        </w:rPr>
        <w:t>UAB „Šalčininkų autobusų parkas“</w:t>
      </w:r>
      <w:r>
        <w:rPr>
          <w:rFonts w:ascii="Times New Roman" w:hAnsi="Times New Roman" w:cs="Times New Roman"/>
          <w:szCs w:val="24"/>
        </w:rPr>
        <w:tab/>
        <w:t xml:space="preserve">                                     </w:t>
      </w:r>
      <w:r w:rsidR="00514084">
        <w:rPr>
          <w:rFonts w:ascii="Times New Roman" w:hAnsi="Times New Roman" w:cs="Times New Roman"/>
          <w:szCs w:val="24"/>
        </w:rPr>
        <w:t xml:space="preserve"> </w:t>
      </w:r>
      <w:r>
        <w:rPr>
          <w:rFonts w:ascii="Times New Roman" w:hAnsi="Times New Roman" w:cs="Times New Roman"/>
          <w:szCs w:val="24"/>
        </w:rPr>
        <w:t>UAB „RYTAS“</w:t>
      </w:r>
    </w:p>
    <w:p w:rsidR="00501FE1" w:rsidRDefault="00324017">
      <w:pPr>
        <w:pStyle w:val="BodyText"/>
        <w:jc w:val="both"/>
      </w:pPr>
      <w:r>
        <w:rPr>
          <w:rFonts w:ascii="Times New Roman" w:hAnsi="Times New Roman" w:cs="Times New Roman"/>
          <w:szCs w:val="24"/>
        </w:rPr>
        <w:t xml:space="preserve"> įmonės kodas 174919318                                                            įmonės kodas 185103120</w:t>
      </w:r>
    </w:p>
    <w:p w:rsidR="00501FE1" w:rsidRDefault="00324017">
      <w:pPr>
        <w:pStyle w:val="BodyText"/>
        <w:jc w:val="both"/>
      </w:pPr>
      <w:r>
        <w:rPr>
          <w:rFonts w:ascii="Times New Roman" w:hAnsi="Times New Roman" w:cs="Times New Roman"/>
          <w:szCs w:val="24"/>
        </w:rPr>
        <w:t xml:space="preserve">PVM kodas LT749193113                                                           PVM kodas </w:t>
      </w:r>
      <w:r>
        <w:rPr>
          <w:rFonts w:ascii="Times New Roman" w:hAnsi="Times New Roman" w:cs="Times New Roman"/>
          <w:color w:val="000000"/>
          <w:szCs w:val="24"/>
        </w:rPr>
        <w:t>LT851031219</w:t>
      </w:r>
      <w:r>
        <w:rPr>
          <w:rFonts w:ascii="Times New Roman" w:hAnsi="Times New Roman" w:cs="Times New Roman"/>
          <w:szCs w:val="24"/>
        </w:rPr>
        <w:t xml:space="preserve"> </w:t>
      </w:r>
    </w:p>
    <w:p w:rsidR="00501FE1" w:rsidRDefault="00324017">
      <w:pPr>
        <w:pStyle w:val="BodyText"/>
        <w:jc w:val="both"/>
      </w:pPr>
      <w:r>
        <w:rPr>
          <w:rFonts w:ascii="Times New Roman" w:hAnsi="Times New Roman" w:cs="Times New Roman"/>
          <w:szCs w:val="24"/>
        </w:rPr>
        <w:t>Tel. +37065667220                                                                      Tel. + 37068564695</w:t>
      </w:r>
    </w:p>
    <w:p w:rsidR="00501FE1" w:rsidRDefault="00324017">
      <w:pPr>
        <w:pStyle w:val="BodyText"/>
        <w:jc w:val="both"/>
        <w:rPr>
          <w:rFonts w:ascii="Times New Roman" w:hAnsi="Times New Roman" w:cs="Times New Roman"/>
          <w:color w:val="000000"/>
          <w:szCs w:val="24"/>
        </w:rPr>
      </w:pPr>
      <w:r>
        <w:rPr>
          <w:rFonts w:ascii="Times New Roman" w:hAnsi="Times New Roman" w:cs="Times New Roman"/>
          <w:szCs w:val="24"/>
        </w:rPr>
        <w:t xml:space="preserve">A.s. LT684010044400070187                                                     A.s. </w:t>
      </w:r>
      <w:r>
        <w:rPr>
          <w:rFonts w:ascii="Times New Roman" w:hAnsi="Times New Roman" w:cs="Times New Roman"/>
          <w:color w:val="000000"/>
          <w:sz w:val="26"/>
          <w:szCs w:val="26"/>
        </w:rPr>
        <w:t>LT324010040100050359</w:t>
      </w:r>
      <w:r>
        <w:rPr>
          <w:rFonts w:ascii="Times New Roman" w:hAnsi="Times New Roman" w:cs="Times New Roman"/>
          <w:color w:val="000000"/>
          <w:szCs w:val="24"/>
        </w:rPr>
        <w:t xml:space="preserve"> </w:t>
      </w:r>
    </w:p>
    <w:p w:rsidR="00501FE1" w:rsidRDefault="00324017">
      <w:pPr>
        <w:pStyle w:val="BodyText"/>
        <w:jc w:val="both"/>
      </w:pPr>
      <w:r>
        <w:rPr>
          <w:rFonts w:ascii="Times New Roman" w:hAnsi="Times New Roman" w:cs="Times New Roman"/>
          <w:szCs w:val="24"/>
        </w:rPr>
        <w:t xml:space="preserve">AB DNB bankas, banko kodas 40100     </w:t>
      </w:r>
      <w:r>
        <w:rPr>
          <w:rFonts w:ascii="Times New Roman" w:hAnsi="Times New Roman" w:cs="Times New Roman"/>
          <w:szCs w:val="24"/>
        </w:rPr>
        <w:tab/>
        <w:t xml:space="preserve">              </w:t>
      </w:r>
      <w:r w:rsidR="00514084">
        <w:rPr>
          <w:rFonts w:ascii="Times New Roman" w:hAnsi="Times New Roman" w:cs="Times New Roman"/>
          <w:szCs w:val="24"/>
        </w:rPr>
        <w:t xml:space="preserve">    </w:t>
      </w:r>
      <w:r>
        <w:rPr>
          <w:rFonts w:ascii="Times New Roman" w:hAnsi="Times New Roman" w:cs="Times New Roman"/>
          <w:szCs w:val="24"/>
        </w:rPr>
        <w:t>LUMINOR bankas</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 xml:space="preserve">                             </w:t>
      </w:r>
    </w:p>
    <w:p w:rsidR="00501FE1" w:rsidRDefault="00324017">
      <w:pPr>
        <w:pStyle w:val="BodyText"/>
        <w:jc w:val="both"/>
      </w:pPr>
      <w:r>
        <w:rPr>
          <w:rFonts w:ascii="Times New Roman" w:hAnsi="Times New Roman" w:cs="Times New Roman"/>
          <w:i/>
          <w:szCs w:val="24"/>
        </w:rPr>
        <w:t>Direktorė Teresa Butrimovič                                                   Vilniaus fil. Direktorius Sigitas Gružauskas</w:t>
      </w:r>
    </w:p>
    <w:p w:rsidR="00501FE1" w:rsidRDefault="00324017">
      <w:pPr>
        <w:pStyle w:val="BodyText"/>
        <w:jc w:val="both"/>
        <w:rPr>
          <w:rFonts w:ascii="Times New Roman" w:hAnsi="Times New Roman" w:cs="Times New Roman"/>
          <w:i/>
          <w:szCs w:val="24"/>
        </w:rPr>
      </w:pPr>
      <w:r>
        <w:rPr>
          <w:rFonts w:ascii="Times New Roman" w:hAnsi="Times New Roman" w:cs="Times New Roman"/>
          <w:i/>
          <w:szCs w:val="24"/>
        </w:rPr>
        <w:tab/>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___________________</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 xml:space="preserve">       (parašas)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(parašas)</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 xml:space="preserve">             </w:t>
      </w:r>
    </w:p>
    <w:p w:rsidR="00501FE1" w:rsidRDefault="00324017">
      <w:pPr>
        <w:pStyle w:val="BodyText"/>
        <w:jc w:val="both"/>
        <w:rPr>
          <w:rFonts w:ascii="Times New Roman" w:hAnsi="Times New Roman" w:cs="Times New Roman"/>
          <w:szCs w:val="24"/>
        </w:rPr>
      </w:pPr>
      <w:r>
        <w:rPr>
          <w:rFonts w:ascii="Times New Roman" w:hAnsi="Times New Roman" w:cs="Times New Roman"/>
          <w:szCs w:val="24"/>
        </w:rPr>
        <w:t>A.V.</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A.V.</w:t>
      </w:r>
    </w:p>
    <w:p w:rsidR="00501FE1" w:rsidRDefault="00501FE1">
      <w:pPr>
        <w:jc w:val="both"/>
      </w:pPr>
    </w:p>
    <w:p w:rsidR="00501FE1" w:rsidRDefault="00501FE1"/>
    <w:p w:rsidR="00501FE1" w:rsidRDefault="00501FE1"/>
    <w:sectPr w:rsidR="00501FE1">
      <w:footerReference w:type="default" r:id="rId9"/>
      <w:pgSz w:w="11906" w:h="16838"/>
      <w:pgMar w:top="1134" w:right="567" w:bottom="1078" w:left="1140" w:header="0"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3B5" w:rsidRDefault="009303B5">
      <w:r>
        <w:separator/>
      </w:r>
    </w:p>
  </w:endnote>
  <w:endnote w:type="continuationSeparator" w:id="0">
    <w:p w:rsidR="009303B5" w:rsidRDefault="0093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FE1" w:rsidRDefault="00324017">
    <w:pPr>
      <w:pStyle w:val="Footer"/>
      <w:ind w:right="360"/>
    </w:pPr>
    <w:r>
      <w:rPr>
        <w:noProof/>
      </w:rPr>
      <mc:AlternateContent>
        <mc:Choice Requires="wps">
          <w:drawing>
            <wp:anchor distT="0" distB="0" distL="0" distR="0" simplePos="0" relativeHeight="5" behindDoc="1" locked="0" layoutInCell="1" allowOverlap="1">
              <wp:simplePos x="0" y="0"/>
              <wp:positionH relativeFrom="margin">
                <wp:align>right</wp:align>
              </wp:positionH>
              <wp:positionV relativeFrom="paragraph">
                <wp:posOffset>635</wp:posOffset>
              </wp:positionV>
              <wp:extent cx="78105" cy="176530"/>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501FE1" w:rsidRDefault="00324017">
                          <w:pPr>
                            <w:pStyle w:val="Footer"/>
                          </w:pPr>
                          <w:r>
                            <w:rPr>
                              <w:rStyle w:val="PageNumber"/>
                              <w:color w:val="000000"/>
                            </w:rPr>
                            <w:fldChar w:fldCharType="begin"/>
                          </w:r>
                          <w:r>
                            <w:rPr>
                              <w:rStyle w:val="PageNumber"/>
                            </w:rPr>
                            <w:instrText>PAGE</w:instrText>
                          </w:r>
                          <w:r>
                            <w:rPr>
                              <w:rStyle w:val="PageNumber"/>
                            </w:rPr>
                            <w:fldChar w:fldCharType="separate"/>
                          </w:r>
                          <w:r w:rsidR="003F09CC">
                            <w:rPr>
                              <w:rStyle w:val="PageNumber"/>
                              <w:noProof/>
                            </w:rPr>
                            <w:t>5</w:t>
                          </w:r>
                          <w:r>
                            <w:rPr>
                              <w:rStyle w:val="PageNumber"/>
                            </w:rPr>
                            <w:fldChar w:fldCharType="end"/>
                          </w:r>
                        </w:p>
                      </w:txbxContent>
                    </wps:txbx>
                    <wps:bodyPr lIns="0" tIns="0" rIns="0" bIns="0">
                      <a:noAutofit/>
                    </wps:bodyPr>
                  </wps:wsp>
                </a:graphicData>
              </a:graphic>
            </wp:anchor>
          </w:drawing>
        </mc:Choice>
        <mc:Fallback>
          <w:pict>
            <v:rect id="Врезка1" o:spid="_x0000_s1026" style="position:absolute;margin-left:-45.05pt;margin-top:.05pt;width:6.15pt;height:13.9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" filled="f" stroked="f">
              <v:textbox inset="0,0,0,0">
                <w:txbxContent>
                  <w:p w:rsidR="00501FE1" w:rsidRDefault="00324017">
                    <w:pPr>
                      <w:pStyle w:val="Footer"/>
                    </w:pPr>
                    <w:r>
                      <w:rPr>
                        <w:rStyle w:val="PageNumber"/>
                        <w:color w:val="000000"/>
                      </w:rPr>
                      <w:fldChar w:fldCharType="begin"/>
                    </w:r>
                    <w:r>
                      <w:rPr>
                        <w:rStyle w:val="PageNumber"/>
                      </w:rPr>
                      <w:instrText>PAGE</w:instrText>
                    </w:r>
                    <w:r>
                      <w:rPr>
                        <w:rStyle w:val="PageNumber"/>
                      </w:rPr>
                      <w:fldChar w:fldCharType="separate"/>
                    </w:r>
                    <w:r w:rsidR="003F09CC">
                      <w:rPr>
                        <w:rStyle w:val="PageNumber"/>
                        <w:noProof/>
                      </w:rPr>
                      <w:t>5</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3B5" w:rsidRDefault="009303B5">
      <w:r>
        <w:separator/>
      </w:r>
    </w:p>
  </w:footnote>
  <w:footnote w:type="continuationSeparator" w:id="0">
    <w:p w:rsidR="009303B5" w:rsidRDefault="0093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488E"/>
    <w:multiLevelType w:val="multilevel"/>
    <w:tmpl w:val="6882CCF6"/>
    <w:lvl w:ilvl="0">
      <w:start w:val="1"/>
      <w:numFmt w:val="decimal"/>
      <w:lvlText w:val="%1."/>
      <w:lvlJc w:val="left"/>
      <w:pPr>
        <w:tabs>
          <w:tab w:val="num" w:pos="405"/>
        </w:tabs>
        <w:ind w:left="405" w:hanging="405"/>
      </w:pPr>
      <w:rPr>
        <w:b/>
        <w:i w:val="0"/>
      </w:rPr>
    </w:lvl>
    <w:lvl w:ilvl="1">
      <w:start w:val="1"/>
      <w:numFmt w:val="decimal"/>
      <w:lvlText w:val="%1.%2."/>
      <w:lvlJc w:val="left"/>
      <w:pPr>
        <w:tabs>
          <w:tab w:val="num" w:pos="1125"/>
        </w:tabs>
        <w:ind w:left="1125" w:hanging="405"/>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46D04B3D"/>
    <w:multiLevelType w:val="multilevel"/>
    <w:tmpl w:val="416AEC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E1"/>
    <w:rsid w:val="00324017"/>
    <w:rsid w:val="003F09CC"/>
    <w:rsid w:val="00501FE1"/>
    <w:rsid w:val="00514084"/>
    <w:rsid w:val="009303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rPr>
      <w:color w:val="0000FF"/>
      <w:u w:val="single"/>
    </w:rPr>
  </w:style>
  <w:style w:type="character" w:customStyle="1" w:styleId="PoratDiagrama">
    <w:name w:val="Poraštė Diagrama"/>
    <w:basedOn w:val="DefaultParagraphFont"/>
    <w:qFormat/>
    <w:rPr>
      <w:rFonts w:ascii="Times New Roman" w:eastAsia="Times New Roman" w:hAnsi="Times New Roman" w:cs="Times New Roman"/>
      <w:sz w:val="24"/>
      <w:szCs w:val="20"/>
      <w:lang w:eastAsia="lt-LT"/>
    </w:rPr>
  </w:style>
  <w:style w:type="character" w:styleId="PageNumber">
    <w:name w:val="page number"/>
    <w:basedOn w:val="DefaultParagraphFont"/>
    <w:qFormat/>
  </w:style>
  <w:style w:type="character" w:customStyle="1" w:styleId="PagrindinistekstasDiagrama">
    <w:name w:val="Pagrindinis tekstas Diagrama"/>
    <w:qFormat/>
    <w:rPr>
      <w:sz w:val="24"/>
    </w:rPr>
  </w:style>
  <w:style w:type="character" w:customStyle="1" w:styleId="PagrindinistekstasDiagrama1">
    <w:name w:val="Pagrindinis tekstas Diagrama1"/>
    <w:basedOn w:val="DefaultParagraphFont"/>
    <w:qFormat/>
    <w:rPr>
      <w:rFonts w:ascii="Times New Roman" w:eastAsia="Times New Roman" w:hAnsi="Times New Roman" w:cs="Times New Roman"/>
      <w:sz w:val="24"/>
      <w:szCs w:val="24"/>
      <w:lang w:eastAsia="lt-LT"/>
    </w:rPr>
  </w:style>
  <w:style w:type="character" w:customStyle="1" w:styleId="ListLabel1">
    <w:name w:val="ListLabel 1"/>
    <w:qFormat/>
    <w:rPr>
      <w:b/>
      <w:i w:val="0"/>
    </w:rPr>
  </w:style>
  <w:style w:type="character" w:customStyle="1" w:styleId="ListLabel2">
    <w:name w:val="ListLabel 2"/>
    <w:qFormat/>
  </w:style>
  <w:style w:type="character" w:customStyle="1" w:styleId="ListLabel3">
    <w:name w:val="ListLabel 3"/>
    <w:qFormat/>
    <w:rPr>
      <w:b/>
      <w:i w:val="0"/>
    </w:rPr>
  </w:style>
  <w:style w:type="character" w:customStyle="1" w:styleId="ListLabel4">
    <w:name w:val="ListLabel 4"/>
    <w:qFormat/>
  </w:style>
  <w:style w:type="character" w:customStyle="1" w:styleId="ListLabel5">
    <w:name w:val="ListLabel 5"/>
    <w:qFormat/>
    <w:rPr>
      <w:b/>
      <w:i w:val="0"/>
    </w:rPr>
  </w:style>
  <w:style w:type="character" w:customStyle="1" w:styleId="ListLabel6">
    <w:name w:val="ListLabel 6"/>
    <w:qFormat/>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line="276" w:lineRule="auto"/>
    </w:pPr>
    <w:rPr>
      <w:rFonts w:ascii="Calibri" w:eastAsia="Calibri" w:hAnsi="Calibri" w:cs="Tahoma"/>
      <w:szCs w:val="22"/>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0">
    <w:name w:val="Указатель"/>
    <w:basedOn w:val="Normal"/>
    <w:qFormat/>
    <w:pPr>
      <w:suppressLineNumbers/>
    </w:pPr>
    <w:rPr>
      <w:rFonts w:cs="Arial"/>
    </w:rPr>
  </w:style>
  <w:style w:type="paragraph" w:styleId="Footer">
    <w:name w:val="footer"/>
    <w:basedOn w:val="Normal"/>
    <w:pPr>
      <w:tabs>
        <w:tab w:val="center" w:pos="4320"/>
        <w:tab w:val="right" w:pos="8640"/>
      </w:tabs>
    </w:pPr>
    <w:rPr>
      <w:szCs w:val="20"/>
    </w:rPr>
  </w:style>
  <w:style w:type="paragraph" w:customStyle="1" w:styleId="a1">
    <w:name w:val="Содержимое врезки"/>
    <w:basedOn w:val="Normal"/>
    <w:qFormat/>
  </w:style>
  <w:style w:type="paragraph" w:styleId="BalloonText">
    <w:name w:val="Balloon Text"/>
    <w:basedOn w:val="Normal"/>
    <w:link w:val="BalloonTextChar"/>
    <w:uiPriority w:val="99"/>
    <w:semiHidden/>
    <w:unhideWhenUsed/>
    <w:rsid w:val="003F09CC"/>
    <w:rPr>
      <w:rFonts w:ascii="Tahoma" w:hAnsi="Tahoma" w:cs="Tahoma"/>
      <w:sz w:val="16"/>
      <w:szCs w:val="16"/>
    </w:rPr>
  </w:style>
  <w:style w:type="character" w:customStyle="1" w:styleId="BalloonTextChar">
    <w:name w:val="Balloon Text Char"/>
    <w:basedOn w:val="DefaultParagraphFont"/>
    <w:link w:val="BalloonText"/>
    <w:uiPriority w:val="99"/>
    <w:semiHidden/>
    <w:rsid w:val="003F09CC"/>
    <w:rPr>
      <w:rFonts w:ascii="Tahoma" w:eastAsia="Times New Roman" w:hAnsi="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rPr>
      <w:color w:val="0000FF"/>
      <w:u w:val="single"/>
    </w:rPr>
  </w:style>
  <w:style w:type="character" w:customStyle="1" w:styleId="PoratDiagrama">
    <w:name w:val="Poraštė Diagrama"/>
    <w:basedOn w:val="DefaultParagraphFont"/>
    <w:qFormat/>
    <w:rPr>
      <w:rFonts w:ascii="Times New Roman" w:eastAsia="Times New Roman" w:hAnsi="Times New Roman" w:cs="Times New Roman"/>
      <w:sz w:val="24"/>
      <w:szCs w:val="20"/>
      <w:lang w:eastAsia="lt-LT"/>
    </w:rPr>
  </w:style>
  <w:style w:type="character" w:styleId="PageNumber">
    <w:name w:val="page number"/>
    <w:basedOn w:val="DefaultParagraphFont"/>
    <w:qFormat/>
  </w:style>
  <w:style w:type="character" w:customStyle="1" w:styleId="PagrindinistekstasDiagrama">
    <w:name w:val="Pagrindinis tekstas Diagrama"/>
    <w:qFormat/>
    <w:rPr>
      <w:sz w:val="24"/>
    </w:rPr>
  </w:style>
  <w:style w:type="character" w:customStyle="1" w:styleId="PagrindinistekstasDiagrama1">
    <w:name w:val="Pagrindinis tekstas Diagrama1"/>
    <w:basedOn w:val="DefaultParagraphFont"/>
    <w:qFormat/>
    <w:rPr>
      <w:rFonts w:ascii="Times New Roman" w:eastAsia="Times New Roman" w:hAnsi="Times New Roman" w:cs="Times New Roman"/>
      <w:sz w:val="24"/>
      <w:szCs w:val="24"/>
      <w:lang w:eastAsia="lt-LT"/>
    </w:rPr>
  </w:style>
  <w:style w:type="character" w:customStyle="1" w:styleId="ListLabel1">
    <w:name w:val="ListLabel 1"/>
    <w:qFormat/>
    <w:rPr>
      <w:b/>
      <w:i w:val="0"/>
    </w:rPr>
  </w:style>
  <w:style w:type="character" w:customStyle="1" w:styleId="ListLabel2">
    <w:name w:val="ListLabel 2"/>
    <w:qFormat/>
  </w:style>
  <w:style w:type="character" w:customStyle="1" w:styleId="ListLabel3">
    <w:name w:val="ListLabel 3"/>
    <w:qFormat/>
    <w:rPr>
      <w:b/>
      <w:i w:val="0"/>
    </w:rPr>
  </w:style>
  <w:style w:type="character" w:customStyle="1" w:styleId="ListLabel4">
    <w:name w:val="ListLabel 4"/>
    <w:qFormat/>
  </w:style>
  <w:style w:type="character" w:customStyle="1" w:styleId="ListLabel5">
    <w:name w:val="ListLabel 5"/>
    <w:qFormat/>
    <w:rPr>
      <w:b/>
      <w:i w:val="0"/>
    </w:rPr>
  </w:style>
  <w:style w:type="character" w:customStyle="1" w:styleId="ListLabel6">
    <w:name w:val="ListLabel 6"/>
    <w:qFormat/>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line="276" w:lineRule="auto"/>
    </w:pPr>
    <w:rPr>
      <w:rFonts w:ascii="Calibri" w:eastAsia="Calibri" w:hAnsi="Calibri" w:cs="Tahoma"/>
      <w:szCs w:val="22"/>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0">
    <w:name w:val="Указатель"/>
    <w:basedOn w:val="Normal"/>
    <w:qFormat/>
    <w:pPr>
      <w:suppressLineNumbers/>
    </w:pPr>
    <w:rPr>
      <w:rFonts w:cs="Arial"/>
    </w:rPr>
  </w:style>
  <w:style w:type="paragraph" w:styleId="Footer">
    <w:name w:val="footer"/>
    <w:basedOn w:val="Normal"/>
    <w:pPr>
      <w:tabs>
        <w:tab w:val="center" w:pos="4320"/>
        <w:tab w:val="right" w:pos="8640"/>
      </w:tabs>
    </w:pPr>
    <w:rPr>
      <w:szCs w:val="20"/>
    </w:rPr>
  </w:style>
  <w:style w:type="paragraph" w:customStyle="1" w:styleId="a1">
    <w:name w:val="Содержимое врезки"/>
    <w:basedOn w:val="Normal"/>
    <w:qFormat/>
  </w:style>
  <w:style w:type="paragraph" w:styleId="BalloonText">
    <w:name w:val="Balloon Text"/>
    <w:basedOn w:val="Normal"/>
    <w:link w:val="BalloonTextChar"/>
    <w:uiPriority w:val="99"/>
    <w:semiHidden/>
    <w:unhideWhenUsed/>
    <w:rsid w:val="003F09CC"/>
    <w:rPr>
      <w:rFonts w:ascii="Tahoma" w:hAnsi="Tahoma" w:cs="Tahoma"/>
      <w:sz w:val="16"/>
      <w:szCs w:val="16"/>
    </w:rPr>
  </w:style>
  <w:style w:type="character" w:customStyle="1" w:styleId="BalloonTextChar">
    <w:name w:val="Balloon Text Char"/>
    <w:basedOn w:val="DefaultParagraphFont"/>
    <w:link w:val="BalloonText"/>
    <w:uiPriority w:val="99"/>
    <w:semiHidden/>
    <w:rsid w:val="003F09CC"/>
    <w:rPr>
      <w:rFonts w:ascii="Tahoma" w:eastAsia="Times New Roman" w:hAnsi="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10756</Words>
  <Characters>6131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2022-11-22T11:32:00Z</cp:lastPrinted>
  <dcterms:created xsi:type="dcterms:W3CDTF">2022-07-18T10:55:00Z</dcterms:created>
  <dcterms:modified xsi:type="dcterms:W3CDTF">2022-11-22T11:32:00Z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