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3C1095" w14:textId="77777777" w:rsidR="00D3089D" w:rsidRPr="00D3089D" w:rsidRDefault="00D3089D" w:rsidP="00D3089D">
      <w:pPr>
        <w:spacing w:after="0" w:line="240" w:lineRule="auto"/>
        <w:jc w:val="center"/>
        <w:rPr>
          <w:rFonts w:ascii="Times New Roman" w:eastAsia="Times New Roman" w:hAnsi="Times New Roman" w:cs="Times New Roman"/>
          <w:b/>
          <w:lang w:val="lt-LT"/>
        </w:rPr>
      </w:pPr>
    </w:p>
    <w:p w14:paraId="285524C8" w14:textId="409FA64E" w:rsidR="00D3089D" w:rsidRPr="00D3089D" w:rsidRDefault="00D3089D" w:rsidP="00D3089D">
      <w:pPr>
        <w:autoSpaceDE w:val="0"/>
        <w:autoSpaceDN w:val="0"/>
        <w:adjustRightInd w:val="0"/>
        <w:spacing w:after="0" w:line="240" w:lineRule="auto"/>
        <w:contextualSpacing/>
        <w:jc w:val="center"/>
        <w:rPr>
          <w:rFonts w:ascii="Times New Roman" w:eastAsia="Times New Roman" w:hAnsi="Times New Roman" w:cs="Times New Roman"/>
          <w:b/>
          <w:bCs/>
          <w:color w:val="000000"/>
          <w:lang w:val="lt-LT"/>
        </w:rPr>
      </w:pPr>
      <w:r w:rsidRPr="00D3089D">
        <w:rPr>
          <w:rFonts w:ascii="Times New Roman" w:eastAsia="Times New Roman" w:hAnsi="Times New Roman" w:cs="Times New Roman"/>
          <w:b/>
          <w:bCs/>
          <w:color w:val="000000"/>
          <w:lang w:val="lt-LT"/>
        </w:rPr>
        <w:t>ODONTOLOGINIŲ MEDŽIAGŲ PIRKIMO – PARDAVIMO SUTARTIS NR.</w:t>
      </w:r>
      <w:r w:rsidR="0002498F">
        <w:rPr>
          <w:rFonts w:ascii="Times New Roman" w:eastAsia="Times New Roman" w:hAnsi="Times New Roman" w:cs="Times New Roman"/>
          <w:b/>
          <w:bCs/>
          <w:color w:val="000000"/>
          <w:lang w:val="lt-LT"/>
        </w:rPr>
        <w:t xml:space="preserve"> SVP-27</w:t>
      </w:r>
      <w:bookmarkStart w:id="0" w:name="_GoBack"/>
      <w:bookmarkEnd w:id="0"/>
    </w:p>
    <w:p w14:paraId="6570E1D9" w14:textId="79BF3FF0" w:rsidR="00D3089D" w:rsidRPr="00D3089D" w:rsidRDefault="001128C1" w:rsidP="00D3089D">
      <w:pPr>
        <w:autoSpaceDE w:val="0"/>
        <w:autoSpaceDN w:val="0"/>
        <w:adjustRightInd w:val="0"/>
        <w:spacing w:after="0" w:line="240" w:lineRule="auto"/>
        <w:contextualSpacing/>
        <w:jc w:val="center"/>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2023 m. gegužės mėn. 23</w:t>
      </w:r>
      <w:r w:rsidR="00D3089D" w:rsidRPr="00D3089D">
        <w:rPr>
          <w:rFonts w:ascii="Times New Roman" w:eastAsia="Times New Roman" w:hAnsi="Times New Roman" w:cs="Times New Roman"/>
          <w:color w:val="000000"/>
          <w:lang w:val="lt-LT"/>
        </w:rPr>
        <w:t xml:space="preserve"> d.</w:t>
      </w:r>
    </w:p>
    <w:p w14:paraId="36952FD4" w14:textId="77777777" w:rsidR="00D3089D" w:rsidRPr="00D3089D" w:rsidRDefault="00D3089D" w:rsidP="00D3089D">
      <w:pPr>
        <w:autoSpaceDE w:val="0"/>
        <w:autoSpaceDN w:val="0"/>
        <w:adjustRightInd w:val="0"/>
        <w:spacing w:after="0" w:line="240" w:lineRule="auto"/>
        <w:contextualSpacing/>
        <w:jc w:val="center"/>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t xml:space="preserve">Šiauliai </w:t>
      </w:r>
    </w:p>
    <w:p w14:paraId="1458A45F" w14:textId="77777777" w:rsidR="00D3089D" w:rsidRPr="00D3089D" w:rsidRDefault="00D3089D" w:rsidP="00D3089D">
      <w:pPr>
        <w:autoSpaceDE w:val="0"/>
        <w:autoSpaceDN w:val="0"/>
        <w:adjustRightInd w:val="0"/>
        <w:spacing w:after="0" w:line="240" w:lineRule="auto"/>
        <w:contextualSpacing/>
        <w:jc w:val="center"/>
        <w:rPr>
          <w:rFonts w:ascii="Times New Roman" w:eastAsia="Times New Roman" w:hAnsi="Times New Roman" w:cs="Times New Roman"/>
          <w:color w:val="000000"/>
          <w:lang w:val="lt-LT"/>
        </w:rPr>
      </w:pPr>
    </w:p>
    <w:p w14:paraId="3AA96C81" w14:textId="34D320B2"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bCs/>
          <w:color w:val="000000"/>
          <w:lang w:val="lt-LT"/>
        </w:rPr>
      </w:pPr>
      <w:r w:rsidRPr="00D3089D">
        <w:rPr>
          <w:rFonts w:ascii="Times New Roman" w:eastAsia="Times New Roman" w:hAnsi="Times New Roman" w:cs="Times New Roman"/>
          <w:bCs/>
          <w:color w:val="000000"/>
          <w:lang w:val="lt-LT"/>
        </w:rPr>
        <w:t>Viešoji įstaiga Dainų pirminės sveikatos priežiūros centras, adresas Aido g. 18, Šiauliai, juridinio asmens kodas 145371299, atstovaujama direktorės Aurikos Koncienės, veikiančios pagal įstaigos įstatus (toliau – Pirkėjas arba Perkančioji organizacija) ir,</w:t>
      </w:r>
      <w:r>
        <w:rPr>
          <w:rFonts w:ascii="Times New Roman" w:eastAsia="Times New Roman" w:hAnsi="Times New Roman" w:cs="Times New Roman"/>
          <w:bCs/>
          <w:color w:val="000000"/>
          <w:lang w:val="lt-LT"/>
        </w:rPr>
        <w:t xml:space="preserve"> UAB „Unidentas“ </w:t>
      </w:r>
      <w:r w:rsidRPr="00D3089D">
        <w:rPr>
          <w:rFonts w:ascii="Times New Roman" w:eastAsia="Times New Roman" w:hAnsi="Times New Roman" w:cs="Times New Roman"/>
          <w:bCs/>
          <w:color w:val="000000"/>
          <w:lang w:val="lt-LT"/>
        </w:rPr>
        <w:t>, adresas</w:t>
      </w:r>
      <w:r>
        <w:rPr>
          <w:rFonts w:ascii="Times New Roman" w:eastAsia="Times New Roman" w:hAnsi="Times New Roman" w:cs="Times New Roman"/>
          <w:bCs/>
          <w:color w:val="000000"/>
          <w:lang w:val="lt-LT"/>
        </w:rPr>
        <w:t xml:space="preserve"> Senasis Ukmergės kelias 4, Užubalių km. Vilniaus raj.</w:t>
      </w:r>
      <w:r w:rsidRPr="00D3089D">
        <w:rPr>
          <w:rFonts w:ascii="Times New Roman" w:eastAsia="Times New Roman" w:hAnsi="Times New Roman" w:cs="Times New Roman"/>
          <w:bCs/>
          <w:color w:val="000000"/>
          <w:lang w:val="lt-LT"/>
        </w:rPr>
        <w:t xml:space="preserve">, juridinio asmens kodas </w:t>
      </w:r>
      <w:r>
        <w:rPr>
          <w:rFonts w:ascii="Times New Roman" w:eastAsia="Times New Roman" w:hAnsi="Times New Roman" w:cs="Times New Roman"/>
          <w:bCs/>
          <w:color w:val="000000"/>
          <w:lang w:val="lt-LT"/>
        </w:rPr>
        <w:t>126409973</w:t>
      </w:r>
      <w:r w:rsidRPr="00D3089D">
        <w:rPr>
          <w:rFonts w:ascii="Times New Roman" w:eastAsia="Times New Roman" w:hAnsi="Times New Roman" w:cs="Times New Roman"/>
          <w:bCs/>
          <w:color w:val="000000"/>
          <w:lang w:val="lt-LT"/>
        </w:rPr>
        <w:t xml:space="preserve">, atstovaujamas </w:t>
      </w:r>
      <w:r>
        <w:rPr>
          <w:rFonts w:ascii="Times New Roman" w:eastAsia="Times New Roman" w:hAnsi="Times New Roman" w:cs="Times New Roman"/>
          <w:bCs/>
          <w:color w:val="000000"/>
          <w:lang w:val="lt-LT"/>
        </w:rPr>
        <w:t>direktoriaus Lino Stankevičiaus</w:t>
      </w:r>
      <w:r w:rsidRPr="00D3089D">
        <w:rPr>
          <w:rFonts w:ascii="Times New Roman" w:eastAsia="Times New Roman" w:hAnsi="Times New Roman" w:cs="Times New Roman"/>
          <w:bCs/>
          <w:color w:val="000000"/>
          <w:lang w:val="lt-LT"/>
        </w:rPr>
        <w:t>, veikiančio(s) pagal įmonės įstatus, (toliau – Pardavėjas) laimėjusi viešąjį pirkimą (pirkimo Nr.</w:t>
      </w:r>
      <w:r w:rsidRPr="00D3089D">
        <w:rPr>
          <w:lang w:val="lt-LT"/>
        </w:rPr>
        <w:t xml:space="preserve"> </w:t>
      </w:r>
      <w:r w:rsidRPr="00D3089D">
        <w:rPr>
          <w:rFonts w:ascii="Times New Roman" w:eastAsia="Times New Roman" w:hAnsi="Times New Roman" w:cs="Times New Roman"/>
          <w:bCs/>
          <w:color w:val="000000"/>
          <w:lang w:val="lt-LT"/>
        </w:rPr>
        <w:t xml:space="preserve">666214) (toliau – Pirkimas), </w:t>
      </w:r>
      <w:r w:rsidRPr="00D3089D">
        <w:rPr>
          <w:rFonts w:ascii="Times New Roman" w:eastAsia="Times New Roman" w:hAnsi="Times New Roman" w:cs="Times New Roman"/>
          <w:color w:val="000000"/>
          <w:lang w:val="lt-LT"/>
        </w:rPr>
        <w:t>toliau kartu šioje Prekių viešojo pirkimo – pardavimo sutartyje vadinami „Šalimis“, o kiekvienas atskirai – „Šalimi“, sudarė šią viešojo pirkimo – pardavimo sutartį, toliau vadinamą „Sutartimi“</w:t>
      </w:r>
      <w:r w:rsidRPr="00D3089D">
        <w:rPr>
          <w:rFonts w:ascii="Times New Roman" w:eastAsia="Times New Roman" w:hAnsi="Times New Roman" w:cs="Times New Roman"/>
          <w:bCs/>
          <w:color w:val="000000"/>
          <w:lang w:val="lt-LT"/>
        </w:rPr>
        <w:t xml:space="preserve">: </w:t>
      </w:r>
    </w:p>
    <w:p w14:paraId="10B46862" w14:textId="77777777" w:rsidR="00D3089D" w:rsidRPr="00D3089D" w:rsidRDefault="00D3089D" w:rsidP="00D3089D">
      <w:pPr>
        <w:autoSpaceDE w:val="0"/>
        <w:autoSpaceDN w:val="0"/>
        <w:adjustRightInd w:val="0"/>
        <w:spacing w:after="0" w:line="240" w:lineRule="auto"/>
        <w:contextualSpacing/>
        <w:rPr>
          <w:rFonts w:ascii="Times New Roman" w:eastAsia="Times New Roman" w:hAnsi="Times New Roman" w:cs="Times New Roman"/>
          <w:b/>
          <w:bCs/>
          <w:color w:val="000000"/>
          <w:lang w:val="lt-LT"/>
        </w:rPr>
      </w:pPr>
    </w:p>
    <w:p w14:paraId="74153112" w14:textId="77777777" w:rsidR="00D3089D" w:rsidRPr="00D3089D" w:rsidRDefault="00D3089D" w:rsidP="00D3089D">
      <w:pPr>
        <w:autoSpaceDE w:val="0"/>
        <w:autoSpaceDN w:val="0"/>
        <w:adjustRightInd w:val="0"/>
        <w:spacing w:after="0" w:line="240" w:lineRule="auto"/>
        <w:contextualSpacing/>
        <w:jc w:val="center"/>
        <w:rPr>
          <w:rFonts w:ascii="Times New Roman" w:eastAsia="Times New Roman" w:hAnsi="Times New Roman" w:cs="Times New Roman"/>
          <w:color w:val="000000"/>
          <w:lang w:val="lt-LT"/>
        </w:rPr>
      </w:pPr>
      <w:r w:rsidRPr="00D3089D">
        <w:rPr>
          <w:rFonts w:ascii="Times New Roman" w:eastAsia="Times New Roman" w:hAnsi="Times New Roman" w:cs="Times New Roman"/>
          <w:b/>
          <w:bCs/>
          <w:color w:val="000000"/>
          <w:lang w:val="lt-LT"/>
        </w:rPr>
        <w:t>I. SUTARTIES OBJEKTAS</w:t>
      </w:r>
    </w:p>
    <w:p w14:paraId="6C086597" w14:textId="77777777"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t>1.1. Pardavėjas įsipareigoja parduoti, pristatyti ir perduoti Pirkėjui jam priklausančias odontologines medžiagas, kurių pavadinimai, kiekiai, kaina nurodyti šios Sutarties priede „</w:t>
      </w:r>
      <w:r w:rsidRPr="00D3089D">
        <w:rPr>
          <w:rFonts w:ascii="Times New Roman" w:eastAsia="Times New Roman" w:hAnsi="Times New Roman" w:cs="Times New Roman"/>
          <w:iCs/>
          <w:color w:val="000000"/>
          <w:lang w:val="lt-LT"/>
        </w:rPr>
        <w:t>Pasiūlymas viešajame pirkime</w:t>
      </w:r>
      <w:r w:rsidRPr="00D3089D">
        <w:rPr>
          <w:rFonts w:ascii="Times New Roman" w:eastAsia="Times New Roman" w:hAnsi="Times New Roman" w:cs="Times New Roman"/>
          <w:color w:val="000000"/>
          <w:lang w:val="lt-LT"/>
        </w:rPr>
        <w:t xml:space="preserve">“ (toliau – Prekės), o Pirkėjas įsipareigoja kokybiškas Prekes priimti ir už jas sumokėti Sutartyje nustatytomis sąlygomis ir tvarka. </w:t>
      </w:r>
    </w:p>
    <w:p w14:paraId="192E3AFC" w14:textId="77777777"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t>1.2. Pardavėjas pareiškia, kad parduodamų Prekių kiekis ir kokybė atitinka šioje Sutartyje nustatytus reikalavimus, įskaitant Sutarties priede „</w:t>
      </w:r>
      <w:r w:rsidRPr="00D3089D">
        <w:rPr>
          <w:rFonts w:ascii="Times New Roman" w:eastAsia="Times New Roman" w:hAnsi="Times New Roman" w:cs="Times New Roman"/>
          <w:iCs/>
          <w:color w:val="000000"/>
          <w:lang w:val="lt-LT"/>
        </w:rPr>
        <w:t>Pasiūlymas viešajame pirkime</w:t>
      </w:r>
      <w:r w:rsidRPr="00D3089D">
        <w:rPr>
          <w:rFonts w:ascii="Times New Roman" w:eastAsia="Times New Roman" w:hAnsi="Times New Roman" w:cs="Times New Roman"/>
          <w:color w:val="000000"/>
          <w:lang w:val="lt-LT"/>
        </w:rPr>
        <w:t xml:space="preserve">“ nustatytus reikalavimus, standartus, šioje Sutartyje aptartas sąlygas ir yra tinkamos naudoti pagal paskirtį (toliau – reikalavimai). </w:t>
      </w:r>
    </w:p>
    <w:p w14:paraId="1D998308" w14:textId="77777777"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t xml:space="preserve">1.3. Prekių kiekis yra preliminarus. Pirkėjas Prekes Sutarties galiojimo metu planuoja pirkti pagal atskirus užsakymus, atsižvelgdamas į Pirkėjo poreikį, kuris priklauso nuo aplinkybių, neprognozuojamų pirkimo metu (perkamų Prekių kiekis priklauso nuo Sutarties vykdymo metu iškylančio poreikio, keičiantis gydymo įstaigos poreikiams, pacientų skaičiui). Pirkėjas Sutarties galiojimo metu neįsipareigoja išpirkti viso numatyto preliminaraus Prekių kiekio. Pirkėjas, atsižvelgdamas į jo poreikius, pasilieka teisę koreguoti perkamų Prekių kiekį, nei nurodytas preliminarus Prekių kiekis, ir įsigyti arba mažesnį Prekių kiekį, arba didesnį Prekių kiekį. </w:t>
      </w:r>
    </w:p>
    <w:p w14:paraId="25448733" w14:textId="77777777"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t xml:space="preserve">1.4. Jeigu Prekių kokybė neatitinka galiojančių standartų, kokybės reikalavimų ar kitų teisės aktų reikalavimų, Pirkėjas įsipareigoja pranešti apie tai Pardavėjui, o Pardavėjas įsipareigoja savo sąskaita ne vėliau kaip per 5 (penkias) kalendorines dienas pakeisti Prekes kokybiškomis, atitinkančiomis galiojančių standartų, kokybės reikalavimų ar kitų teisės aktų reikalavimus. </w:t>
      </w:r>
    </w:p>
    <w:p w14:paraId="51037955" w14:textId="77777777"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t>1.5. Pirkėjas turi teisę, atsiradus poreikiui, iš Pardavėjo įsigyti ir kitų, sutarties priede nenurodytų prekių, neviršijant 10 procentų šios Sutarties 2.1 punkte nurodytos sumos. Už prekių sąraše nenurodytas prekes apmokama ne didesnėmis nei prekių pardavimo dieną galiojančiomis šių prekių kainomis arba, jei tokios kainos neskelbiamos – Pirkėjo pasiūlytomis, konkurencingomis ir rinką atitinkančiomis kainomis.</w:t>
      </w:r>
    </w:p>
    <w:p w14:paraId="0D528880" w14:textId="77777777" w:rsidR="00D3089D" w:rsidRPr="00D3089D" w:rsidRDefault="00D3089D" w:rsidP="00D3089D">
      <w:pPr>
        <w:autoSpaceDE w:val="0"/>
        <w:autoSpaceDN w:val="0"/>
        <w:adjustRightInd w:val="0"/>
        <w:spacing w:after="0" w:line="240" w:lineRule="auto"/>
        <w:contextualSpacing/>
        <w:rPr>
          <w:rFonts w:ascii="Times New Roman" w:eastAsia="Times New Roman" w:hAnsi="Times New Roman" w:cs="Times New Roman"/>
          <w:color w:val="000000"/>
          <w:lang w:val="lt-LT"/>
        </w:rPr>
      </w:pPr>
    </w:p>
    <w:p w14:paraId="324B4914" w14:textId="77777777" w:rsidR="00D3089D" w:rsidRPr="00D3089D" w:rsidRDefault="00D3089D" w:rsidP="00D3089D">
      <w:pPr>
        <w:autoSpaceDE w:val="0"/>
        <w:autoSpaceDN w:val="0"/>
        <w:adjustRightInd w:val="0"/>
        <w:spacing w:after="0" w:line="240" w:lineRule="auto"/>
        <w:contextualSpacing/>
        <w:jc w:val="center"/>
        <w:rPr>
          <w:rFonts w:ascii="Times New Roman" w:eastAsia="Times New Roman" w:hAnsi="Times New Roman" w:cs="Times New Roman"/>
          <w:color w:val="000000"/>
          <w:lang w:val="lt-LT"/>
        </w:rPr>
      </w:pPr>
      <w:r w:rsidRPr="00D3089D">
        <w:rPr>
          <w:rFonts w:ascii="Times New Roman" w:eastAsia="Times New Roman" w:hAnsi="Times New Roman" w:cs="Times New Roman"/>
          <w:b/>
          <w:bCs/>
          <w:color w:val="000000"/>
          <w:lang w:val="lt-LT"/>
        </w:rPr>
        <w:t>II. SUTARTIES KAINA IR ATSISKAITYMŲ TVARKA</w:t>
      </w:r>
    </w:p>
    <w:p w14:paraId="0D3F4F0C" w14:textId="5705A5E2"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t xml:space="preserve">2.1. Preliminari Sutarties kaina yra </w:t>
      </w:r>
      <w:r w:rsidRPr="00D3089D">
        <w:rPr>
          <w:rFonts w:ascii="Times New Roman" w:eastAsia="Times New Roman" w:hAnsi="Times New Roman" w:cs="Times New Roman"/>
          <w:i/>
          <w:lang w:val="lt-LT"/>
        </w:rPr>
        <w:t>20080,53</w:t>
      </w:r>
      <w:r w:rsidRPr="00D3089D">
        <w:rPr>
          <w:rFonts w:ascii="Times New Roman" w:eastAsia="Times New Roman" w:hAnsi="Times New Roman" w:cs="Times New Roman"/>
          <w:lang w:val="lt-LT"/>
        </w:rPr>
        <w:t xml:space="preserve"> Eur </w:t>
      </w:r>
      <w:r w:rsidRPr="00D3089D">
        <w:rPr>
          <w:rFonts w:ascii="Times New Roman" w:eastAsia="Times New Roman" w:hAnsi="Times New Roman" w:cs="Times New Roman"/>
          <w:color w:val="000000"/>
          <w:lang w:val="lt-LT"/>
        </w:rPr>
        <w:t>su PVM</w:t>
      </w:r>
      <w:r>
        <w:rPr>
          <w:rFonts w:ascii="Times New Roman" w:eastAsia="Times New Roman" w:hAnsi="Times New Roman" w:cs="Times New Roman"/>
          <w:color w:val="000000"/>
          <w:lang w:val="lt-LT"/>
        </w:rPr>
        <w:t xml:space="preserve"> ( dvidešimt tūkstančių aštuoniasdešimt Eur 53 cnt.)</w:t>
      </w:r>
      <w:r w:rsidRPr="00D3089D">
        <w:rPr>
          <w:rFonts w:ascii="Times New Roman" w:eastAsia="Times New Roman" w:hAnsi="Times New Roman" w:cs="Times New Roman"/>
          <w:color w:val="000000"/>
          <w:lang w:val="lt-LT"/>
        </w:rPr>
        <w:t xml:space="preserve">, iš kurios PVM sudaro </w:t>
      </w:r>
      <w:r>
        <w:rPr>
          <w:rFonts w:ascii="Times New Roman" w:eastAsia="Times New Roman" w:hAnsi="Times New Roman" w:cs="Times New Roman"/>
          <w:color w:val="000000"/>
          <w:lang w:val="lt-LT"/>
        </w:rPr>
        <w:t xml:space="preserve">3485,05 </w:t>
      </w:r>
      <w:r w:rsidRPr="00D3089D">
        <w:rPr>
          <w:rFonts w:ascii="Times New Roman" w:eastAsia="Times New Roman" w:hAnsi="Times New Roman" w:cs="Times New Roman"/>
          <w:color w:val="000000"/>
          <w:lang w:val="lt-LT"/>
        </w:rPr>
        <w:t>Eur</w:t>
      </w:r>
      <w:r>
        <w:rPr>
          <w:rFonts w:ascii="Times New Roman" w:eastAsia="Times New Roman" w:hAnsi="Times New Roman" w:cs="Times New Roman"/>
          <w:color w:val="000000"/>
          <w:lang w:val="lt-LT"/>
        </w:rPr>
        <w:t xml:space="preserve"> ( trys tūkstančiai keturi šimtai aštuoniasdešimt penki Eur 05 cnt.)</w:t>
      </w:r>
      <w:r w:rsidRPr="00D3089D">
        <w:rPr>
          <w:rFonts w:ascii="Times New Roman" w:eastAsia="Times New Roman" w:hAnsi="Times New Roman" w:cs="Times New Roman"/>
          <w:color w:val="000000"/>
          <w:lang w:val="lt-LT"/>
        </w:rPr>
        <w:t>. Sutartyje taikomas kainos apskaičiavimo būdas – fiksuoto įkainio su peržiūra.</w:t>
      </w:r>
    </w:p>
    <w:p w14:paraId="50C83D79" w14:textId="71A87FC9"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t xml:space="preserve">2.2. Maksimali sutarties vertė su PVM </w:t>
      </w:r>
      <w:r w:rsidR="00741270">
        <w:rPr>
          <w:rFonts w:ascii="Times New Roman" w:eastAsia="Times New Roman" w:hAnsi="Times New Roman" w:cs="Times New Roman"/>
          <w:color w:val="000000"/>
          <w:lang w:val="lt-LT"/>
        </w:rPr>
        <w:t xml:space="preserve">23100,00 </w:t>
      </w:r>
      <w:r w:rsidR="00CF1048">
        <w:rPr>
          <w:rFonts w:ascii="Times New Roman" w:eastAsia="Times New Roman" w:hAnsi="Times New Roman" w:cs="Times New Roman"/>
          <w:color w:val="000000"/>
          <w:lang w:val="lt-LT"/>
        </w:rPr>
        <w:t>3</w:t>
      </w:r>
      <w:r w:rsidRPr="00D3089D">
        <w:rPr>
          <w:rFonts w:ascii="Times New Roman" w:eastAsia="Times New Roman" w:hAnsi="Times New Roman" w:cs="Times New Roman"/>
          <w:color w:val="000000"/>
          <w:lang w:val="lt-LT"/>
        </w:rPr>
        <w:t>Eur</w:t>
      </w:r>
      <w:r w:rsidR="00CF1048">
        <w:rPr>
          <w:rFonts w:ascii="Times New Roman" w:eastAsia="Times New Roman" w:hAnsi="Times New Roman" w:cs="Times New Roman"/>
          <w:color w:val="000000"/>
          <w:lang w:val="lt-LT"/>
        </w:rPr>
        <w:t xml:space="preserve"> (</w:t>
      </w:r>
      <w:r w:rsidR="00741270">
        <w:rPr>
          <w:rFonts w:ascii="Times New Roman" w:eastAsia="Times New Roman" w:hAnsi="Times New Roman" w:cs="Times New Roman"/>
          <w:color w:val="000000"/>
          <w:lang w:val="lt-LT"/>
        </w:rPr>
        <w:t>dvidešimt trys tūkstančiai vienas šimtas Eurų</w:t>
      </w:r>
      <w:r w:rsidRPr="00D3089D">
        <w:rPr>
          <w:rFonts w:ascii="Times New Roman" w:eastAsia="Times New Roman" w:hAnsi="Times New Roman" w:cs="Times New Roman"/>
          <w:color w:val="000000"/>
          <w:lang w:val="lt-LT"/>
        </w:rPr>
        <w:t>).</w:t>
      </w:r>
    </w:p>
    <w:p w14:paraId="2CEB3B0D" w14:textId="77777777"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t xml:space="preserve">2.3. Į Prekių fiksuotus įkainius turi būti įskaičiuoti visi mokesčiai ir visos Pardavėjo patirtos / galimos patirti išlaidos / mokesčiai, susiję su Prekėmis ir tinkamu Sutarties vykdymu, tarp jų ir mokėjimo dokumentų pateikimo per informacinę sistemą „E. sąskaita“ kaštai. </w:t>
      </w:r>
    </w:p>
    <w:p w14:paraId="5745315F" w14:textId="77777777"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t xml:space="preserve">2.4. Prekių fiksuoti įkainiai Sutarties galiojimo laikotarpiu gali būti perskaičiuojami (didinama ar mažinama) pasikeitus (padidėjus ar sumažėjus) PVM, kuris turėjo tiesioginės įtakos Prekių fiksuotiems įkainiams. Šalims raštiškai susitarus, perskaičiuojami tik tie Prekių fiksuotų įkainių dalis, kuriai turėjo įtakos pasikeitęs PVM ir tik pasikeitusio PVM dydžiu. Pirkėjas taip pat turi teisę inicijuoti Prekių fiksuotų įkainių perskaičiavimą dėl pasikeitusio (padidėjusio ar sumažėjusio) PVM. </w:t>
      </w:r>
    </w:p>
    <w:p w14:paraId="1483E693" w14:textId="77777777"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t xml:space="preserve">2.5. Prekių įkainiai gali būti perskaičiuojami dėl Vartotojų kainų indekso (VKI) pokyčio (vartojimo prekės ir paslaugos) (padidėjimo arba sumažėjimo). Perskaičiavimas atliekamas vieną kartą per kalendorinius metus, kas 12 mėnesių nuo Sutarties sudarymo dienos, jeigu per šį laikotarpį vartotojų kainų indekso pokytis yra didesnis negu 5 (penki) procentai. Perskaičiavimas atliekamas per 10 darbo dienų suėjus perskaičiavimo terminui, sudarant Sutarties Šalių pasirašytą papildomą susitarimą prie šios Sutarties. Perskaičiavimas atliekamas pagal Statistikos departamento prie Lietuvos Respublikos Vyriausybės (https://osp.stat.gov.lt/statistiniu-rodikliu-analize?indicator=S7R260#/) skelbiamus VKI. Perskaičiavimas atliekamas Prekės įkainį dauginant iš perskaičiavimo koeficiento (suapvalinto dviejų skaičių po kablelio </w:t>
      </w:r>
      <w:r w:rsidRPr="00D3089D">
        <w:rPr>
          <w:rFonts w:ascii="Times New Roman" w:eastAsia="Times New Roman" w:hAnsi="Times New Roman" w:cs="Times New Roman"/>
          <w:color w:val="000000"/>
          <w:lang w:val="lt-LT"/>
        </w:rPr>
        <w:lastRenderedPageBreak/>
        <w:t>tikslumu), kuris apskaičiuojamas VKI, galiojantį suėjus perskaičiavimo terminui, dalinant iš VKI, galiojusio praėjusio perskaičiavimo termino dieną. Perskaičiuoti įkainiai taikomi nuo sekančio mėnesio 1 dienos.</w:t>
      </w:r>
    </w:p>
    <w:p w14:paraId="23315FCF" w14:textId="77777777"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t>2.5.1. Įkainiai perskaičiuojami pagal formulę:</w:t>
      </w:r>
    </w:p>
    <w:p w14:paraId="383549D6" w14:textId="77777777" w:rsidR="00D3089D" w:rsidRPr="00D3089D" w:rsidRDefault="00E42C3E" w:rsidP="00D3089D">
      <w:pPr>
        <w:spacing w:after="0" w:line="240" w:lineRule="auto"/>
        <w:ind w:firstLine="480"/>
        <w:jc w:val="both"/>
        <w:rPr>
          <w:rFonts w:ascii="Times New Roman" w:eastAsia="Times New Roman" w:hAnsi="Times New Roman" w:cs="Times New Roman"/>
          <w:iCs/>
        </w:rPr>
      </w:pPr>
      <m:oMathPara>
        <m:oMath>
          <m:sSub>
            <m:sSubPr>
              <m:ctrlPr>
                <w:rPr>
                  <w:rFonts w:ascii="Cambria Math" w:eastAsia="Times New Roman" w:hAnsi="Cambria Math" w:cs="Times New Roman"/>
                  <w:iCs/>
                </w:rPr>
              </m:ctrlPr>
            </m:sSubPr>
            <m:e>
              <m:r>
                <m:rPr>
                  <m:sty m:val="p"/>
                </m:rPr>
                <w:rPr>
                  <w:rFonts w:ascii="Cambria Math" w:eastAsia="Times New Roman" w:hAnsi="Cambria Math" w:cs="Times New Roman"/>
                </w:rPr>
                <m:t>S</m:t>
              </m:r>
            </m:e>
            <m:sub>
              <m:r>
                <m:rPr>
                  <m:sty m:val="p"/>
                </m:rPr>
                <w:rPr>
                  <w:rFonts w:ascii="Cambria Math" w:eastAsia="Times New Roman" w:hAnsi="Cambria Math" w:cs="Times New Roman"/>
                </w:rPr>
                <m:t>p</m:t>
              </m:r>
            </m:sub>
          </m:sSub>
          <m:r>
            <m:rPr>
              <m:sty m:val="p"/>
            </m:rPr>
            <w:rPr>
              <w:rFonts w:ascii="Cambria Math" w:eastAsia="Times New Roman" w:hAnsi="Cambria Math" w:cs="Times New Roman"/>
            </w:rPr>
            <m:t>=</m:t>
          </m:r>
          <m:sSub>
            <m:sSubPr>
              <m:ctrlPr>
                <w:rPr>
                  <w:rFonts w:ascii="Cambria Math" w:eastAsia="Times New Roman" w:hAnsi="Cambria Math" w:cs="Times New Roman"/>
                  <w:iCs/>
                </w:rPr>
              </m:ctrlPr>
            </m:sSubPr>
            <m:e>
              <m:r>
                <m:rPr>
                  <m:sty m:val="p"/>
                </m:rPr>
                <w:rPr>
                  <w:rFonts w:ascii="Cambria Math" w:eastAsia="Times New Roman" w:hAnsi="Cambria Math" w:cs="Times New Roman"/>
                </w:rPr>
                <m:t>S</m:t>
              </m:r>
            </m:e>
            <m:sub>
              <m:r>
                <m:rPr>
                  <m:sty m:val="p"/>
                </m:rPr>
                <w:rPr>
                  <w:rFonts w:ascii="Cambria Math" w:eastAsia="Times New Roman" w:hAnsi="Cambria Math" w:cs="Times New Roman"/>
                </w:rPr>
                <m:t>i</m:t>
              </m:r>
            </m:sub>
          </m:sSub>
          <m:r>
            <m:rPr>
              <m:sty m:val="p"/>
            </m:rPr>
            <w:rPr>
              <w:rFonts w:ascii="Cambria Math" w:eastAsia="Times New Roman" w:hAnsi="Cambria Math" w:cs="Times New Roman"/>
            </w:rPr>
            <m:t>∙</m:t>
          </m:r>
          <m:f>
            <m:fPr>
              <m:ctrlPr>
                <w:rPr>
                  <w:rFonts w:ascii="Cambria Math" w:eastAsia="Times New Roman" w:hAnsi="Cambria Math" w:cs="Times New Roman"/>
                  <w:iCs/>
                </w:rPr>
              </m:ctrlPr>
            </m:fPr>
            <m:num>
              <m:sSub>
                <m:sSubPr>
                  <m:ctrlPr>
                    <w:rPr>
                      <w:rFonts w:ascii="Cambria Math" w:eastAsia="Times New Roman" w:hAnsi="Cambria Math" w:cs="Times New Roman"/>
                      <w:iCs/>
                    </w:rPr>
                  </m:ctrlPr>
                </m:sSubPr>
                <m:e>
                  <m:r>
                    <m:rPr>
                      <m:sty m:val="p"/>
                    </m:rPr>
                    <w:rPr>
                      <w:rFonts w:ascii="Cambria Math" w:eastAsia="Times New Roman" w:hAnsi="Cambria Math" w:cs="Times New Roman"/>
                    </w:rPr>
                    <m:t>IP</m:t>
                  </m:r>
                </m:e>
                <m:sub>
                  <m:r>
                    <m:rPr>
                      <m:sty m:val="p"/>
                    </m:rPr>
                    <w:rPr>
                      <w:rFonts w:ascii="Cambria Math" w:eastAsia="Times New Roman" w:hAnsi="Cambria Math" w:cs="Times New Roman"/>
                    </w:rPr>
                    <m:t>b</m:t>
                  </m:r>
                </m:sub>
              </m:sSub>
            </m:num>
            <m:den>
              <m:sSub>
                <m:sSubPr>
                  <m:ctrlPr>
                    <w:rPr>
                      <w:rFonts w:ascii="Cambria Math" w:eastAsia="Times New Roman" w:hAnsi="Cambria Math" w:cs="Times New Roman"/>
                      <w:iCs/>
                    </w:rPr>
                  </m:ctrlPr>
                </m:sSubPr>
                <m:e>
                  <m:r>
                    <m:rPr>
                      <m:sty m:val="p"/>
                    </m:rPr>
                    <w:rPr>
                      <w:rFonts w:ascii="Cambria Math" w:eastAsia="Times New Roman" w:hAnsi="Cambria Math" w:cs="Times New Roman"/>
                    </w:rPr>
                    <m:t>IP</m:t>
                  </m:r>
                </m:e>
                <m:sub>
                  <m:r>
                    <m:rPr>
                      <m:sty m:val="p"/>
                    </m:rPr>
                    <w:rPr>
                      <w:rFonts w:ascii="Cambria Math" w:eastAsia="Times New Roman" w:hAnsi="Cambria Math" w:cs="Times New Roman"/>
                    </w:rPr>
                    <m:t>r</m:t>
                  </m:r>
                </m:sub>
              </m:sSub>
            </m:den>
          </m:f>
        </m:oMath>
      </m:oMathPara>
    </w:p>
    <w:p w14:paraId="6F5E7513" w14:textId="77777777" w:rsidR="00D3089D" w:rsidRPr="00D3089D" w:rsidRDefault="00D3089D" w:rsidP="00D3089D">
      <w:pPr>
        <w:spacing w:after="0" w:line="240" w:lineRule="auto"/>
        <w:ind w:firstLine="480"/>
        <w:jc w:val="both"/>
        <w:rPr>
          <w:rFonts w:ascii="Times New Roman" w:eastAsia="Times New Roman" w:hAnsi="Times New Roman" w:cs="Times New Roman"/>
          <w:iCs/>
        </w:rPr>
      </w:pPr>
      <w:r w:rsidRPr="00D3089D">
        <w:rPr>
          <w:rFonts w:ascii="Times New Roman" w:eastAsia="Times New Roman" w:hAnsi="Times New Roman" w:cs="Times New Roman"/>
          <w:iCs/>
        </w:rPr>
        <w:t>Pateiktoje formulėje:</w:t>
      </w:r>
    </w:p>
    <w:p w14:paraId="15BE4E0B" w14:textId="77777777" w:rsidR="00D3089D" w:rsidRPr="00D3089D" w:rsidRDefault="00D3089D" w:rsidP="00D3089D">
      <w:pPr>
        <w:spacing w:after="0" w:line="240" w:lineRule="auto"/>
        <w:ind w:firstLine="480"/>
        <w:jc w:val="both"/>
        <w:rPr>
          <w:rFonts w:ascii="Times New Roman" w:eastAsia="Times New Roman" w:hAnsi="Times New Roman" w:cs="Times New Roman"/>
          <w:iCs/>
        </w:rPr>
      </w:pPr>
      <w:r w:rsidRPr="00D3089D">
        <w:rPr>
          <w:rFonts w:ascii="Times New Roman" w:eastAsia="Times New Roman" w:hAnsi="Times New Roman" w:cs="Times New Roman"/>
          <w:iCs/>
        </w:rPr>
        <w:tab/>
      </w:r>
      <w:r w:rsidRPr="00D3089D">
        <w:rPr>
          <w:rFonts w:ascii="Times New Roman" w:eastAsia="Times New Roman" w:hAnsi="Times New Roman" w:cs="Times New Roman"/>
          <w:i/>
          <w:iCs/>
        </w:rPr>
        <w:t>S</w:t>
      </w:r>
      <w:r w:rsidRPr="00D3089D">
        <w:rPr>
          <w:rFonts w:ascii="Times New Roman" w:eastAsia="Times New Roman" w:hAnsi="Times New Roman" w:cs="Times New Roman"/>
          <w:i/>
          <w:iCs/>
          <w:vertAlign w:val="subscript"/>
        </w:rPr>
        <w:t>p</w:t>
      </w:r>
      <w:r w:rsidRPr="00D3089D">
        <w:rPr>
          <w:rFonts w:ascii="Times New Roman" w:eastAsia="Times New Roman" w:hAnsi="Times New Roman" w:cs="Times New Roman"/>
          <w:iCs/>
        </w:rPr>
        <w:t xml:space="preserve"> – Perskaičiuotas įkainis;</w:t>
      </w:r>
    </w:p>
    <w:p w14:paraId="40C4C474" w14:textId="77777777" w:rsidR="00D3089D" w:rsidRPr="00D3089D" w:rsidRDefault="00D3089D" w:rsidP="00D3089D">
      <w:pPr>
        <w:spacing w:after="0" w:line="240" w:lineRule="auto"/>
        <w:ind w:firstLine="480"/>
        <w:jc w:val="both"/>
        <w:rPr>
          <w:rFonts w:ascii="Times New Roman" w:eastAsia="Times New Roman" w:hAnsi="Times New Roman" w:cs="Times New Roman"/>
          <w:iCs/>
        </w:rPr>
      </w:pPr>
      <w:r w:rsidRPr="00D3089D">
        <w:rPr>
          <w:rFonts w:ascii="Times New Roman" w:eastAsia="Times New Roman" w:hAnsi="Times New Roman" w:cs="Times New Roman"/>
          <w:iCs/>
        </w:rPr>
        <w:tab/>
      </w:r>
      <w:r w:rsidRPr="00D3089D">
        <w:rPr>
          <w:rFonts w:ascii="Times New Roman" w:eastAsia="Times New Roman" w:hAnsi="Times New Roman" w:cs="Times New Roman"/>
          <w:i/>
          <w:iCs/>
        </w:rPr>
        <w:t>S</w:t>
      </w:r>
      <w:r w:rsidRPr="00D3089D">
        <w:rPr>
          <w:rFonts w:ascii="Times New Roman" w:eastAsia="Times New Roman" w:hAnsi="Times New Roman" w:cs="Times New Roman"/>
          <w:i/>
          <w:iCs/>
          <w:vertAlign w:val="subscript"/>
        </w:rPr>
        <w:t>i</w:t>
      </w:r>
      <w:r w:rsidRPr="00D3089D">
        <w:rPr>
          <w:rFonts w:ascii="Times New Roman" w:eastAsia="Times New Roman" w:hAnsi="Times New Roman" w:cs="Times New Roman"/>
          <w:i/>
          <w:iCs/>
        </w:rPr>
        <w:t xml:space="preserve"> </w:t>
      </w:r>
      <w:r w:rsidRPr="00D3089D">
        <w:rPr>
          <w:rFonts w:ascii="Times New Roman" w:eastAsia="Times New Roman" w:hAnsi="Times New Roman" w:cs="Times New Roman"/>
          <w:iCs/>
        </w:rPr>
        <w:t>– Įkainis perskaičiavimo laikotarpio pradžioje;</w:t>
      </w:r>
    </w:p>
    <w:p w14:paraId="57B1626B" w14:textId="77777777" w:rsidR="00D3089D" w:rsidRPr="00D3089D" w:rsidRDefault="00D3089D" w:rsidP="00D3089D">
      <w:pPr>
        <w:spacing w:after="0" w:line="240" w:lineRule="auto"/>
        <w:ind w:firstLine="480"/>
        <w:jc w:val="both"/>
        <w:rPr>
          <w:rFonts w:ascii="Times New Roman" w:eastAsia="Times New Roman" w:hAnsi="Times New Roman" w:cs="Times New Roman"/>
          <w:iCs/>
        </w:rPr>
      </w:pPr>
      <w:r w:rsidRPr="00D3089D">
        <w:rPr>
          <w:rFonts w:ascii="Times New Roman" w:eastAsia="Times New Roman" w:hAnsi="Times New Roman" w:cs="Times New Roman"/>
          <w:iCs/>
        </w:rPr>
        <w:tab/>
      </w:r>
      <w:r w:rsidRPr="00D3089D">
        <w:rPr>
          <w:rFonts w:ascii="Times New Roman" w:eastAsia="Times New Roman" w:hAnsi="Times New Roman" w:cs="Times New Roman"/>
          <w:i/>
          <w:iCs/>
        </w:rPr>
        <w:t>IP</w:t>
      </w:r>
      <w:r w:rsidRPr="00D3089D">
        <w:rPr>
          <w:rFonts w:ascii="Times New Roman" w:eastAsia="Times New Roman" w:hAnsi="Times New Roman" w:cs="Times New Roman"/>
          <w:i/>
          <w:iCs/>
          <w:vertAlign w:val="subscript"/>
        </w:rPr>
        <w:t>r</w:t>
      </w:r>
      <w:r w:rsidRPr="00D3089D">
        <w:rPr>
          <w:rFonts w:ascii="Times New Roman" w:eastAsia="Times New Roman" w:hAnsi="Times New Roman" w:cs="Times New Roman"/>
          <w:iCs/>
        </w:rPr>
        <w:t xml:space="preserve"> – Perskaičiavimo laikotarpio pradžios Indeksas;</w:t>
      </w:r>
    </w:p>
    <w:p w14:paraId="4B197943" w14:textId="77777777" w:rsidR="00D3089D" w:rsidRPr="00D3089D" w:rsidRDefault="00D3089D" w:rsidP="00D3089D">
      <w:pPr>
        <w:spacing w:after="0" w:line="240" w:lineRule="auto"/>
        <w:ind w:firstLine="480"/>
        <w:jc w:val="both"/>
        <w:rPr>
          <w:rFonts w:ascii="Times New Roman" w:eastAsia="Times New Roman" w:hAnsi="Times New Roman" w:cs="Times New Roman"/>
          <w:iCs/>
        </w:rPr>
      </w:pPr>
      <w:r w:rsidRPr="00D3089D">
        <w:rPr>
          <w:rFonts w:ascii="Times New Roman" w:eastAsia="Times New Roman" w:hAnsi="Times New Roman" w:cs="Times New Roman"/>
          <w:iCs/>
        </w:rPr>
        <w:tab/>
      </w:r>
      <w:r w:rsidRPr="00D3089D">
        <w:rPr>
          <w:rFonts w:ascii="Times New Roman" w:eastAsia="Times New Roman" w:hAnsi="Times New Roman" w:cs="Times New Roman"/>
          <w:i/>
          <w:iCs/>
        </w:rPr>
        <w:t>IP</w:t>
      </w:r>
      <w:r w:rsidRPr="00D3089D">
        <w:rPr>
          <w:rFonts w:ascii="Times New Roman" w:eastAsia="Times New Roman" w:hAnsi="Times New Roman" w:cs="Times New Roman"/>
          <w:i/>
          <w:iCs/>
          <w:vertAlign w:val="subscript"/>
        </w:rPr>
        <w:t>b</w:t>
      </w:r>
      <w:r w:rsidRPr="00D3089D">
        <w:rPr>
          <w:rFonts w:ascii="Times New Roman" w:eastAsia="Times New Roman" w:hAnsi="Times New Roman" w:cs="Times New Roman"/>
          <w:iCs/>
        </w:rPr>
        <w:t xml:space="preserve"> - Perskaičiavimo laikotarpio pabaigos Indeksas.</w:t>
      </w:r>
    </w:p>
    <w:p w14:paraId="2B4DE9BD" w14:textId="77777777" w:rsidR="00D3089D" w:rsidRPr="00D3089D" w:rsidRDefault="00D3089D" w:rsidP="00D3089D">
      <w:pPr>
        <w:spacing w:after="0" w:line="240" w:lineRule="auto"/>
        <w:ind w:firstLine="480"/>
        <w:jc w:val="both"/>
        <w:rPr>
          <w:rFonts w:ascii="Times New Roman" w:eastAsia="Times New Roman" w:hAnsi="Times New Roman" w:cs="Times New Roman"/>
          <w:iCs/>
        </w:rPr>
      </w:pPr>
      <w:r w:rsidRPr="00D3089D">
        <w:rPr>
          <w:rFonts w:ascii="Times New Roman" w:eastAsia="Times New Roman" w:hAnsi="Times New Roman" w:cs="Times New Roman"/>
          <w:iCs/>
        </w:rPr>
        <w:t> </w:t>
      </w:r>
    </w:p>
    <w:p w14:paraId="670CCECD" w14:textId="77777777"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t>2.5.2.  Įkainiai perskaičiuojami bet kuriai iš Šalių pateikus kitai Šaliai prašymą perskaičiuoti įkainius. Įkainiai laikomi perskaičiuoti, kai Šalys pasirašo susitarimą dėl jų perskaičiavimo. Nei viena iš Šalių neturi teisės atsisakyti pasirašyti tokį susitarimą be pagrįstų priežasčių.</w:t>
      </w:r>
    </w:p>
    <w:p w14:paraId="716671D3" w14:textId="77777777"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t>2.6. Kainos perskaičiavimas dėl kitų mokesčių pasikeitimo nebus atliekamas.</w:t>
      </w:r>
    </w:p>
    <w:p w14:paraId="0229A650" w14:textId="77777777"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t xml:space="preserve">2.6. Mokėjimai atliekami tokia tvarka: </w:t>
      </w:r>
    </w:p>
    <w:p w14:paraId="12DE0BE1" w14:textId="77777777"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t xml:space="preserve">2.6.1. Pirkėjas už Prekes Pardavėjui sumoka per 20 (dvidešimt) kalendorinių dienų nuo sąskaitos – faktūros pateikimo Pirkėjui dienos. </w:t>
      </w:r>
    </w:p>
    <w:p w14:paraId="6B7A6EC9" w14:textId="77777777"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t xml:space="preserve">2.6.2. Pirkėjas už perkamas Prekes Pardavėjui sumoka mokėjimo pavedimu eurais į Pardavėjo šioje sutartyje nurodytą atsiskaitomąją sąskaitą. Apmokėjimas laikomas įvykdytu, kai pinigai patenka į Pardavėjo nurodytą sąskaitą. </w:t>
      </w:r>
    </w:p>
    <w:p w14:paraId="52F900C4" w14:textId="77777777"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t xml:space="preserve">2.6.3. Pardavėjas teikia sąskaitas faktūras, atitinkančias Europos elektroninių sąskaitų faktūrų standartą, pasirinktomis priemonėmis. Jei sąskaitos faktūros neatitinka Europos elektroninių sąskaitų faktūrų standarto, Pardavėjas įsipareigoja savo sąskaita Pirkėjui teikti sąskaitą – faktūrą naudodamasis informacinės sistemos „E. sąskaita“ priemonėmis. </w:t>
      </w:r>
    </w:p>
    <w:p w14:paraId="359F40D6" w14:textId="77777777"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t xml:space="preserve">2.7. Pirkėjas turi teisę sustabdyti mokėjimą, jei: </w:t>
      </w:r>
    </w:p>
    <w:p w14:paraId="39871F38" w14:textId="77777777"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t xml:space="preserve">2.7.1. Sąskaitoje – faktūroje nurodytas neteisingas kiekis, ir / ar kaina, t. y. nurodyti duomenys neatitinka Sutarties priede nurodytų duomenų (kol bus išsiaiškinta su Pardavėju); </w:t>
      </w:r>
    </w:p>
    <w:p w14:paraId="0FC57A25" w14:textId="77777777"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t xml:space="preserve">2.7.2. Pardavėjas pateikė nekokybiškas Prekes arba jos neatitinka nustatytų reikalavimų (kol Pardavėjas pakeis Prekes kokybiškomis arba atitinkančiomis nustatytus reikalavimus). </w:t>
      </w:r>
    </w:p>
    <w:p w14:paraId="25EB85E8" w14:textId="77777777"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t xml:space="preserve">2.8. Pardavėjas, jeigu yra galimybių, turi </w:t>
      </w:r>
      <w:r w:rsidRPr="00D3089D">
        <w:rPr>
          <w:rFonts w:ascii="Times New Roman" w:eastAsia="Times New Roman" w:hAnsi="Times New Roman" w:cs="Times New Roman"/>
          <w:bCs/>
          <w:color w:val="000000"/>
          <w:lang w:val="lt-LT"/>
        </w:rPr>
        <w:t xml:space="preserve">ant sąskaitos – faktūros užrašyti Sutarties datą ir numerį, pagal kurią parduodamos Prekės. </w:t>
      </w:r>
    </w:p>
    <w:p w14:paraId="577CCC0D" w14:textId="77777777" w:rsidR="00D3089D" w:rsidRPr="00D3089D" w:rsidRDefault="00D3089D" w:rsidP="00D3089D">
      <w:pPr>
        <w:autoSpaceDE w:val="0"/>
        <w:autoSpaceDN w:val="0"/>
        <w:adjustRightInd w:val="0"/>
        <w:spacing w:after="0" w:line="240" w:lineRule="auto"/>
        <w:contextualSpacing/>
        <w:rPr>
          <w:rFonts w:ascii="Times New Roman" w:eastAsia="Times New Roman" w:hAnsi="Times New Roman" w:cs="Times New Roman"/>
          <w:color w:val="000000"/>
          <w:lang w:val="lt-LT"/>
        </w:rPr>
      </w:pPr>
    </w:p>
    <w:p w14:paraId="69AD0675" w14:textId="77777777" w:rsidR="00D3089D" w:rsidRPr="00D3089D" w:rsidRDefault="00D3089D" w:rsidP="00D3089D">
      <w:pPr>
        <w:autoSpaceDE w:val="0"/>
        <w:autoSpaceDN w:val="0"/>
        <w:adjustRightInd w:val="0"/>
        <w:spacing w:after="0" w:line="240" w:lineRule="auto"/>
        <w:contextualSpacing/>
        <w:jc w:val="center"/>
        <w:rPr>
          <w:rFonts w:ascii="Times New Roman" w:eastAsia="Times New Roman" w:hAnsi="Times New Roman" w:cs="Times New Roman"/>
          <w:color w:val="000000"/>
          <w:lang w:val="lt-LT"/>
        </w:rPr>
      </w:pPr>
      <w:r w:rsidRPr="00D3089D">
        <w:rPr>
          <w:rFonts w:ascii="Times New Roman" w:eastAsia="Times New Roman" w:hAnsi="Times New Roman" w:cs="Times New Roman"/>
          <w:b/>
          <w:bCs/>
          <w:color w:val="000000"/>
          <w:lang w:val="lt-LT"/>
        </w:rPr>
        <w:t>III. PREKIŲ PRISTATYMO TERMINAS IR PRIĖMIMO TVARKA</w:t>
      </w:r>
    </w:p>
    <w:p w14:paraId="2DDD9A62" w14:textId="23F69F0B"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t>3.1. Pardavėjas pristato ir perduoda Pirkėjui Prekes pagal pateiktą Pirkėjo užsakymą nepriklausomai nuo užsakomo Prekių kiekio sumos. Užsakymas (-ai) pateikiamas (-i) Pardavėjo elektroniniu paštu –</w:t>
      </w:r>
      <w:r w:rsidR="00CF1048">
        <w:rPr>
          <w:rFonts w:ascii="Times New Roman" w:eastAsia="Times New Roman" w:hAnsi="Times New Roman" w:cs="Times New Roman"/>
          <w:color w:val="000000"/>
          <w:lang w:val="lt-LT"/>
        </w:rPr>
        <w:t xml:space="preserve"> </w:t>
      </w:r>
      <w:hyperlink r:id="rId7" w:history="1">
        <w:r w:rsidR="00CF1048" w:rsidRPr="00055EDC">
          <w:rPr>
            <w:rStyle w:val="Hipersaitas"/>
            <w:rFonts w:ascii="Times New Roman" w:eastAsia="Times New Roman" w:hAnsi="Times New Roman" w:cs="Times New Roman"/>
            <w:lang w:val="lt-LT"/>
          </w:rPr>
          <w:t>jurate@unidentas.lt</w:t>
        </w:r>
      </w:hyperlink>
      <w:r w:rsidR="00CF1048">
        <w:rPr>
          <w:rFonts w:ascii="Times New Roman" w:eastAsia="Times New Roman" w:hAnsi="Times New Roman" w:cs="Times New Roman"/>
          <w:color w:val="000000"/>
          <w:lang w:val="lt-LT"/>
        </w:rPr>
        <w:t>, tel. Nr. +37069934999</w:t>
      </w:r>
      <w:r w:rsidRPr="00D3089D">
        <w:rPr>
          <w:rFonts w:ascii="Times New Roman" w:eastAsia="Times New Roman" w:hAnsi="Times New Roman" w:cs="Times New Roman"/>
          <w:color w:val="000000"/>
          <w:lang w:val="lt-LT"/>
        </w:rPr>
        <w:t xml:space="preserve">. Užsakymai vykdomi pagal Pirkėjo poreikį. </w:t>
      </w:r>
    </w:p>
    <w:p w14:paraId="29788050" w14:textId="77777777"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t xml:space="preserve">3.2. Užsakytas Prekes Pardavėjas savo sąskaitą ir savo transportu pristato Pirkėjui, ne vėliau kaip per 5 (penkias) darbo dienas nuo užsakymo pateikimo dienos Pirkėjo adresu – VšĮ Dainų pirminės sveikatos priežiūros centras, Aido g. 18, Šiauliai. Jeigu Pardavėjas neturi pakankamo Pirkėjo užsakytų Prekių kiekio ir/ar asortimento, užsakytos Prekės pristatomos per Pirkėjo ir Pardavėjo suderintą papildomą terminą, kuris negali būti ilgesnis kaip 10 (dešimt) darbo dienų. </w:t>
      </w:r>
    </w:p>
    <w:p w14:paraId="0EDF4752" w14:textId="77777777"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t xml:space="preserve">3.3. Pardavėjas užtikrina, kad Prekių (kiekis, svoris, tūris) pakuotėse bus ne mažesnis negu nurodytas šių Prekių pakuočių etiketėse. </w:t>
      </w:r>
    </w:p>
    <w:p w14:paraId="26BFC87E" w14:textId="77777777"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t xml:space="preserve">3.4. Pardavėjas Prekes perduoda Pirkėjui arba jo įgaliotam atstovui, kurie patvirtina tinkamą Prekių gavimo faktą savo parašu Prekių perdavimo – priėmimo akte (toliau – aktas). Aktą atitinka abiejų Šalių pasirašyta sąskaitą – faktūra, jeigu nesudaromas kitas dokumentas. </w:t>
      </w:r>
    </w:p>
    <w:p w14:paraId="267B49FD" w14:textId="77777777"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t xml:space="preserve">3.5. Priimant Prekes, jų kiekio, kokybės arba asortimento neatitikimą Pirkėjas įformina aktu (surašomas laisva forma) ir per 3 (tris) kalendorines dienas pateikia Pardavėjui raštišką pretenziją. </w:t>
      </w:r>
    </w:p>
    <w:p w14:paraId="62D23BEF" w14:textId="77777777"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t xml:space="preserve">3.6. Šalys susitaria, kad prekių žuvimo ar sugadinimo riziką iki Prekių perdavimo – priėmimo momento prisiima Pardavėjas. </w:t>
      </w:r>
    </w:p>
    <w:p w14:paraId="3652358A" w14:textId="77777777"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b/>
          <w:bCs/>
          <w:color w:val="000000"/>
          <w:lang w:val="lt-LT"/>
        </w:rPr>
      </w:pPr>
    </w:p>
    <w:p w14:paraId="0ADCB053" w14:textId="77777777" w:rsidR="00D3089D" w:rsidRPr="00D3089D" w:rsidRDefault="00D3089D" w:rsidP="00D3089D">
      <w:pPr>
        <w:autoSpaceDE w:val="0"/>
        <w:autoSpaceDN w:val="0"/>
        <w:adjustRightInd w:val="0"/>
        <w:spacing w:after="0" w:line="240" w:lineRule="auto"/>
        <w:contextualSpacing/>
        <w:jc w:val="center"/>
        <w:rPr>
          <w:rFonts w:ascii="Times New Roman" w:eastAsia="Times New Roman" w:hAnsi="Times New Roman" w:cs="Times New Roman"/>
          <w:color w:val="000000"/>
          <w:lang w:val="lt-LT"/>
        </w:rPr>
      </w:pPr>
      <w:r w:rsidRPr="00D3089D">
        <w:rPr>
          <w:rFonts w:ascii="Times New Roman" w:eastAsia="Times New Roman" w:hAnsi="Times New Roman" w:cs="Times New Roman"/>
          <w:b/>
          <w:bCs/>
          <w:color w:val="000000"/>
          <w:lang w:val="lt-LT"/>
        </w:rPr>
        <w:t>IV. SUTARTIES ŠALIŲ TEISĖS IR PAREIGOS</w:t>
      </w:r>
    </w:p>
    <w:p w14:paraId="4F6514AD" w14:textId="77777777"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t xml:space="preserve">4.1. Pirkėjas įsipareigoja: </w:t>
      </w:r>
    </w:p>
    <w:p w14:paraId="73D71759" w14:textId="77777777"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t xml:space="preserve">4.1.1. Sutartį vykdyti tinkamai ir sąžiningai; </w:t>
      </w:r>
    </w:p>
    <w:p w14:paraId="1DA79DC1" w14:textId="77777777"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t>4.1.2. Sutarties galiojimo metu teikti pagal Pirkėjo poreikį užsakymus dėl Prekių pristatymo. Laikytis Prekių užsakymo (-ų) ir kitų Prekių perdavimo priėmimo sąlygų, nurodytų Sutarties III skyriuje, tinkamo vykdymo;</w:t>
      </w:r>
    </w:p>
    <w:p w14:paraId="425BC8A9" w14:textId="77777777"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lastRenderedPageBreak/>
        <w:t xml:space="preserve">4.1.3. priimti kokybiškas, naujas, nenaudotas ir faktiškai bei Sutartyje nustatytais terminais pristatytas originalioje, nepažeistoje gamintojo pakuotėje Prekes pagal aktą ir sumokėti už jas Sutartyje nustatytomis sąlygomis ir tvarka; </w:t>
      </w:r>
    </w:p>
    <w:p w14:paraId="562DC32D" w14:textId="77777777"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t xml:space="preserve">4.1.4. suteikti Pardavėjui visą informaciją, reikalingą tinkamam Sutarties vykdymui; </w:t>
      </w:r>
    </w:p>
    <w:p w14:paraId="34A56FA3" w14:textId="77777777"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t xml:space="preserve">4.1.5. nedelsdamas (ne vėliau kaip per 3 (tris) darbo dienas) raštu pranešti Pardavėjui apie savo pasikeitusius rekvizitus, teisinį statusą ir kitas svarbias aplinkybes, galinčias turėti įtaką Sutarties vykdymui. </w:t>
      </w:r>
    </w:p>
    <w:p w14:paraId="49B89555" w14:textId="77777777"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t>4.1.6. ne vėliau kaip per 3 darbo dienas nuo Sutarties sudarymo dienos, informuoti subtiekėjus apie tiesioginio atsiskaitymo galimybę, o subtiekėjas, norėdamas pasinaudoti tokia galimybe, raštu pateikia prašymą Pirkėjui per 5 darbo dienas.</w:t>
      </w:r>
    </w:p>
    <w:p w14:paraId="4945C4E8" w14:textId="77777777"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t xml:space="preserve">4.1.7. vykdyti kitus Sutartyje nustatytus Pirkėjo įsipareigojimus. </w:t>
      </w:r>
    </w:p>
    <w:p w14:paraId="149FC8C2" w14:textId="77777777"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t xml:space="preserve">4.2. Pirkėjas turi teisę: </w:t>
      </w:r>
    </w:p>
    <w:p w14:paraId="50E57119" w14:textId="77777777"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t xml:space="preserve">4.2.1. atsisakyti priimti neatitinkančias nustatytų reikalavimų ir/ar nekokybiškas Prekes ir reikalauti, kad Pardavėjas neatlygintinai pakeistų neatitinkančias ir/ar nekokybiškas Prekes į atitinkančias ir kokybiškas Prekes ne vėliau kaip per 5 (penkias) kalendorines dienas ir (arba) atlygintų nuostolius, susijusius su netinkamu Sutarties vykdymu; </w:t>
      </w:r>
    </w:p>
    <w:p w14:paraId="0D30B5E2" w14:textId="77777777"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t xml:space="preserve">4.2.2. reikalauti, kad Pardavėjas suteiktų išsamią informaciją apie parduodamų Prekių kokybę, saugumą, galiojimo laiką ir pateiktų, Pirkėjui raštiškai pareikalavus, Prekių kokybę patvirtinančių dokumentų kopijas; </w:t>
      </w:r>
    </w:p>
    <w:p w14:paraId="20BE64DD" w14:textId="77777777"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t xml:space="preserve">4.2.3. reikalauti atlyginti nuostolius, atsiradusius dėl Sutarties netinkamo vykdymo ar neįvykdymo bei netesybas. </w:t>
      </w:r>
    </w:p>
    <w:p w14:paraId="433029E2" w14:textId="77777777"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t>4.2.4. tiesiogiai atsiskaityti su subtiekėjais. Tokio atsiskaitymo tvarka nustatoma trišalėje sutartyje, kurią sudaro Pirkėjas, Tiekėjas ir jo subtiekėjas (-ai).</w:t>
      </w:r>
    </w:p>
    <w:p w14:paraId="29C39467" w14:textId="77777777"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t xml:space="preserve">4.3. Pardavėjas įsipareigoja: </w:t>
      </w:r>
    </w:p>
    <w:p w14:paraId="4F20E9F7" w14:textId="77777777"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t xml:space="preserve">4.3.1. Sutartį vykdyti tinkamai ir sąžiningai; </w:t>
      </w:r>
    </w:p>
    <w:p w14:paraId="3CBC8B90" w14:textId="77777777"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t xml:space="preserve">4.3.3. savo sąskaitą pakeisti netinkamos kokybės Prekes tinkamos kokybės Prekėmis, jei atvežtos Prekės netinkamos kokybės arba neatitinka nustatytų reikalavimų; </w:t>
      </w:r>
    </w:p>
    <w:p w14:paraId="2842DD32" w14:textId="77777777"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t xml:space="preserve">4.3.4. pristatyti Prekes, kurių kokybė atitinka nustatytus reikalavimus; </w:t>
      </w:r>
    </w:p>
    <w:p w14:paraId="282C7E63" w14:textId="77777777"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t xml:space="preserve">4.3.5. iš anksto raštu informuoti Pirkėją apie bet kokias aplinkybes, kurios trukdo ar gali sutrukdyti Pardavėjui pristatyti Prekes Sutartyje nustatytais terminais; </w:t>
      </w:r>
    </w:p>
    <w:p w14:paraId="4DF970C8" w14:textId="77777777"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t xml:space="preserve">4.3.6. nedelsiant reaguoti, jei Pirkėjas pareiškia pastabas dėl parduodamų Prekių kokybės, taip pat jei Prekės pristatomos, pažeidžiant nustatytus terminus ir netinkamai; </w:t>
      </w:r>
    </w:p>
    <w:p w14:paraId="75689A2B" w14:textId="77777777"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t xml:space="preserve">4.3.7. pateikti Pirkėjui pasirašyti aktą ir sąskaitą faktūrą; </w:t>
      </w:r>
    </w:p>
    <w:p w14:paraId="48EF6AF1" w14:textId="77777777"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t xml:space="preserve">4.3.8. nedelsdamas (ne vėliau kaip per 3 (tris) darbo dienas) raštu pranešti Pirkėjui apie savo pasikeitusius rekvizitus, teisinį statusą ir kitas svarbias aplinkybes, galinčias turėti įtaką Sutarties vykdymui; </w:t>
      </w:r>
    </w:p>
    <w:p w14:paraId="23E67B31" w14:textId="77777777"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t xml:space="preserve">4.3.9. vykdyti kitus Sutartyje nustatytus Pardavėjo įsipareigojimus. </w:t>
      </w:r>
    </w:p>
    <w:p w14:paraId="5C10BFE5" w14:textId="77777777"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t xml:space="preserve">4.4. Pardavėjas turi teisę: </w:t>
      </w:r>
    </w:p>
    <w:p w14:paraId="099E9DC5" w14:textId="77777777"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t xml:space="preserve">4.4.1. gauti visą informaciją, reikalingą tinkamam Sutarties vykdymui; </w:t>
      </w:r>
    </w:p>
    <w:p w14:paraId="25173F6C" w14:textId="77777777"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t xml:space="preserve">4.4.2. reikalauti iš Pirkėjo patvirtinimo, kad Sutartis bus įvykdyta tinkamai, jei Pardavėjas iš konkrečių aplinkybių numano, kad Pirkėjas gali iš esmės pažeisti Sutartį; </w:t>
      </w:r>
    </w:p>
    <w:p w14:paraId="07E8D633" w14:textId="77777777"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t xml:space="preserve">4.4.3. reikalauti atlyginti nuostolius, atsiradusius dėl Sutarties netinkamo vykdymo ar neįvykdymo bei netesybas. </w:t>
      </w:r>
    </w:p>
    <w:p w14:paraId="0A6E0C57" w14:textId="77777777"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t>4.4.4. jei Pirkėjas naudojasi Sutarties 4.2.4 papunktyje įtvirtinta tiesioginio atsiskaitymo su subtiekėjais galimybe, Tiekėjas turi teisę prieštarauti nepagrįstiems mokėjimams subtiekėjams.</w:t>
      </w:r>
    </w:p>
    <w:p w14:paraId="3ADC26B8" w14:textId="77777777"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p>
    <w:p w14:paraId="2AC634C4" w14:textId="77777777" w:rsidR="00D3089D" w:rsidRPr="00D3089D" w:rsidRDefault="00D3089D" w:rsidP="00D3089D">
      <w:pPr>
        <w:autoSpaceDE w:val="0"/>
        <w:autoSpaceDN w:val="0"/>
        <w:adjustRightInd w:val="0"/>
        <w:spacing w:after="0" w:line="240" w:lineRule="auto"/>
        <w:contextualSpacing/>
        <w:jc w:val="center"/>
        <w:rPr>
          <w:rFonts w:ascii="Times New Roman" w:eastAsia="Times New Roman" w:hAnsi="Times New Roman" w:cs="Times New Roman"/>
          <w:color w:val="000000"/>
          <w:lang w:val="lt-LT"/>
        </w:rPr>
      </w:pPr>
      <w:r w:rsidRPr="00D3089D">
        <w:rPr>
          <w:rFonts w:ascii="Times New Roman" w:eastAsia="Times New Roman" w:hAnsi="Times New Roman" w:cs="Times New Roman"/>
          <w:b/>
          <w:bCs/>
          <w:color w:val="000000"/>
          <w:lang w:val="lt-LT"/>
        </w:rPr>
        <w:t>V. ŠALIŲ ATSAKOMYBĖ</w:t>
      </w:r>
    </w:p>
    <w:p w14:paraId="10E30777" w14:textId="77777777"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t xml:space="preserve">5.1. Už Sutarties pažeidimą, neįvykdymą arba netinkamą vykdymą Sutarties Šalys atsako Lietuvos Respublikoje teisės aktų nustatyta tvarka. </w:t>
      </w:r>
    </w:p>
    <w:p w14:paraId="70A225E9" w14:textId="77777777"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t xml:space="preserve">5.2. Pardavėjas, nustatytais terminais nepristatęs kokybiškų, naujų, originaliose, nepažeistose gamintojo pakuotėse Prekių, Pirkėjui raštu pareikalavimus moka Pirkėjui 0,02 proc. dydžio delspinigius, skaičiuojamus nuo nepristatytų Prekių kainos su PVM, už kiekvieną uždelstą kalendorinę dieną. </w:t>
      </w:r>
    </w:p>
    <w:p w14:paraId="17955901" w14:textId="77777777"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t xml:space="preserve">5.3. Pirkėjas, nustatytais terminais neatsiskaitęs už pristatytas kokybiškas, naujas, originaliose, nepažeistose gamintojo pakuotėse Prekes, Pardavėjui raštu pareikalavus moka Pardavėjui 0,02 proc. dydžio delspinigius, skaičiuojamus nuo neapmokėtos Prekių kainos su PVM, už kiekvieną uždelstą kalendorinę dieną. </w:t>
      </w:r>
    </w:p>
    <w:p w14:paraId="57842A7E" w14:textId="77777777"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t xml:space="preserve">5.4. Jei Pardavėjas per 10 (dešimt) kalendorinių dienų nuo delspinigių mokėjimo pradžios nepristato kokybiškų, naujų, nenaudotų, originaliose, nepažeistose gamintojo pakuotėse Prekių, tai Pirkėjas, apie tai raštu informavęs Pardavėją prieš 5 (penkias) kalendorines dienas, gali vienašališkai nutraukti Sutartį. </w:t>
      </w:r>
    </w:p>
    <w:p w14:paraId="045F0748" w14:textId="77777777"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t xml:space="preserve">5.5. Jei Pirkėjas per 10 (dešimt) kalendorinių dienų nuo delspinigių mokėjimo pradžios neapmokės sąskaitų už kokybiškas, naujų, nenaudotų, originaliose, nepažeistose gamintojo pakuotėse Prekes, tai Pardavėjas, apie tai raštu informavęs Pirkėją prieš 5 (penkias) kalendorines dienas, gali vienašališkai nutraukti Sutartį. </w:t>
      </w:r>
    </w:p>
    <w:p w14:paraId="4CA71106" w14:textId="77777777"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lastRenderedPageBreak/>
        <w:t xml:space="preserve">5.6. Sutarties nutraukimas neatleidžia Šalių nuo netesybų (delspinigių), priskaičiuotų iki Sutarties nutraukimo momento, mokėjimo. Netesybų (delspinigių) sumokėjimas neatleidžia Šalių nuo pareigos vykdyti Šalių prisiimtus sutartinius įsipareigojimus, jei Sutartis nėra nutraukta. </w:t>
      </w:r>
    </w:p>
    <w:p w14:paraId="4044F20A" w14:textId="77777777"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t>5.7. Sutarties įvykdymo užtikrinimas netaikomas.</w:t>
      </w:r>
    </w:p>
    <w:p w14:paraId="300641D3" w14:textId="77777777" w:rsidR="00D3089D" w:rsidRPr="00D3089D" w:rsidRDefault="00D3089D" w:rsidP="00D3089D">
      <w:pPr>
        <w:autoSpaceDE w:val="0"/>
        <w:autoSpaceDN w:val="0"/>
        <w:adjustRightInd w:val="0"/>
        <w:spacing w:after="0" w:line="240" w:lineRule="auto"/>
        <w:contextualSpacing/>
        <w:rPr>
          <w:rFonts w:ascii="Times New Roman" w:eastAsia="Times New Roman" w:hAnsi="Times New Roman" w:cs="Times New Roman"/>
          <w:b/>
          <w:bCs/>
          <w:color w:val="000000"/>
          <w:lang w:val="lt-LT"/>
        </w:rPr>
      </w:pPr>
    </w:p>
    <w:p w14:paraId="7B180D79" w14:textId="77777777" w:rsidR="00D3089D" w:rsidRPr="00D3089D" w:rsidRDefault="00D3089D" w:rsidP="00D3089D">
      <w:pPr>
        <w:autoSpaceDE w:val="0"/>
        <w:autoSpaceDN w:val="0"/>
        <w:adjustRightInd w:val="0"/>
        <w:spacing w:after="0" w:line="240" w:lineRule="auto"/>
        <w:contextualSpacing/>
        <w:jc w:val="center"/>
        <w:rPr>
          <w:rFonts w:ascii="Times New Roman" w:eastAsia="Times New Roman" w:hAnsi="Times New Roman" w:cs="Times New Roman"/>
          <w:color w:val="000000"/>
          <w:lang w:val="lt-LT"/>
        </w:rPr>
      </w:pPr>
      <w:r w:rsidRPr="00D3089D">
        <w:rPr>
          <w:rFonts w:ascii="Times New Roman" w:eastAsia="Times New Roman" w:hAnsi="Times New Roman" w:cs="Times New Roman"/>
          <w:b/>
          <w:bCs/>
          <w:color w:val="000000"/>
          <w:lang w:val="lt-LT"/>
        </w:rPr>
        <w:t xml:space="preserve">VI. NENUGALIMA JĖGA </w:t>
      </w:r>
      <w:r w:rsidRPr="00D3089D">
        <w:rPr>
          <w:rFonts w:ascii="Times New Roman" w:eastAsia="Times New Roman" w:hAnsi="Times New Roman" w:cs="Times New Roman"/>
          <w:b/>
          <w:bCs/>
          <w:i/>
          <w:iCs/>
          <w:color w:val="000000"/>
          <w:lang w:val="lt-LT"/>
        </w:rPr>
        <w:t>(FORCE MAJEURE)</w:t>
      </w:r>
    </w:p>
    <w:p w14:paraId="64C9C248" w14:textId="77777777"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t xml:space="preserve">6.1. Nė viena iš Sutarties Šalių neatsako už sutartinių įsipareigojimų visišką ar dalinį neįvykdymą, jeigu ji įrodo, kad sutartinių įsipareigojimų neįvykdė dėl aplinkybių, kurių ji negalėjo kontroliuoti bei protingai numatyti Sutarties sudarymo metu, ir kad protingomis pastangomis negalėjo užkirsti kelio šių aplinkybių ar jų pasekmių atsiradimui. </w:t>
      </w:r>
    </w:p>
    <w:p w14:paraId="2B2F3094" w14:textId="77777777"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t xml:space="preserve">6.2. Nenugalimos jėgos </w:t>
      </w:r>
      <w:r w:rsidRPr="00D3089D">
        <w:rPr>
          <w:rFonts w:ascii="Times New Roman" w:eastAsia="Times New Roman" w:hAnsi="Times New Roman" w:cs="Times New Roman"/>
          <w:i/>
          <w:iCs/>
          <w:color w:val="000000"/>
          <w:lang w:val="lt-LT"/>
        </w:rPr>
        <w:t xml:space="preserve">(force majeure) </w:t>
      </w:r>
      <w:r w:rsidRPr="00D3089D">
        <w:rPr>
          <w:rFonts w:ascii="Times New Roman" w:eastAsia="Times New Roman" w:hAnsi="Times New Roman" w:cs="Times New Roman"/>
          <w:color w:val="000000"/>
          <w:lang w:val="lt-LT"/>
        </w:rPr>
        <w:t xml:space="preserve">aplinkybėmis yra laikomos aplinkybės, nurodytos Lietuvos Respublikos civiliniame kodekse ir Atleidimo nuo atsakomybės esant nenugalimos jėgos aplinkybėms taisyklėse, patvirtintose Lietuvos Respublikos Vyriausybės 1996 m. liepos 15 d. nutarimu Nr. 840. </w:t>
      </w:r>
    </w:p>
    <w:p w14:paraId="4C67713C" w14:textId="77777777"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t xml:space="preserve">6.3. Sutarties Šalis turi nedelsiant, bet ne vėliau kaip per 3 (tris) darbo dienas raštu pranešti kitai Šaliai apie nenugalimos jėgos </w:t>
      </w:r>
      <w:r w:rsidRPr="00D3089D">
        <w:rPr>
          <w:rFonts w:ascii="Times New Roman" w:eastAsia="Times New Roman" w:hAnsi="Times New Roman" w:cs="Times New Roman"/>
          <w:i/>
          <w:iCs/>
          <w:color w:val="000000"/>
          <w:lang w:val="lt-LT"/>
        </w:rPr>
        <w:t xml:space="preserve">(force majeure) </w:t>
      </w:r>
      <w:r w:rsidRPr="00D3089D">
        <w:rPr>
          <w:rFonts w:ascii="Times New Roman" w:eastAsia="Times New Roman" w:hAnsi="Times New Roman" w:cs="Times New Roman"/>
          <w:color w:val="000000"/>
          <w:lang w:val="lt-LT"/>
        </w:rPr>
        <w:t xml:space="preserve">aplinkybių, dėl kurių Sutarties ar jos dalies įvykdymas gali pasunkėti ar tapti neįmanomas, atsiradimą. </w:t>
      </w:r>
    </w:p>
    <w:p w14:paraId="376FF1F9" w14:textId="77777777"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t xml:space="preserve">6.4. Jeigu nenugalimos jėgos </w:t>
      </w:r>
      <w:r w:rsidRPr="00D3089D">
        <w:rPr>
          <w:rFonts w:ascii="Times New Roman" w:eastAsia="Times New Roman" w:hAnsi="Times New Roman" w:cs="Times New Roman"/>
          <w:i/>
          <w:iCs/>
          <w:color w:val="000000"/>
          <w:lang w:val="lt-LT"/>
        </w:rPr>
        <w:t xml:space="preserve">(force majeure) </w:t>
      </w:r>
      <w:r w:rsidRPr="00D3089D">
        <w:rPr>
          <w:rFonts w:ascii="Times New Roman" w:eastAsia="Times New Roman" w:hAnsi="Times New Roman" w:cs="Times New Roman"/>
          <w:color w:val="000000"/>
          <w:lang w:val="lt-LT"/>
        </w:rPr>
        <w:t xml:space="preserve">aplinkybės tęsiasi ilgiau kaip 3 (tris) mėnesius nuo pranešimo apie jas gavimo dienos, Šalys tarpusavio raštišku susitarimu nuo susitarime nurodytos datos gali nutraukti Sutartį. Nė viena iš Šalių neturi teisės reikalauti, kad kita Šalis atlygintų dėl to patirtus nuostolius. </w:t>
      </w:r>
    </w:p>
    <w:p w14:paraId="5CA2BBDE" w14:textId="77777777" w:rsidR="00D3089D" w:rsidRPr="00D3089D" w:rsidRDefault="00D3089D" w:rsidP="00D3089D">
      <w:pPr>
        <w:autoSpaceDE w:val="0"/>
        <w:autoSpaceDN w:val="0"/>
        <w:adjustRightInd w:val="0"/>
        <w:spacing w:after="0" w:line="240" w:lineRule="auto"/>
        <w:contextualSpacing/>
        <w:rPr>
          <w:rFonts w:ascii="Times New Roman" w:eastAsia="Times New Roman" w:hAnsi="Times New Roman" w:cs="Times New Roman"/>
          <w:b/>
          <w:bCs/>
          <w:color w:val="000000"/>
          <w:lang w:val="lt-LT"/>
        </w:rPr>
      </w:pPr>
    </w:p>
    <w:p w14:paraId="6A0E0864" w14:textId="77777777" w:rsidR="00D3089D" w:rsidRPr="00D3089D" w:rsidRDefault="00D3089D" w:rsidP="00D3089D">
      <w:pPr>
        <w:autoSpaceDE w:val="0"/>
        <w:autoSpaceDN w:val="0"/>
        <w:adjustRightInd w:val="0"/>
        <w:spacing w:after="0" w:line="240" w:lineRule="auto"/>
        <w:contextualSpacing/>
        <w:jc w:val="center"/>
        <w:rPr>
          <w:rFonts w:ascii="Times New Roman" w:eastAsia="Times New Roman" w:hAnsi="Times New Roman" w:cs="Times New Roman"/>
          <w:color w:val="000000"/>
          <w:lang w:val="lt-LT"/>
        </w:rPr>
      </w:pPr>
      <w:r w:rsidRPr="00D3089D">
        <w:rPr>
          <w:rFonts w:ascii="Times New Roman" w:eastAsia="Times New Roman" w:hAnsi="Times New Roman" w:cs="Times New Roman"/>
          <w:b/>
          <w:bCs/>
          <w:color w:val="000000"/>
          <w:lang w:val="lt-LT"/>
        </w:rPr>
        <w:t>VII. ATSAKINGI UŽ SUTARTIES VYKDYMĄ ASMENYS IR PRANEŠIMŲ TEIKIMO TVARKA</w:t>
      </w:r>
    </w:p>
    <w:p w14:paraId="3764CEE1" w14:textId="55746F31"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t xml:space="preserve">7.1. Už šios Sutarties vykdymo koordinavimą bei sutartinių įsipareigojimų vykdymą atsakingas Pardavėjo atstovas </w:t>
      </w:r>
      <w:r w:rsidR="00CF1048">
        <w:rPr>
          <w:rFonts w:ascii="Times New Roman" w:eastAsia="Times New Roman" w:hAnsi="Times New Roman" w:cs="Times New Roman"/>
          <w:color w:val="000000"/>
          <w:lang w:val="lt-LT"/>
        </w:rPr>
        <w:t>– vadybininkė Jūratė Vališauskienė</w:t>
      </w:r>
      <w:r w:rsidRPr="00D3089D">
        <w:rPr>
          <w:rFonts w:ascii="Times New Roman" w:eastAsia="Times New Roman" w:hAnsi="Times New Roman" w:cs="Times New Roman"/>
          <w:color w:val="0070C0"/>
          <w:lang w:val="lt-LT"/>
        </w:rPr>
        <w:t xml:space="preserve">. </w:t>
      </w:r>
    </w:p>
    <w:p w14:paraId="31614C74" w14:textId="3E88B8EB"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t xml:space="preserve">7.2. Už šios Sutarties vykdymo koordinavimą bei sutartinių įsipareigojimų vykdymą atsakingas Pirkėjo atstovas – </w:t>
      </w:r>
      <w:r w:rsidR="00344AC6" w:rsidRPr="000D1BE5">
        <w:rPr>
          <w:color w:val="000000" w:themeColor="text1"/>
        </w:rPr>
        <w:t>gydytojas odontologas Kęstutis Devėnas.</w:t>
      </w:r>
    </w:p>
    <w:p w14:paraId="7CBED940" w14:textId="77777777"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t xml:space="preserve">7.3. Šalys įsipareigoja ne vėliau kaip prieš 5 (penkias) darbo dienas raštu pranešti viena kitai apie atsakingų už Sutartį Šalių atstovų, nurodytų šios Sutarties 7.1 ir 7.2 punktuose, pasikeitimą. </w:t>
      </w:r>
    </w:p>
    <w:p w14:paraId="40A167A8" w14:textId="77777777"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t xml:space="preserve">7.4. Visi pranešimai ir kita informacija, kuria keičiasi Šalys pagal Sutartį, turi būti pateikiama rašytine forma. Pranešimai laikomi tinkamai pateiktais, jei įteikiami asmeniškai, atsiunčiami naudojantis kurjerių paslaugomis, registruotu paštu, faksu ar el. paštu. </w:t>
      </w:r>
    </w:p>
    <w:p w14:paraId="0B12782B" w14:textId="77777777" w:rsidR="00D3089D" w:rsidRPr="00D3089D" w:rsidRDefault="00D3089D" w:rsidP="00D3089D">
      <w:pPr>
        <w:autoSpaceDE w:val="0"/>
        <w:autoSpaceDN w:val="0"/>
        <w:adjustRightInd w:val="0"/>
        <w:spacing w:after="0" w:line="240" w:lineRule="auto"/>
        <w:contextualSpacing/>
        <w:rPr>
          <w:rFonts w:ascii="Times New Roman" w:eastAsia="Times New Roman" w:hAnsi="Times New Roman" w:cs="Times New Roman"/>
          <w:b/>
          <w:bCs/>
          <w:color w:val="000000"/>
          <w:lang w:val="lt-LT"/>
        </w:rPr>
      </w:pPr>
    </w:p>
    <w:p w14:paraId="5E98BED2" w14:textId="77777777" w:rsidR="00D3089D" w:rsidRPr="00D3089D" w:rsidRDefault="00D3089D" w:rsidP="00D3089D">
      <w:pPr>
        <w:autoSpaceDE w:val="0"/>
        <w:autoSpaceDN w:val="0"/>
        <w:adjustRightInd w:val="0"/>
        <w:spacing w:after="0" w:line="240" w:lineRule="auto"/>
        <w:contextualSpacing/>
        <w:jc w:val="center"/>
        <w:rPr>
          <w:rFonts w:ascii="Times New Roman" w:eastAsia="Times New Roman" w:hAnsi="Times New Roman" w:cs="Times New Roman"/>
          <w:color w:val="000000"/>
          <w:lang w:val="lt-LT"/>
        </w:rPr>
      </w:pPr>
      <w:r w:rsidRPr="00D3089D">
        <w:rPr>
          <w:rFonts w:ascii="Times New Roman" w:eastAsia="Times New Roman" w:hAnsi="Times New Roman" w:cs="Times New Roman"/>
          <w:b/>
          <w:bCs/>
          <w:color w:val="000000"/>
          <w:lang w:val="lt-LT"/>
        </w:rPr>
        <w:t>VIII. GINČŲ SPRENDIMO TVARKA</w:t>
      </w:r>
    </w:p>
    <w:p w14:paraId="24DD56C8" w14:textId="77777777"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t xml:space="preserve">8.1. Šalys įsipareigoja imtis visų priemonių laiku ir sąžiningai įvykdyti visas šios Sutarties sąlygas. </w:t>
      </w:r>
    </w:p>
    <w:p w14:paraId="5A56FDFD" w14:textId="77777777"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t xml:space="preserve">8.2. Bet koks ginčas arba nuomonių nesutapimas dėl šios Sutarties ar atskirų jos nuostatų, Sutarties vykdymo, neveikimo ar nutraukimo turi būti sprendžiami Šalių tarpusavio derybomis. Nepavykus susitarti – ginčas sprendžiamas Lietuvos Respublikos teisės aktų nustatyta tvarka. </w:t>
      </w:r>
    </w:p>
    <w:p w14:paraId="565AA9C0" w14:textId="77777777" w:rsidR="00D3089D" w:rsidRPr="00D3089D" w:rsidRDefault="00D3089D" w:rsidP="00D3089D">
      <w:pPr>
        <w:autoSpaceDE w:val="0"/>
        <w:autoSpaceDN w:val="0"/>
        <w:adjustRightInd w:val="0"/>
        <w:spacing w:after="0" w:line="240" w:lineRule="auto"/>
        <w:contextualSpacing/>
        <w:rPr>
          <w:rFonts w:ascii="Times New Roman" w:eastAsia="Times New Roman" w:hAnsi="Times New Roman" w:cs="Times New Roman"/>
          <w:b/>
          <w:bCs/>
          <w:color w:val="000000"/>
          <w:lang w:val="lt-LT"/>
        </w:rPr>
      </w:pPr>
    </w:p>
    <w:p w14:paraId="6F2F1898" w14:textId="77777777" w:rsidR="00D3089D" w:rsidRPr="00D3089D" w:rsidRDefault="00D3089D" w:rsidP="00D3089D">
      <w:pPr>
        <w:autoSpaceDE w:val="0"/>
        <w:autoSpaceDN w:val="0"/>
        <w:adjustRightInd w:val="0"/>
        <w:spacing w:after="0" w:line="240" w:lineRule="auto"/>
        <w:contextualSpacing/>
        <w:jc w:val="center"/>
        <w:rPr>
          <w:rFonts w:ascii="Times New Roman" w:eastAsia="Times New Roman" w:hAnsi="Times New Roman" w:cs="Times New Roman"/>
          <w:color w:val="000000"/>
          <w:lang w:val="lt-LT"/>
        </w:rPr>
      </w:pPr>
      <w:r w:rsidRPr="00D3089D">
        <w:rPr>
          <w:rFonts w:ascii="Times New Roman" w:eastAsia="Times New Roman" w:hAnsi="Times New Roman" w:cs="Times New Roman"/>
          <w:b/>
          <w:bCs/>
          <w:color w:val="000000"/>
          <w:lang w:val="lt-LT"/>
        </w:rPr>
        <w:t>IX. SUTARTIES GALIOJIMAS, KEITIMO IR NUTRAUKIMO TVARKA</w:t>
      </w:r>
    </w:p>
    <w:p w14:paraId="7CCF63FE" w14:textId="6707FDA7"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t>9.1. Sutartis laikoma sudaryta jos pasirašymo dieną. Sutartis įsigalioja 2023 m. gegužės 2</w:t>
      </w:r>
      <w:r w:rsidR="00344AC6">
        <w:rPr>
          <w:rFonts w:ascii="Times New Roman" w:eastAsia="Times New Roman" w:hAnsi="Times New Roman" w:cs="Times New Roman"/>
          <w:color w:val="000000"/>
          <w:lang w:val="lt-LT"/>
        </w:rPr>
        <w:t>3</w:t>
      </w:r>
      <w:r w:rsidRPr="00D3089D">
        <w:rPr>
          <w:rFonts w:ascii="Times New Roman" w:eastAsia="Times New Roman" w:hAnsi="Times New Roman" w:cs="Times New Roman"/>
          <w:color w:val="000000"/>
          <w:lang w:val="lt-LT"/>
        </w:rPr>
        <w:t xml:space="preserve"> d. </w:t>
      </w:r>
      <w:r w:rsidRPr="00D3089D">
        <w:rPr>
          <w:rFonts w:ascii="Times New Roman" w:eastAsia="Times New Roman" w:hAnsi="Times New Roman" w:cs="Times New Roman"/>
          <w:bCs/>
          <w:color w:val="000000"/>
          <w:lang w:val="lt-LT"/>
        </w:rPr>
        <w:t>ir galioja 12 (dvylika) mėnesių su</w:t>
      </w:r>
      <w:r w:rsidRPr="00D3089D">
        <w:rPr>
          <w:rFonts w:ascii="Times New Roman" w:eastAsia="Times New Roman" w:hAnsi="Times New Roman" w:cs="Times New Roman"/>
          <w:color w:val="000000"/>
          <w:lang w:val="lt-LT"/>
        </w:rPr>
        <w:t xml:space="preserve"> galimybe ją pratęsti. Sutartis gali būti pratęsiama dar du kartus po 12 (dvylika) mėnesių automatiškai, jei nė viena šalis nepareiškia noro jos nepratęsti.</w:t>
      </w:r>
    </w:p>
    <w:p w14:paraId="3B3C1351" w14:textId="77777777"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t xml:space="preserve">9.2. Sutarčiai nustojus galioti, Šalys sutaria, kad iki visiško sutartinių įsipareigojimų įvykdymo, lieka galioti Sutarties sąlygos, susijusios su atsiskaitymais, nuostolių, delspinigių mokėjimu ir ginčų sprendimo tvarka. </w:t>
      </w:r>
    </w:p>
    <w:p w14:paraId="0ABDD0A3" w14:textId="77777777"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t xml:space="preserve">9.3. Visi šios Sutarties sąlygų pakeitimai ir papildymai galioja tik tuo atveju, jei jie yra įforminami raštu ir pasirašyti abiejų Šalių. Sutarties priedai įsigalioja nuo jų pasirašymo, jei nenurodyta vėlesnė įsigaliojimo data. </w:t>
      </w:r>
    </w:p>
    <w:p w14:paraId="2EF9B842" w14:textId="77777777"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t xml:space="preserve">9.4. Sutarties sąlygos Sutarties galiojimo laikotarpiu negali būti keičiamos, išskyrus tokias Sutarties sąlygas, kurias pakeitus nebūtų pažeisti Viešųjų pirkimų įstatymo 17 straipsnyje nustatyti pagrindiniai pirkimo principai ir Viešųjų pirkimų įstatymo 89 straipsnyje nustatytos pirkimo sutarties keitimo jų galiojimo metu imperatyvios normos. Sutarties sąlygos keičiamos raštišku Šalių susitarimu, pridedant visą susijusią susirašinėjimo dokumentaciją, šie dokumentai yra neatskiriama Sutarties dalis. </w:t>
      </w:r>
    </w:p>
    <w:p w14:paraId="3D1E9AE9" w14:textId="77777777"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t xml:space="preserve">9.5. Šalys įsipareigoja susilaikyti nuo bet kokių veiksmų, galinčių pakenkti kitai šios Sutarties Šaliai ir neatskleisti jokių šios Sutarties sąlygų, jei tai gali padaryti nuostolių kitai Šaliai ir nėra gautas raštiškas tos Šalies sutikimas. </w:t>
      </w:r>
    </w:p>
    <w:p w14:paraId="5A29BBCD" w14:textId="77777777"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t xml:space="preserve">9.6. Pirkėjas turi teisę nutraukti Sutartį vienašališkai, apie tai raštu pranešdamas Pardavėjui prieš 5 (penkias) kalendorines dienas, jeigu Pardavėjas pažeidžia savo sutartinius įsipareigojimus ir nepradeda jų tinkamai vykdyti per Sutarties 5.4 punkte nustatytą laikotarpį, nepaisydamas Pirkėjo raštu pateikto įspėjimo. </w:t>
      </w:r>
    </w:p>
    <w:p w14:paraId="0E169B8A" w14:textId="77777777"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lastRenderedPageBreak/>
        <w:t xml:space="preserve">9.7. Vienai iš Sutarties Šalių pažeidžiant Sutartį, nevykdant ar netinkamai vykdant sutartinius įsipareigojimus, kita Šalis turi teisę vienašališkai nutraukti Sutartį, įspėjusi apie tai raštu kitą Šalį ne vėliau kaip prieš 30 (trisdešimt) kalendorinių dienų. </w:t>
      </w:r>
    </w:p>
    <w:p w14:paraId="1459BE79" w14:textId="77777777"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t xml:space="preserve">9.8. Sutartis gali būti nutraukta raštišku Šalių susitarimu nuo susitarime nurodytos datos arba vienašališkai, įspėjus apie tai raštu kitą Šalį ne vėliau kaip prieš 30 (trisdešimt) kalendorinių dienų. </w:t>
      </w:r>
    </w:p>
    <w:p w14:paraId="51ECEA6B" w14:textId="77777777"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t xml:space="preserve">9.9. Sutarties nutraukimas šioje Sutartyje numatytais atvejais neatleidžia Šalių nuo tinkamo sutartinių įsipareigojimų, buvusių iki Sutarties nutraukimo, įvykdymo. </w:t>
      </w:r>
    </w:p>
    <w:p w14:paraId="08E9E922" w14:textId="77777777"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t xml:space="preserve">9.9. Pirkėjas turi teisę vienašališkai nutraukti pagal Viešųjų pirkimų įstatymo 90 str. nuostatas. </w:t>
      </w:r>
    </w:p>
    <w:p w14:paraId="10A18429" w14:textId="77777777" w:rsidR="00D3089D" w:rsidRPr="00D3089D" w:rsidRDefault="00D3089D" w:rsidP="00D3089D">
      <w:pPr>
        <w:autoSpaceDE w:val="0"/>
        <w:autoSpaceDN w:val="0"/>
        <w:adjustRightInd w:val="0"/>
        <w:spacing w:after="0" w:line="240" w:lineRule="auto"/>
        <w:contextualSpacing/>
        <w:rPr>
          <w:rFonts w:ascii="Times New Roman" w:eastAsia="Times New Roman" w:hAnsi="Times New Roman" w:cs="Times New Roman"/>
          <w:b/>
          <w:bCs/>
          <w:color w:val="000000"/>
          <w:lang w:val="lt-LT"/>
        </w:rPr>
      </w:pPr>
    </w:p>
    <w:p w14:paraId="1F57E553" w14:textId="77777777" w:rsidR="00D3089D" w:rsidRPr="00D3089D" w:rsidRDefault="00D3089D" w:rsidP="00D3089D">
      <w:pPr>
        <w:autoSpaceDE w:val="0"/>
        <w:autoSpaceDN w:val="0"/>
        <w:adjustRightInd w:val="0"/>
        <w:spacing w:after="0" w:line="240" w:lineRule="auto"/>
        <w:contextualSpacing/>
        <w:jc w:val="center"/>
        <w:rPr>
          <w:rFonts w:ascii="Times New Roman" w:eastAsia="Times New Roman" w:hAnsi="Times New Roman" w:cs="Times New Roman"/>
          <w:b/>
          <w:bCs/>
          <w:color w:val="000000"/>
          <w:lang w:val="lt-LT"/>
        </w:rPr>
      </w:pPr>
      <w:r w:rsidRPr="00D3089D">
        <w:rPr>
          <w:rFonts w:ascii="Times New Roman" w:eastAsia="Times New Roman" w:hAnsi="Times New Roman" w:cs="Times New Roman"/>
          <w:b/>
          <w:bCs/>
          <w:color w:val="000000"/>
          <w:lang w:val="lt-LT"/>
        </w:rPr>
        <w:t>X. SUBTIEKIMAS</w:t>
      </w:r>
    </w:p>
    <w:p w14:paraId="0A055F1F" w14:textId="285ECD4D"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t xml:space="preserve">10.1. Sutarties vykdymo metu Tiekėjas tinkamam Sutarties įvykdymui pasitelks šiuos subteikėjus/subtiekėjus </w:t>
      </w:r>
      <w:r w:rsidR="00344AC6">
        <w:rPr>
          <w:rFonts w:ascii="Times New Roman" w:eastAsia="Times New Roman" w:hAnsi="Times New Roman" w:cs="Times New Roman"/>
          <w:color w:val="000000"/>
          <w:lang w:val="lt-LT"/>
        </w:rPr>
        <w:t>-</w:t>
      </w:r>
      <w:r w:rsidRPr="00D3089D">
        <w:rPr>
          <w:rFonts w:ascii="Times New Roman" w:eastAsia="Times New Roman" w:hAnsi="Times New Roman" w:cs="Times New Roman"/>
          <w:color w:val="000000"/>
          <w:lang w:val="lt-LT"/>
        </w:rPr>
        <w:t>. Sutarties vykdymo metu, esant svarbioms nuo Tiekėjo valios nepriklausančioms aplinkybėms, t. y. kai subteikėjai/subtiekėjai netinkamai vykdo sutartinius įsipareigojimus Tiekėjui, subteikėjai/subtiekėjai inicijuoja vienašalį sutarties nutraukimą su Tiekėju, taip pat tuo atveju, kai subteikėjai/subtiekėjai nepajėgūs vykdyti sutartinių įsipareigojimų Tiekėjui dėl nuo subteikėjų/subtiekėjų nepriklausančių aplinkybių (pvz. iškeltos bankroto bylos, pradėtos likvidavimo ar pertvarkymo procedūros ir pan.: padėties arba kvalifikacijos, teisės verstis tam tikra veikla, Sutarčiai vykdyti reikalingos technikos, kvalifikuoto personalo netekimo; subteikėjo, kuris yra fizinis asmuo, darbingumo praradimo ir pan.), Tiekėjas gali pakeisti arba pasitelkti naujus subteikėjus/subtiekėjus. Apie tai jis turi raštu informuoti Pirkėją, nurodydamas subteikėjų/subtiekėjų pakeitimo priežastis. Gavęs tokį pranešimą, Pirkėjas kartu su Tiekėju surašo susitarimą dėl subteikėjų/subtiekėjų pakeitimo, pasirašytą Šalių įgaliotais atstovais. Sutarties vykdymo metu pasinaudojus galimybe keisti pasirinktą subteikėją/subtiekėją kitu, naujas subteikėjas/subtiekėjas turi atitikti tuos kvalifikacinius reikalavimus, kurie buvo nustatyti pasitelkiamam subteikėjui/subtiekėjui pirkimo dokumentuose</w:t>
      </w:r>
      <w:r w:rsidRPr="00D3089D">
        <w:rPr>
          <w:rFonts w:ascii="Times New Roman" w:eastAsia="Times New Roman" w:hAnsi="Times New Roman" w:cs="Times New Roman"/>
          <w:color w:val="000000"/>
          <w:vertAlign w:val="superscript"/>
          <w:lang w:val="lt-LT"/>
        </w:rPr>
        <w:footnoteReference w:id="1"/>
      </w:r>
      <w:r w:rsidRPr="00D3089D">
        <w:rPr>
          <w:rFonts w:ascii="Times New Roman" w:eastAsia="Times New Roman" w:hAnsi="Times New Roman" w:cs="Times New Roman"/>
          <w:color w:val="000000"/>
          <w:lang w:val="lt-LT"/>
        </w:rPr>
        <w:t>.</w:t>
      </w:r>
    </w:p>
    <w:p w14:paraId="0B1EE40F" w14:textId="77777777"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i/>
          <w:color w:val="0070C0"/>
          <w:lang w:val="lt-LT"/>
        </w:rPr>
      </w:pPr>
      <w:r w:rsidRPr="00D3089D">
        <w:rPr>
          <w:rFonts w:ascii="Times New Roman" w:eastAsia="Times New Roman" w:hAnsi="Times New Roman" w:cs="Times New Roman"/>
          <w:i/>
          <w:color w:val="0070C0"/>
          <w:lang w:val="lt-LT"/>
        </w:rPr>
        <w:t>arba</w:t>
      </w:r>
    </w:p>
    <w:p w14:paraId="3B1FC4FA" w14:textId="77777777"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t>10.1 Nei viena Šalis neturi teisės perleisti visų arba dalies teisių ir pareigų pagal šią Sutartį jokiai trečiajai šaliai.</w:t>
      </w:r>
    </w:p>
    <w:p w14:paraId="4CD48722" w14:textId="77777777" w:rsidR="00D3089D" w:rsidRPr="00D3089D" w:rsidRDefault="00D3089D" w:rsidP="00D3089D">
      <w:pPr>
        <w:autoSpaceDE w:val="0"/>
        <w:autoSpaceDN w:val="0"/>
        <w:adjustRightInd w:val="0"/>
        <w:spacing w:after="0" w:line="240" w:lineRule="auto"/>
        <w:contextualSpacing/>
        <w:rPr>
          <w:rFonts w:ascii="Times New Roman" w:eastAsia="Times New Roman" w:hAnsi="Times New Roman" w:cs="Times New Roman"/>
          <w:b/>
          <w:bCs/>
          <w:color w:val="000000"/>
          <w:lang w:val="lt-LT"/>
        </w:rPr>
      </w:pPr>
    </w:p>
    <w:p w14:paraId="1050F4CD" w14:textId="77777777" w:rsidR="00D3089D" w:rsidRPr="00D3089D" w:rsidRDefault="00D3089D" w:rsidP="00D3089D">
      <w:pPr>
        <w:autoSpaceDE w:val="0"/>
        <w:autoSpaceDN w:val="0"/>
        <w:adjustRightInd w:val="0"/>
        <w:spacing w:after="0" w:line="240" w:lineRule="auto"/>
        <w:contextualSpacing/>
        <w:jc w:val="center"/>
        <w:rPr>
          <w:rFonts w:ascii="Times New Roman" w:eastAsia="Times New Roman" w:hAnsi="Times New Roman" w:cs="Times New Roman"/>
          <w:b/>
          <w:bCs/>
          <w:color w:val="000000"/>
          <w:lang w:val="lt-LT"/>
        </w:rPr>
      </w:pPr>
      <w:r w:rsidRPr="00D3089D">
        <w:rPr>
          <w:rFonts w:ascii="Times New Roman" w:eastAsia="Times New Roman" w:hAnsi="Times New Roman" w:cs="Times New Roman"/>
          <w:b/>
          <w:bCs/>
          <w:color w:val="000000"/>
          <w:lang w:val="lt-LT"/>
        </w:rPr>
        <w:t>XI. ASMENS DUOMENŲ APSAUGA</w:t>
      </w:r>
    </w:p>
    <w:p w14:paraId="0CCC20F6" w14:textId="77777777"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t>11.1. Šalys supranta, kad vykdant sutartį dėl prekių teikimo, sutarties vykdymo tikslu šalys tvarko asmens duomenis (atsakingų darbuotojų vardai, pavardės, pareigos). Šalys, tvarkydamos viena iš kitos gaunamus asmens duomenis, įsipareigoja:</w:t>
      </w:r>
    </w:p>
    <w:p w14:paraId="0E193198" w14:textId="77777777"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t>11.1.1. laikytis ES Bendrojo duomenų apsaugos reglamento 2016/679 (toliau – Reglamentas), Asmens duomenų teisinės apsaugos įstatymo ir kitų teisės aktų, reglamentuojančių asmens duomenų tvarkymą;</w:t>
      </w:r>
    </w:p>
    <w:p w14:paraId="77905ED8" w14:textId="77777777"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t>11.1.2. užtikrinti galimybes duomenų subjektams naudotis savo teisėmis pagal Reglamentą;</w:t>
      </w:r>
    </w:p>
    <w:p w14:paraId="7893815F" w14:textId="77777777"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t>11.1.3. raštu informuoti viena kita apie kiekvieną asmens duomenų saugumo pažeidimą, susijusį su kitos šalies perduotais asmens duomenimis, nurodant pažeidimo pobūdį, mastą, priemones, kurių imtasi ar rekomenduojama imtis, kad būtų sumažintos neigiamos pažeidimo pasekmės;</w:t>
      </w:r>
    </w:p>
    <w:p w14:paraId="4DD711EC" w14:textId="77777777"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t xml:space="preserve">11.1.4. perduodant darbuotojų ar kitų atstovų duomenis kitai šaliai, visus fizinius asmenis, kuriuos pasitelks sutarčiai vykdyti, tinkamai informuoti apie tai, kad jų asmens duomenys gali būti perduoti kitai sutarties šaliai ir gali būti tvarkomi sutarties vykdymo tikslais; </w:t>
      </w:r>
    </w:p>
    <w:p w14:paraId="4ED760AD" w14:textId="77777777"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t>11.1.5. šaliai pareikalavus, pateikti 11.1.4 punkte nurodytos informacijos pateikimo duomenų subjektui įrodymus;</w:t>
      </w:r>
    </w:p>
    <w:p w14:paraId="37A4B3CD" w14:textId="77777777"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t>11.1.6. neperduoti kitai šaliai jokių asmenų, kurie nebuvo informuoti apie kitos šalies atliekamą jų asmens duomenų tvarkymą  ir užtikrinti, kad šio draudimo laikytųsi visi sutarties šalies pasitelkiami asmenys, dalyvaujantys sutarties vykdyme;</w:t>
      </w:r>
    </w:p>
    <w:p w14:paraId="449288FA" w14:textId="77777777"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t>11.1.7. tinkamai reaguoti į sutarties šalies pranešimus apie vienos iš šalių darbuotojų ir kitų atstovų asmens duomenų, perduodamų kitai šaliai sutarties vykdymo tikslais, ištaisymą, ištrynimą arba tvarkymo apribojimą (priimti pranešimus ir patvirtinti jų gavimą; organizuoti pranešimuose nurodomų duomenų ištaisymo ar kitų operacijų įvykdymą ir informuoti kitą šalį apie jų įvykdymą; paskirti asmenį, atsakingą už šių pranešimų priėmimą, administravimą ir patvirtinimų ar atsakymų pateikimą ir apie tai raštu informuoti kitą šalį; informuoti kitą šalį apie poreikį ištaisyti, patikslinti, ištrinti savo darbuotojų ar kitų atstovų asmens duomenis ar apriboti tokių duomenų tvarkymą).</w:t>
      </w:r>
    </w:p>
    <w:p w14:paraId="449DBFED" w14:textId="77777777"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lastRenderedPageBreak/>
        <w:t>11.2. Jei šalis nevykdo ar netinkamai vykdo savo įsipareigojimus informuoti duomenų subjektus apie jų duomenų tvarkymą arba netinkamai reaguoja į pranešimus, turi atlyginti kitai šaliai visą dėl to kilusią žalą, įskaitant bet kokią sankcijų, kurias galėtų taikyti priežiūros institucijos.</w:t>
      </w:r>
    </w:p>
    <w:p w14:paraId="72D8D085" w14:textId="77777777" w:rsidR="00D3089D" w:rsidRPr="00D3089D" w:rsidRDefault="00D3089D" w:rsidP="00D3089D">
      <w:pPr>
        <w:autoSpaceDE w:val="0"/>
        <w:autoSpaceDN w:val="0"/>
        <w:adjustRightInd w:val="0"/>
        <w:spacing w:after="0" w:line="240" w:lineRule="auto"/>
        <w:contextualSpacing/>
        <w:rPr>
          <w:rFonts w:ascii="Times New Roman" w:eastAsia="Times New Roman" w:hAnsi="Times New Roman" w:cs="Times New Roman"/>
          <w:b/>
          <w:bCs/>
          <w:color w:val="000000"/>
          <w:lang w:val="lt-LT"/>
        </w:rPr>
      </w:pPr>
    </w:p>
    <w:p w14:paraId="02C46DF7" w14:textId="77777777" w:rsidR="00D3089D" w:rsidRPr="00D3089D" w:rsidRDefault="00D3089D" w:rsidP="00D3089D">
      <w:pPr>
        <w:autoSpaceDE w:val="0"/>
        <w:autoSpaceDN w:val="0"/>
        <w:adjustRightInd w:val="0"/>
        <w:spacing w:after="0" w:line="240" w:lineRule="auto"/>
        <w:contextualSpacing/>
        <w:jc w:val="center"/>
        <w:rPr>
          <w:rFonts w:ascii="Times New Roman" w:eastAsia="Times New Roman" w:hAnsi="Times New Roman" w:cs="Times New Roman"/>
          <w:color w:val="000000"/>
          <w:lang w:val="lt-LT"/>
        </w:rPr>
      </w:pPr>
      <w:r w:rsidRPr="00D3089D">
        <w:rPr>
          <w:rFonts w:ascii="Times New Roman" w:eastAsia="Times New Roman" w:hAnsi="Times New Roman" w:cs="Times New Roman"/>
          <w:b/>
          <w:bCs/>
          <w:color w:val="000000"/>
          <w:lang w:val="lt-LT"/>
        </w:rPr>
        <w:t>XII. KITOS SĄLYGOS</w:t>
      </w:r>
    </w:p>
    <w:p w14:paraId="44BB42B8" w14:textId="77777777"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t>12.1. Šalys, vykdydamos Sutartį, įsipareigoja laikytis šių aplinkosaugos reikalavimų: mažinti popieriaus sunaudojimą, atsisakyti nebūtino dokumentų kopijavimo ir spausdinimo. Su Sutarties vykdymu susiję dokumentai Užsakovui turi būti pateikti tik elektroniniu formatu (nebent Sutartyje ir jos prieduose nenumatyta kitaip). Išimtiniais atvejais su Sutarties vykdymu susiję dokumentai, turi (gali) būti pateikiami popieriniu formatu, jeigu toks formatas privalomas pagal teisės aktus arba Užsakovas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(žaliasis pirkimas).</w:t>
      </w:r>
    </w:p>
    <w:p w14:paraId="5EFB6A35" w14:textId="77777777"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t>12.2. Sutartis jos galiojimo laikotarpiu gali būti keičiama Lietuvos Respublikos viešųjų pirkimų įstatymo 89 straipsnio ir Sutartyje nustatytais atvejais.</w:t>
      </w:r>
    </w:p>
    <w:p w14:paraId="6E264A2B" w14:textId="77777777"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t>12.3. Esminėmis Sutarties sąlygomis laikoma Sutarties apimtis, įkainiai, prekių tiekimo terminai. Dėl kitų Sutarties sąlygų laikymo esminėmis sprendžiama pagal Lietuvos Respublikos viešųjų pirkimų įstatymo 89 straipsnio 4 dalyje nustatytus kriterijus.</w:t>
      </w:r>
    </w:p>
    <w:p w14:paraId="4DF8486F" w14:textId="77777777"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t>12.4. Sutarties papildymai ir pakeitimai galioja tik tuo atveju, jei jie sudaryti raštu ir pasirašyti abiejų šalių įgaliotų atstovų.</w:t>
      </w:r>
    </w:p>
    <w:p w14:paraId="48FFAB0E" w14:textId="77777777"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t>12.5. Visi rašytiniai pranešimai, vienos iš Šalių skirti kitai Šaliai, laikomi atliktais tinkamu būdu, jei buvo adresuoti Sutarties 14 skyriuje nurodytais adresais. Šaliai nepranešusiai apie adreso pasikeitimą, tenka visa rizika susijusi su pranešimo negavimo nuostoliais.</w:t>
      </w:r>
    </w:p>
    <w:p w14:paraId="13522509" w14:textId="77777777"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t>12.6. Sutartis sudaroma lietuvių kalba.</w:t>
      </w:r>
    </w:p>
    <w:p w14:paraId="516381CA" w14:textId="77777777"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t>12.7. Sutartis surašoma dviem (2) turinčiais vienodą juridinę galią egzemplioriais, kiekvienai Šaliai po vieną.</w:t>
      </w:r>
    </w:p>
    <w:p w14:paraId="71771313" w14:textId="77777777"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t xml:space="preserve">12.8. Visi priedai, nurodyti šioje Sutartyje, yra neatskiriama Sutarties dalis. </w:t>
      </w:r>
    </w:p>
    <w:p w14:paraId="0023A0F0" w14:textId="77777777"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t xml:space="preserve">12.9. Šiuo Šalys patvirtina, kad Sutartį perskaitė, suprato jos turinį ir pasekmes, priėmė ją kaip atitinkančią jų tikslus. </w:t>
      </w:r>
    </w:p>
    <w:p w14:paraId="71E1D35A" w14:textId="77777777" w:rsidR="00D3089D" w:rsidRPr="00D3089D" w:rsidRDefault="00D3089D" w:rsidP="00D3089D">
      <w:pPr>
        <w:autoSpaceDE w:val="0"/>
        <w:autoSpaceDN w:val="0"/>
        <w:adjustRightInd w:val="0"/>
        <w:spacing w:after="0" w:line="240" w:lineRule="auto"/>
        <w:contextualSpacing/>
        <w:rPr>
          <w:rFonts w:ascii="Times New Roman" w:eastAsia="Times New Roman" w:hAnsi="Times New Roman" w:cs="Times New Roman"/>
          <w:color w:val="000000"/>
          <w:lang w:val="lt-LT"/>
        </w:rPr>
      </w:pPr>
    </w:p>
    <w:p w14:paraId="7F761E6D" w14:textId="77777777" w:rsidR="00D3089D" w:rsidRPr="00D3089D" w:rsidRDefault="00D3089D" w:rsidP="00D3089D">
      <w:pPr>
        <w:autoSpaceDE w:val="0"/>
        <w:autoSpaceDN w:val="0"/>
        <w:adjustRightInd w:val="0"/>
        <w:spacing w:after="0" w:line="240" w:lineRule="auto"/>
        <w:contextualSpacing/>
        <w:jc w:val="center"/>
        <w:rPr>
          <w:rFonts w:ascii="Times New Roman" w:eastAsia="Times New Roman" w:hAnsi="Times New Roman" w:cs="Times New Roman"/>
          <w:color w:val="000000"/>
          <w:lang w:val="lt-LT"/>
        </w:rPr>
      </w:pPr>
      <w:r w:rsidRPr="00D3089D">
        <w:rPr>
          <w:rFonts w:ascii="Times New Roman" w:eastAsia="Times New Roman" w:hAnsi="Times New Roman" w:cs="Times New Roman"/>
          <w:b/>
          <w:bCs/>
          <w:color w:val="000000"/>
          <w:lang w:val="lt-LT"/>
        </w:rPr>
        <w:t>XIII. SUTARTIES PRIEDAI</w:t>
      </w:r>
    </w:p>
    <w:p w14:paraId="78C53FAF" w14:textId="5F300D93" w:rsidR="00D3089D" w:rsidRPr="00D3089D" w:rsidRDefault="00D3089D" w:rsidP="00D3089D">
      <w:pPr>
        <w:autoSpaceDE w:val="0"/>
        <w:autoSpaceDN w:val="0"/>
        <w:adjustRightInd w:val="0"/>
        <w:spacing w:after="0" w:line="240" w:lineRule="auto"/>
        <w:contextualSpacing/>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t>13.1. Priedas Nr. 1 – Prekių techninė specifikacija, kiekiai, kainos.</w:t>
      </w:r>
    </w:p>
    <w:p w14:paraId="42290B3E" w14:textId="77777777" w:rsidR="00D3089D" w:rsidRPr="00D3089D" w:rsidRDefault="00D3089D" w:rsidP="00D3089D">
      <w:pPr>
        <w:autoSpaceDE w:val="0"/>
        <w:autoSpaceDN w:val="0"/>
        <w:adjustRightInd w:val="0"/>
        <w:spacing w:after="0" w:line="240" w:lineRule="auto"/>
        <w:contextualSpacing/>
        <w:rPr>
          <w:rFonts w:ascii="Times New Roman" w:eastAsia="Times New Roman" w:hAnsi="Times New Roman" w:cs="Times New Roman"/>
          <w:color w:val="000000"/>
          <w:lang w:val="lt-LT"/>
        </w:rPr>
      </w:pPr>
    </w:p>
    <w:p w14:paraId="3BA12E4D" w14:textId="77777777" w:rsidR="00D3089D" w:rsidRPr="00D3089D" w:rsidRDefault="00D3089D" w:rsidP="00D3089D">
      <w:pPr>
        <w:spacing w:after="0" w:line="240" w:lineRule="auto"/>
        <w:contextualSpacing/>
        <w:jc w:val="center"/>
        <w:rPr>
          <w:rFonts w:ascii="Times New Roman" w:eastAsia="Times New Roman" w:hAnsi="Times New Roman" w:cs="Times New Roman"/>
          <w:b/>
          <w:bCs/>
          <w:color w:val="000000"/>
          <w:lang w:val="lt-LT"/>
        </w:rPr>
      </w:pPr>
      <w:r w:rsidRPr="00D3089D">
        <w:rPr>
          <w:rFonts w:ascii="Times New Roman" w:eastAsia="Times New Roman" w:hAnsi="Times New Roman" w:cs="Times New Roman"/>
          <w:b/>
          <w:bCs/>
          <w:color w:val="000000"/>
          <w:lang w:val="lt-LT"/>
        </w:rPr>
        <w:t>XIV</w:t>
      </w:r>
      <w:r w:rsidRPr="00D3089D">
        <w:rPr>
          <w:rFonts w:ascii="Times New Roman" w:eastAsia="Times New Roman" w:hAnsi="Times New Roman" w:cs="Times New Roman"/>
          <w:color w:val="000000"/>
          <w:lang w:val="lt-LT"/>
        </w:rPr>
        <w:t xml:space="preserve">. </w:t>
      </w:r>
      <w:r w:rsidRPr="00D3089D">
        <w:rPr>
          <w:rFonts w:ascii="Times New Roman" w:eastAsia="Times New Roman" w:hAnsi="Times New Roman" w:cs="Times New Roman"/>
          <w:b/>
          <w:bCs/>
          <w:color w:val="000000"/>
          <w:lang w:val="lt-LT"/>
        </w:rPr>
        <w:t>ŠALIŲ JURIDINIAI ADRESAI IR REKVIZITAI</w:t>
      </w:r>
    </w:p>
    <w:tbl>
      <w:tblPr>
        <w:tblW w:w="9787" w:type="dxa"/>
        <w:tblLook w:val="04A0" w:firstRow="1" w:lastRow="0" w:firstColumn="1" w:lastColumn="0" w:noHBand="0" w:noVBand="1"/>
      </w:tblPr>
      <w:tblGrid>
        <w:gridCol w:w="4819"/>
        <w:gridCol w:w="4968"/>
      </w:tblGrid>
      <w:tr w:rsidR="00D3089D" w:rsidRPr="00D3089D" w14:paraId="47205205" w14:textId="77777777" w:rsidTr="007A45E7">
        <w:tc>
          <w:tcPr>
            <w:tcW w:w="4819" w:type="dxa"/>
            <w:hideMark/>
          </w:tcPr>
          <w:p w14:paraId="317A2594" w14:textId="77777777" w:rsidR="00D3089D" w:rsidRPr="00D3089D" w:rsidRDefault="00D3089D" w:rsidP="00D3089D">
            <w:pPr>
              <w:tabs>
                <w:tab w:val="left" w:pos="1800"/>
              </w:tabs>
              <w:spacing w:after="0" w:line="240" w:lineRule="auto"/>
              <w:contextualSpacing/>
              <w:jc w:val="both"/>
              <w:rPr>
                <w:rFonts w:ascii="Times New Roman" w:eastAsia="Times New Roman" w:hAnsi="Times New Roman" w:cs="Times New Roman"/>
                <w:b/>
                <w:lang w:val="lt-LT"/>
              </w:rPr>
            </w:pPr>
            <w:bookmarkStart w:id="1" w:name="_Hlk3832812"/>
            <w:r w:rsidRPr="00D3089D">
              <w:rPr>
                <w:rFonts w:ascii="Times New Roman" w:eastAsia="Times New Roman" w:hAnsi="Times New Roman" w:cs="Times New Roman"/>
                <w:b/>
                <w:lang w:val="lt-LT"/>
              </w:rPr>
              <w:t>PARDAVĖJAS</w:t>
            </w:r>
          </w:p>
        </w:tc>
        <w:tc>
          <w:tcPr>
            <w:tcW w:w="4968" w:type="dxa"/>
          </w:tcPr>
          <w:p w14:paraId="36005DEE" w14:textId="77777777" w:rsidR="00D3089D" w:rsidRPr="00D3089D" w:rsidRDefault="00D3089D" w:rsidP="00D3089D">
            <w:pPr>
              <w:tabs>
                <w:tab w:val="left" w:pos="1800"/>
              </w:tabs>
              <w:spacing w:after="0" w:line="240" w:lineRule="auto"/>
              <w:contextualSpacing/>
              <w:jc w:val="both"/>
              <w:rPr>
                <w:rFonts w:ascii="Times New Roman" w:eastAsia="Times New Roman" w:hAnsi="Times New Roman" w:cs="Times New Roman"/>
                <w:lang w:val="lt-LT"/>
              </w:rPr>
            </w:pPr>
            <w:r w:rsidRPr="00D3089D">
              <w:rPr>
                <w:rFonts w:ascii="Times New Roman" w:eastAsia="Times New Roman" w:hAnsi="Times New Roman" w:cs="Times New Roman"/>
                <w:b/>
                <w:lang w:val="lt-LT"/>
              </w:rPr>
              <w:t>PIRKĖJAS</w:t>
            </w:r>
          </w:p>
        </w:tc>
      </w:tr>
      <w:tr w:rsidR="00D3089D" w:rsidRPr="00D3089D" w14:paraId="489DFDCE" w14:textId="77777777" w:rsidTr="007A45E7">
        <w:tc>
          <w:tcPr>
            <w:tcW w:w="4819" w:type="dxa"/>
            <w:hideMark/>
          </w:tcPr>
          <w:p w14:paraId="2A99A7F6" w14:textId="77777777" w:rsidR="00D3089D" w:rsidRDefault="00D62D30" w:rsidP="00D3089D">
            <w:pPr>
              <w:tabs>
                <w:tab w:val="left" w:pos="1800"/>
              </w:tabs>
              <w:spacing w:after="0" w:line="240" w:lineRule="auto"/>
              <w:contextualSpacing/>
              <w:jc w:val="both"/>
              <w:rPr>
                <w:rFonts w:ascii="Times New Roman" w:eastAsia="Times New Roman" w:hAnsi="Times New Roman" w:cs="Times New Roman"/>
                <w:lang w:val="lt-LT"/>
              </w:rPr>
            </w:pPr>
            <w:r>
              <w:rPr>
                <w:rFonts w:ascii="Times New Roman" w:eastAsia="Times New Roman" w:hAnsi="Times New Roman" w:cs="Times New Roman"/>
                <w:lang w:val="lt-LT"/>
              </w:rPr>
              <w:t>UAB „Unidentas“</w:t>
            </w:r>
          </w:p>
          <w:p w14:paraId="0AB95E15" w14:textId="77777777" w:rsidR="00D62D30" w:rsidRDefault="00D62D30" w:rsidP="00D3089D">
            <w:pPr>
              <w:tabs>
                <w:tab w:val="left" w:pos="1800"/>
              </w:tabs>
              <w:spacing w:after="0" w:line="240" w:lineRule="auto"/>
              <w:contextualSpacing/>
              <w:jc w:val="both"/>
              <w:rPr>
                <w:rFonts w:ascii="Times New Roman" w:eastAsia="Times New Roman" w:hAnsi="Times New Roman" w:cs="Times New Roman"/>
                <w:lang w:val="lt-LT"/>
              </w:rPr>
            </w:pPr>
            <w:r>
              <w:rPr>
                <w:rFonts w:ascii="Times New Roman" w:eastAsia="Times New Roman" w:hAnsi="Times New Roman" w:cs="Times New Roman"/>
                <w:lang w:val="lt-LT"/>
              </w:rPr>
              <w:t>Juridinio asmens kodas: 126409973</w:t>
            </w:r>
          </w:p>
          <w:p w14:paraId="4A73E279" w14:textId="77777777" w:rsidR="00D62D30" w:rsidRDefault="00D62D30" w:rsidP="00D3089D">
            <w:pPr>
              <w:tabs>
                <w:tab w:val="left" w:pos="1800"/>
              </w:tabs>
              <w:spacing w:after="0" w:line="240" w:lineRule="auto"/>
              <w:contextualSpacing/>
              <w:jc w:val="both"/>
              <w:rPr>
                <w:rFonts w:ascii="Times New Roman" w:eastAsia="Times New Roman" w:hAnsi="Times New Roman" w:cs="Times New Roman"/>
                <w:lang w:val="lt-LT"/>
              </w:rPr>
            </w:pPr>
            <w:r>
              <w:rPr>
                <w:rFonts w:ascii="Times New Roman" w:eastAsia="Times New Roman" w:hAnsi="Times New Roman" w:cs="Times New Roman"/>
                <w:lang w:val="lt-LT"/>
              </w:rPr>
              <w:t>PVM mokėtojo kodas: LT264099716</w:t>
            </w:r>
          </w:p>
          <w:p w14:paraId="74EE5D19" w14:textId="77777777" w:rsidR="00D62D30" w:rsidRDefault="00D62D30" w:rsidP="00D3089D">
            <w:pPr>
              <w:tabs>
                <w:tab w:val="left" w:pos="1800"/>
              </w:tabs>
              <w:spacing w:after="0" w:line="240" w:lineRule="auto"/>
              <w:contextualSpacing/>
              <w:jc w:val="both"/>
              <w:rPr>
                <w:rFonts w:ascii="Times New Roman" w:eastAsia="Times New Roman" w:hAnsi="Times New Roman" w:cs="Times New Roman"/>
                <w:lang w:val="lt-LT"/>
              </w:rPr>
            </w:pPr>
            <w:r>
              <w:rPr>
                <w:rFonts w:ascii="Times New Roman" w:eastAsia="Times New Roman" w:hAnsi="Times New Roman" w:cs="Times New Roman"/>
                <w:lang w:val="lt-LT"/>
              </w:rPr>
              <w:t xml:space="preserve">Senasis Ukmergės kelias 4, Užubalių km. </w:t>
            </w:r>
          </w:p>
          <w:p w14:paraId="165A8CAB" w14:textId="77777777" w:rsidR="00D62D30" w:rsidRDefault="00D62D30" w:rsidP="00D3089D">
            <w:pPr>
              <w:tabs>
                <w:tab w:val="left" w:pos="1800"/>
              </w:tabs>
              <w:spacing w:after="0" w:line="240" w:lineRule="auto"/>
              <w:contextualSpacing/>
              <w:jc w:val="both"/>
              <w:rPr>
                <w:rFonts w:ascii="Times New Roman" w:eastAsia="Times New Roman" w:hAnsi="Times New Roman" w:cs="Times New Roman"/>
                <w:lang w:val="lt-LT"/>
              </w:rPr>
            </w:pPr>
            <w:r>
              <w:rPr>
                <w:rFonts w:ascii="Times New Roman" w:eastAsia="Times New Roman" w:hAnsi="Times New Roman" w:cs="Times New Roman"/>
                <w:lang w:val="lt-LT"/>
              </w:rPr>
              <w:t>Vilniaus raj.</w:t>
            </w:r>
          </w:p>
          <w:p w14:paraId="5529FDD8" w14:textId="77777777" w:rsidR="00D62D30" w:rsidRDefault="00D62D30" w:rsidP="00D3089D">
            <w:pPr>
              <w:tabs>
                <w:tab w:val="left" w:pos="1800"/>
              </w:tabs>
              <w:spacing w:after="0" w:line="240" w:lineRule="auto"/>
              <w:contextualSpacing/>
              <w:jc w:val="both"/>
              <w:rPr>
                <w:rFonts w:ascii="Times New Roman" w:eastAsia="Times New Roman" w:hAnsi="Times New Roman" w:cs="Times New Roman"/>
                <w:lang w:val="lt-LT"/>
              </w:rPr>
            </w:pPr>
            <w:r>
              <w:rPr>
                <w:rFonts w:ascii="Times New Roman" w:eastAsia="Times New Roman" w:hAnsi="Times New Roman" w:cs="Times New Roman"/>
                <w:lang w:val="lt-LT"/>
              </w:rPr>
              <w:t>A.s. LT</w:t>
            </w:r>
            <w:r w:rsidR="00D62D6F">
              <w:rPr>
                <w:rFonts w:ascii="Times New Roman" w:eastAsia="Times New Roman" w:hAnsi="Times New Roman" w:cs="Times New Roman"/>
                <w:lang w:val="lt-LT"/>
              </w:rPr>
              <w:t>127290000016467012</w:t>
            </w:r>
          </w:p>
          <w:p w14:paraId="21428D10" w14:textId="77777777" w:rsidR="00D62D6F" w:rsidRDefault="00D62D6F" w:rsidP="00D3089D">
            <w:pPr>
              <w:tabs>
                <w:tab w:val="left" w:pos="1800"/>
              </w:tabs>
              <w:spacing w:after="0" w:line="240" w:lineRule="auto"/>
              <w:contextualSpacing/>
              <w:jc w:val="both"/>
              <w:rPr>
                <w:rFonts w:ascii="Times New Roman" w:eastAsia="Times New Roman" w:hAnsi="Times New Roman" w:cs="Times New Roman"/>
                <w:lang w:val="lt-LT"/>
              </w:rPr>
            </w:pPr>
            <w:r>
              <w:rPr>
                <w:rFonts w:ascii="Times New Roman" w:eastAsia="Times New Roman" w:hAnsi="Times New Roman" w:cs="Times New Roman"/>
                <w:lang w:val="lt-LT"/>
              </w:rPr>
              <w:t>AB „Citadele“ bankas</w:t>
            </w:r>
          </w:p>
          <w:p w14:paraId="2C43F061" w14:textId="77777777" w:rsidR="00D62D6F" w:rsidRDefault="00D62D6F" w:rsidP="00D3089D">
            <w:pPr>
              <w:tabs>
                <w:tab w:val="left" w:pos="1800"/>
              </w:tabs>
              <w:spacing w:after="0" w:line="240" w:lineRule="auto"/>
              <w:contextualSpacing/>
              <w:jc w:val="both"/>
              <w:rPr>
                <w:rFonts w:ascii="Times New Roman" w:eastAsia="Times New Roman" w:hAnsi="Times New Roman" w:cs="Times New Roman"/>
                <w:lang w:val="lt-LT"/>
              </w:rPr>
            </w:pPr>
            <w:r>
              <w:rPr>
                <w:rFonts w:ascii="Times New Roman" w:eastAsia="Times New Roman" w:hAnsi="Times New Roman" w:cs="Times New Roman"/>
                <w:lang w:val="lt-LT"/>
              </w:rPr>
              <w:t>Banko kodas: 72900</w:t>
            </w:r>
          </w:p>
          <w:p w14:paraId="29A79210" w14:textId="77777777" w:rsidR="00D62D6F" w:rsidRDefault="00D62D6F" w:rsidP="00D3089D">
            <w:pPr>
              <w:tabs>
                <w:tab w:val="left" w:pos="1800"/>
              </w:tabs>
              <w:spacing w:after="0" w:line="240" w:lineRule="auto"/>
              <w:contextualSpacing/>
              <w:jc w:val="both"/>
              <w:rPr>
                <w:rFonts w:ascii="Times New Roman" w:eastAsia="Times New Roman" w:hAnsi="Times New Roman" w:cs="Times New Roman"/>
                <w:lang w:val="lt-LT"/>
              </w:rPr>
            </w:pPr>
            <w:r>
              <w:rPr>
                <w:rFonts w:ascii="Times New Roman" w:eastAsia="Times New Roman" w:hAnsi="Times New Roman" w:cs="Times New Roman"/>
                <w:lang w:val="lt-LT"/>
              </w:rPr>
              <w:t>Tel. +37069934999</w:t>
            </w:r>
          </w:p>
          <w:p w14:paraId="1751663A" w14:textId="77777777" w:rsidR="00D62D6F" w:rsidRDefault="00D62D6F" w:rsidP="00D3089D">
            <w:pPr>
              <w:tabs>
                <w:tab w:val="left" w:pos="1800"/>
              </w:tabs>
              <w:spacing w:after="0" w:line="240" w:lineRule="auto"/>
              <w:contextualSpacing/>
              <w:jc w:val="both"/>
              <w:rPr>
                <w:rFonts w:ascii="Times New Roman" w:eastAsia="Times New Roman" w:hAnsi="Times New Roman" w:cs="Times New Roman"/>
                <w:lang w:val="lt-LT"/>
              </w:rPr>
            </w:pPr>
            <w:r>
              <w:rPr>
                <w:rFonts w:ascii="Times New Roman" w:eastAsia="Times New Roman" w:hAnsi="Times New Roman" w:cs="Times New Roman"/>
                <w:lang w:val="lt-LT"/>
              </w:rPr>
              <w:t>El. p. dental @unidentas.lt</w:t>
            </w:r>
          </w:p>
          <w:p w14:paraId="1F525DE8" w14:textId="77777777" w:rsidR="00D62D6F" w:rsidRDefault="00D62D6F" w:rsidP="00D3089D">
            <w:pPr>
              <w:tabs>
                <w:tab w:val="left" w:pos="1800"/>
              </w:tabs>
              <w:spacing w:after="0" w:line="240" w:lineRule="auto"/>
              <w:contextualSpacing/>
              <w:jc w:val="both"/>
              <w:rPr>
                <w:rFonts w:ascii="Times New Roman" w:eastAsia="Times New Roman" w:hAnsi="Times New Roman" w:cs="Times New Roman"/>
                <w:lang w:val="lt-LT"/>
              </w:rPr>
            </w:pPr>
          </w:p>
          <w:p w14:paraId="3DF76C7F" w14:textId="793AFFBD" w:rsidR="00D62D6F" w:rsidRPr="00D3089D" w:rsidRDefault="00D62D6F" w:rsidP="00D3089D">
            <w:pPr>
              <w:tabs>
                <w:tab w:val="left" w:pos="1800"/>
              </w:tabs>
              <w:spacing w:after="0" w:line="240" w:lineRule="auto"/>
              <w:contextualSpacing/>
              <w:jc w:val="both"/>
              <w:rPr>
                <w:rFonts w:ascii="Times New Roman" w:eastAsia="Times New Roman" w:hAnsi="Times New Roman" w:cs="Times New Roman"/>
                <w:lang w:val="lt-LT"/>
              </w:rPr>
            </w:pPr>
          </w:p>
        </w:tc>
        <w:tc>
          <w:tcPr>
            <w:tcW w:w="4968" w:type="dxa"/>
          </w:tcPr>
          <w:p w14:paraId="580A2671" w14:textId="77777777" w:rsidR="00D3089D" w:rsidRPr="00D3089D" w:rsidRDefault="00D3089D" w:rsidP="00D3089D">
            <w:pPr>
              <w:tabs>
                <w:tab w:val="left" w:pos="1800"/>
              </w:tabs>
              <w:spacing w:after="0" w:line="240" w:lineRule="auto"/>
              <w:contextualSpacing/>
              <w:jc w:val="both"/>
              <w:rPr>
                <w:rFonts w:ascii="Times New Roman" w:eastAsia="Times New Roman" w:hAnsi="Times New Roman" w:cs="Times New Roman"/>
                <w:lang w:val="lt-LT"/>
              </w:rPr>
            </w:pPr>
            <w:r w:rsidRPr="00D3089D">
              <w:rPr>
                <w:rFonts w:ascii="Times New Roman" w:eastAsia="Times New Roman" w:hAnsi="Times New Roman" w:cs="Times New Roman"/>
                <w:lang w:val="lt-LT"/>
              </w:rPr>
              <w:t>VšĮ Dainų pirminės priežiūros centras</w:t>
            </w:r>
          </w:p>
          <w:p w14:paraId="1871A2E2" w14:textId="77777777" w:rsidR="00D3089D" w:rsidRPr="00D3089D" w:rsidRDefault="00D3089D" w:rsidP="00D3089D">
            <w:pPr>
              <w:tabs>
                <w:tab w:val="left" w:pos="1800"/>
              </w:tabs>
              <w:spacing w:after="0" w:line="240" w:lineRule="auto"/>
              <w:contextualSpacing/>
              <w:jc w:val="both"/>
              <w:rPr>
                <w:rFonts w:ascii="Times New Roman" w:eastAsia="Times New Roman" w:hAnsi="Times New Roman" w:cs="Times New Roman"/>
                <w:lang w:val="lt-LT"/>
              </w:rPr>
            </w:pPr>
            <w:r w:rsidRPr="00D3089D">
              <w:rPr>
                <w:rFonts w:ascii="Times New Roman" w:eastAsia="Times New Roman" w:hAnsi="Times New Roman" w:cs="Times New Roman"/>
                <w:lang w:val="lt-LT"/>
              </w:rPr>
              <w:t>Juridinio asmens kodas: 145371299</w:t>
            </w:r>
          </w:p>
          <w:p w14:paraId="5A8265CE" w14:textId="77777777" w:rsidR="00D3089D" w:rsidRPr="00D3089D" w:rsidRDefault="00D3089D" w:rsidP="00D3089D">
            <w:pPr>
              <w:tabs>
                <w:tab w:val="left" w:pos="1800"/>
              </w:tabs>
              <w:spacing w:after="0" w:line="240" w:lineRule="auto"/>
              <w:contextualSpacing/>
              <w:jc w:val="both"/>
              <w:rPr>
                <w:rFonts w:ascii="Times New Roman" w:eastAsia="Times New Roman" w:hAnsi="Times New Roman" w:cs="Times New Roman"/>
                <w:lang w:val="lt-LT"/>
              </w:rPr>
            </w:pPr>
            <w:r w:rsidRPr="00D3089D">
              <w:rPr>
                <w:rFonts w:ascii="Times New Roman" w:eastAsia="Times New Roman" w:hAnsi="Times New Roman" w:cs="Times New Roman"/>
                <w:lang w:val="lt-LT"/>
              </w:rPr>
              <w:t>Aido g. 18, LT-78242, Šiauliai</w:t>
            </w:r>
          </w:p>
          <w:p w14:paraId="57888865" w14:textId="77777777" w:rsidR="00D3089D" w:rsidRPr="00D3089D" w:rsidRDefault="00D3089D" w:rsidP="00D3089D">
            <w:pPr>
              <w:tabs>
                <w:tab w:val="left" w:pos="1800"/>
              </w:tabs>
              <w:spacing w:after="0" w:line="240" w:lineRule="auto"/>
              <w:contextualSpacing/>
              <w:jc w:val="both"/>
              <w:rPr>
                <w:rFonts w:ascii="Times New Roman" w:eastAsia="Times New Roman" w:hAnsi="Times New Roman" w:cs="Times New Roman"/>
                <w:lang w:val="lt-LT"/>
              </w:rPr>
            </w:pPr>
            <w:r w:rsidRPr="00D3089D">
              <w:rPr>
                <w:rFonts w:ascii="Times New Roman" w:eastAsia="Times New Roman" w:hAnsi="Times New Roman" w:cs="Times New Roman"/>
                <w:lang w:val="lt-LT"/>
              </w:rPr>
              <w:t>A.s. LT507300010002406308</w:t>
            </w:r>
          </w:p>
          <w:p w14:paraId="2BE56E7F" w14:textId="77777777" w:rsidR="00D3089D" w:rsidRPr="00D3089D" w:rsidRDefault="00D3089D" w:rsidP="00D3089D">
            <w:pPr>
              <w:tabs>
                <w:tab w:val="left" w:pos="1800"/>
              </w:tabs>
              <w:spacing w:after="0" w:line="240" w:lineRule="auto"/>
              <w:contextualSpacing/>
              <w:jc w:val="both"/>
              <w:rPr>
                <w:rFonts w:ascii="Times New Roman" w:eastAsia="Times New Roman" w:hAnsi="Times New Roman" w:cs="Times New Roman"/>
                <w:lang w:val="lt-LT"/>
              </w:rPr>
            </w:pPr>
            <w:r w:rsidRPr="00D3089D">
              <w:rPr>
                <w:rFonts w:ascii="Times New Roman" w:eastAsia="Times New Roman" w:hAnsi="Times New Roman" w:cs="Times New Roman"/>
                <w:lang w:val="lt-LT"/>
              </w:rPr>
              <w:t>AB Swedbank</w:t>
            </w:r>
          </w:p>
          <w:p w14:paraId="1BCCD5E1" w14:textId="77777777" w:rsidR="00D3089D" w:rsidRPr="00D3089D" w:rsidRDefault="00D3089D" w:rsidP="00D3089D">
            <w:pPr>
              <w:tabs>
                <w:tab w:val="left" w:pos="1800"/>
              </w:tabs>
              <w:spacing w:after="0" w:line="240" w:lineRule="auto"/>
              <w:contextualSpacing/>
              <w:jc w:val="both"/>
              <w:rPr>
                <w:rFonts w:ascii="Times New Roman" w:eastAsia="Times New Roman" w:hAnsi="Times New Roman" w:cs="Times New Roman"/>
                <w:lang w:val="lt-LT"/>
              </w:rPr>
            </w:pPr>
            <w:r w:rsidRPr="00D3089D">
              <w:rPr>
                <w:rFonts w:ascii="Times New Roman" w:eastAsia="Times New Roman" w:hAnsi="Times New Roman" w:cs="Times New Roman"/>
                <w:lang w:val="lt-LT"/>
              </w:rPr>
              <w:t>Tel./faks. (8 41) 55 27 91</w:t>
            </w:r>
          </w:p>
          <w:p w14:paraId="1C35E71E" w14:textId="77777777" w:rsidR="00D3089D" w:rsidRPr="00D3089D" w:rsidRDefault="00D3089D" w:rsidP="00D3089D">
            <w:pPr>
              <w:tabs>
                <w:tab w:val="left" w:pos="1800"/>
              </w:tabs>
              <w:spacing w:after="0" w:line="240" w:lineRule="auto"/>
              <w:contextualSpacing/>
              <w:jc w:val="both"/>
              <w:rPr>
                <w:rFonts w:ascii="Times New Roman" w:eastAsia="Times New Roman" w:hAnsi="Times New Roman" w:cs="Times New Roman"/>
                <w:lang w:val="lt-LT"/>
              </w:rPr>
            </w:pPr>
            <w:r w:rsidRPr="00D3089D">
              <w:rPr>
                <w:rFonts w:ascii="Times New Roman" w:eastAsia="Times New Roman" w:hAnsi="Times New Roman" w:cs="Times New Roman"/>
                <w:lang w:val="lt-LT"/>
              </w:rPr>
              <w:t>El. p. info@dainupspc.lt</w:t>
            </w:r>
          </w:p>
          <w:p w14:paraId="5AF01D39" w14:textId="77777777" w:rsidR="00D3089D" w:rsidRPr="00D3089D" w:rsidRDefault="00D3089D" w:rsidP="00D3089D">
            <w:pPr>
              <w:tabs>
                <w:tab w:val="left" w:pos="1800"/>
              </w:tabs>
              <w:spacing w:after="0" w:line="240" w:lineRule="auto"/>
              <w:contextualSpacing/>
              <w:jc w:val="both"/>
              <w:rPr>
                <w:rFonts w:ascii="Times New Roman" w:eastAsia="Times New Roman" w:hAnsi="Times New Roman" w:cs="Times New Roman"/>
                <w:lang w:val="lt-LT"/>
              </w:rPr>
            </w:pPr>
          </w:p>
        </w:tc>
      </w:tr>
      <w:tr w:rsidR="00D3089D" w:rsidRPr="00D3089D" w14:paraId="29B2E0CF" w14:textId="77777777" w:rsidTr="007A45E7">
        <w:tc>
          <w:tcPr>
            <w:tcW w:w="4819" w:type="dxa"/>
          </w:tcPr>
          <w:p w14:paraId="798A2419" w14:textId="77777777" w:rsidR="00D3089D" w:rsidRDefault="00D62D6F" w:rsidP="00D3089D">
            <w:pPr>
              <w:tabs>
                <w:tab w:val="left" w:pos="1800"/>
              </w:tabs>
              <w:spacing w:after="0" w:line="240" w:lineRule="auto"/>
              <w:contextualSpacing/>
              <w:jc w:val="both"/>
              <w:rPr>
                <w:rFonts w:ascii="Times New Roman" w:eastAsia="Times New Roman" w:hAnsi="Times New Roman" w:cs="Times New Roman"/>
                <w:lang w:val="lt-LT"/>
              </w:rPr>
            </w:pPr>
            <w:r>
              <w:rPr>
                <w:rFonts w:ascii="Times New Roman" w:eastAsia="Times New Roman" w:hAnsi="Times New Roman" w:cs="Times New Roman"/>
                <w:lang w:val="lt-LT"/>
              </w:rPr>
              <w:t>Direktorius</w:t>
            </w:r>
          </w:p>
          <w:p w14:paraId="701EA977" w14:textId="16449ADF" w:rsidR="00D62D6F" w:rsidRPr="00D3089D" w:rsidRDefault="00D62D6F" w:rsidP="00D3089D">
            <w:pPr>
              <w:tabs>
                <w:tab w:val="left" w:pos="1800"/>
              </w:tabs>
              <w:spacing w:after="0" w:line="240" w:lineRule="auto"/>
              <w:contextualSpacing/>
              <w:jc w:val="both"/>
              <w:rPr>
                <w:rFonts w:ascii="Times New Roman" w:eastAsia="Times New Roman" w:hAnsi="Times New Roman" w:cs="Times New Roman"/>
                <w:lang w:val="lt-LT"/>
              </w:rPr>
            </w:pPr>
            <w:r>
              <w:rPr>
                <w:rFonts w:ascii="Times New Roman" w:eastAsia="Times New Roman" w:hAnsi="Times New Roman" w:cs="Times New Roman"/>
                <w:lang w:val="lt-LT"/>
              </w:rPr>
              <w:t>Linas Stankevičius</w:t>
            </w:r>
          </w:p>
        </w:tc>
        <w:tc>
          <w:tcPr>
            <w:tcW w:w="4968" w:type="dxa"/>
          </w:tcPr>
          <w:p w14:paraId="63582E11" w14:textId="77777777" w:rsidR="00D3089D" w:rsidRPr="00D3089D" w:rsidRDefault="00D3089D" w:rsidP="00D3089D">
            <w:pPr>
              <w:tabs>
                <w:tab w:val="left" w:pos="1800"/>
              </w:tabs>
              <w:spacing w:after="0" w:line="240" w:lineRule="auto"/>
              <w:contextualSpacing/>
              <w:jc w:val="both"/>
              <w:rPr>
                <w:rFonts w:ascii="Times New Roman" w:eastAsia="Times New Roman" w:hAnsi="Times New Roman" w:cs="Times New Roman"/>
                <w:lang w:val="lt-LT"/>
              </w:rPr>
            </w:pPr>
            <w:r w:rsidRPr="00D3089D">
              <w:rPr>
                <w:rFonts w:ascii="Times New Roman" w:eastAsia="Times New Roman" w:hAnsi="Times New Roman" w:cs="Times New Roman"/>
                <w:lang w:val="lt-LT"/>
              </w:rPr>
              <w:t xml:space="preserve">Direktorė </w:t>
            </w:r>
          </w:p>
          <w:p w14:paraId="48EC3B7C" w14:textId="77777777" w:rsidR="00D3089D" w:rsidRPr="00D3089D" w:rsidRDefault="00D3089D" w:rsidP="00D3089D">
            <w:pPr>
              <w:tabs>
                <w:tab w:val="left" w:pos="1800"/>
              </w:tabs>
              <w:spacing w:after="0" w:line="240" w:lineRule="auto"/>
              <w:contextualSpacing/>
              <w:jc w:val="both"/>
              <w:rPr>
                <w:rFonts w:ascii="Times New Roman" w:eastAsia="Times New Roman" w:hAnsi="Times New Roman" w:cs="Times New Roman"/>
                <w:lang w:val="lt-LT"/>
              </w:rPr>
            </w:pPr>
            <w:r w:rsidRPr="00D3089D">
              <w:rPr>
                <w:rFonts w:ascii="Times New Roman" w:eastAsia="Times New Roman" w:hAnsi="Times New Roman" w:cs="Times New Roman"/>
                <w:lang w:val="lt-LT"/>
              </w:rPr>
              <w:t>Aurika Koncienė</w:t>
            </w:r>
          </w:p>
        </w:tc>
      </w:tr>
    </w:tbl>
    <w:bookmarkEnd w:id="1"/>
    <w:p w14:paraId="4E673A18" w14:textId="77777777" w:rsidR="00D3089D" w:rsidRPr="00D3089D" w:rsidRDefault="00D3089D" w:rsidP="00D3089D">
      <w:pPr>
        <w:spacing w:after="0" w:line="240" w:lineRule="auto"/>
        <w:jc w:val="center"/>
        <w:rPr>
          <w:rFonts w:ascii="Times New Roman" w:eastAsia="Times New Roman" w:hAnsi="Times New Roman" w:cs="Times New Roman"/>
          <w:lang w:val="lt-LT"/>
        </w:rPr>
      </w:pPr>
      <w:r w:rsidRPr="00D3089D">
        <w:rPr>
          <w:rFonts w:ascii="Times New Roman" w:eastAsia="Times New Roman" w:hAnsi="Times New Roman" w:cs="Times New Roman"/>
          <w:lang w:val="lt-LT"/>
        </w:rPr>
        <w:t>____________</w:t>
      </w:r>
    </w:p>
    <w:p w14:paraId="7612BFD0" w14:textId="77777777" w:rsidR="00424BBC" w:rsidRDefault="00424BBC">
      <w:pPr>
        <w:rPr>
          <w:rFonts w:ascii="Times New Roman" w:hAnsi="Times New Roman" w:cs="Times New Roman"/>
        </w:rPr>
      </w:pPr>
    </w:p>
    <w:p w14:paraId="59CF697F" w14:textId="77777777" w:rsidR="00D62D6F" w:rsidRDefault="00D62D6F">
      <w:pPr>
        <w:rPr>
          <w:rFonts w:ascii="Times New Roman" w:hAnsi="Times New Roman" w:cs="Times New Roman"/>
        </w:rPr>
      </w:pPr>
    </w:p>
    <w:p w14:paraId="0D24D214" w14:textId="77777777" w:rsidR="00344AC6" w:rsidRDefault="00344AC6">
      <w:pPr>
        <w:rPr>
          <w:rFonts w:ascii="Times New Roman" w:hAnsi="Times New Roman" w:cs="Times New Roman"/>
        </w:rPr>
      </w:pPr>
    </w:p>
    <w:p w14:paraId="0B79714A" w14:textId="77777777" w:rsidR="00344AC6" w:rsidRDefault="00344AC6">
      <w:pPr>
        <w:rPr>
          <w:rFonts w:ascii="Times New Roman" w:hAnsi="Times New Roman" w:cs="Times New Roman"/>
        </w:rPr>
      </w:pPr>
    </w:p>
    <w:p w14:paraId="0FC31D87" w14:textId="77777777" w:rsidR="00344AC6" w:rsidRDefault="00344AC6">
      <w:pPr>
        <w:rPr>
          <w:rFonts w:ascii="Times New Roman" w:hAnsi="Times New Roman" w:cs="Times New Roman"/>
          <w:sz w:val="18"/>
          <w:szCs w:val="18"/>
        </w:rPr>
        <w:sectPr w:rsidR="00344AC6" w:rsidSect="00D62D6F">
          <w:headerReference w:type="default" r:id="rId8"/>
          <w:pgSz w:w="11906" w:h="16838" w:code="9"/>
          <w:pgMar w:top="993" w:right="567" w:bottom="1134" w:left="1701" w:header="425" w:footer="567" w:gutter="0"/>
          <w:pgNumType w:start="1"/>
          <w:cols w:space="720"/>
          <w:titlePg/>
          <w:docGrid w:linePitch="326"/>
        </w:sectPr>
      </w:pPr>
    </w:p>
    <w:p w14:paraId="02CB90FC" w14:textId="16E859E9" w:rsidR="00344AC6" w:rsidRPr="00344AC6" w:rsidRDefault="00344AC6">
      <w:pPr>
        <w:rPr>
          <w:rFonts w:ascii="Times New Roman" w:hAnsi="Times New Roman" w:cs="Times New Roman"/>
          <w:sz w:val="18"/>
          <w:szCs w:val="18"/>
        </w:rPr>
      </w:pPr>
      <w:r w:rsidRPr="00344AC6">
        <w:rPr>
          <w:rFonts w:ascii="Times New Roman" w:hAnsi="Times New Roman" w:cs="Times New Roman"/>
          <w:sz w:val="18"/>
          <w:szCs w:val="18"/>
        </w:rPr>
        <w:lastRenderedPageBreak/>
        <w:t>Priedas Nr. 1 prie sutarties</w:t>
      </w:r>
    </w:p>
    <w:p w14:paraId="73EF1CB0" w14:textId="77777777" w:rsidR="00344AC6" w:rsidRPr="00344AC6" w:rsidRDefault="00344AC6">
      <w:pPr>
        <w:rPr>
          <w:rFonts w:ascii="Times New Roman" w:hAnsi="Times New Roman" w:cs="Times New Roman"/>
          <w:sz w:val="18"/>
          <w:szCs w:val="18"/>
        </w:rPr>
      </w:pPr>
    </w:p>
    <w:p w14:paraId="3FF85635" w14:textId="77777777" w:rsidR="00344AC6" w:rsidRPr="00344AC6" w:rsidRDefault="00344AC6">
      <w:pPr>
        <w:rPr>
          <w:rFonts w:ascii="Times New Roman" w:hAnsi="Times New Roman" w:cs="Times New Roman"/>
          <w:sz w:val="18"/>
          <w:szCs w:val="18"/>
        </w:rPr>
      </w:pPr>
    </w:p>
    <w:tbl>
      <w:tblPr>
        <w:tblW w:w="14826" w:type="dxa"/>
        <w:tblLook w:val="04A0" w:firstRow="1" w:lastRow="0" w:firstColumn="1" w:lastColumn="0" w:noHBand="0" w:noVBand="1"/>
      </w:tblPr>
      <w:tblGrid>
        <w:gridCol w:w="1838"/>
        <w:gridCol w:w="1616"/>
        <w:gridCol w:w="2778"/>
        <w:gridCol w:w="1134"/>
        <w:gridCol w:w="880"/>
        <w:gridCol w:w="980"/>
        <w:gridCol w:w="680"/>
        <w:gridCol w:w="980"/>
        <w:gridCol w:w="32"/>
        <w:gridCol w:w="988"/>
        <w:gridCol w:w="32"/>
        <w:gridCol w:w="2888"/>
      </w:tblGrid>
      <w:tr w:rsidR="00344AC6" w:rsidRPr="00344AC6" w14:paraId="4016566D" w14:textId="77777777" w:rsidTr="005F1605">
        <w:trPr>
          <w:trHeight w:val="255"/>
        </w:trPr>
        <w:tc>
          <w:tcPr>
            <w:tcW w:w="1838" w:type="dxa"/>
            <w:tcBorders>
              <w:top w:val="single" w:sz="4" w:space="0" w:color="auto"/>
              <w:left w:val="single" w:sz="4" w:space="0" w:color="auto"/>
              <w:bottom w:val="single" w:sz="4" w:space="0" w:color="auto"/>
              <w:right w:val="single" w:sz="4" w:space="0" w:color="auto"/>
            </w:tcBorders>
            <w:shd w:val="clear" w:color="C0C0C0" w:fill="D9D9D9"/>
            <w:noWrap/>
            <w:vAlign w:val="center"/>
            <w:hideMark/>
          </w:tcPr>
          <w:p w14:paraId="32449FE1" w14:textId="77777777" w:rsidR="00344AC6" w:rsidRPr="00344AC6" w:rsidRDefault="00344AC6" w:rsidP="005F1605">
            <w:pPr>
              <w:spacing w:after="0" w:line="240" w:lineRule="auto"/>
              <w:rPr>
                <w:rFonts w:ascii="Times New Roman" w:eastAsia="Times New Roman" w:hAnsi="Times New Roman" w:cs="Times New Roman"/>
                <w:b/>
                <w:bCs/>
                <w:color w:val="000000"/>
                <w:sz w:val="18"/>
                <w:szCs w:val="18"/>
              </w:rPr>
            </w:pPr>
            <w:r w:rsidRPr="00344AC6">
              <w:rPr>
                <w:rFonts w:ascii="Times New Roman" w:eastAsia="Times New Roman" w:hAnsi="Times New Roman" w:cs="Times New Roman"/>
                <w:b/>
                <w:bCs/>
                <w:color w:val="000000"/>
                <w:sz w:val="18"/>
                <w:szCs w:val="18"/>
              </w:rPr>
              <w:t>6. PIRKIMO OBJEKTO DALIS. Plombinės medžiagos</w:t>
            </w:r>
          </w:p>
        </w:tc>
        <w:tc>
          <w:tcPr>
            <w:tcW w:w="1616" w:type="dxa"/>
            <w:tcBorders>
              <w:top w:val="single" w:sz="4" w:space="0" w:color="auto"/>
              <w:left w:val="nil"/>
              <w:bottom w:val="single" w:sz="4" w:space="0" w:color="auto"/>
              <w:right w:val="single" w:sz="4" w:space="0" w:color="auto"/>
            </w:tcBorders>
            <w:shd w:val="clear" w:color="C0C0C0" w:fill="D9D9D9"/>
            <w:vAlign w:val="center"/>
            <w:hideMark/>
          </w:tcPr>
          <w:p w14:paraId="0DB63AF5" w14:textId="77777777" w:rsidR="00344AC6" w:rsidRPr="00344AC6" w:rsidRDefault="00344AC6" w:rsidP="005F1605">
            <w:pPr>
              <w:spacing w:after="0" w:line="240" w:lineRule="auto"/>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 </w:t>
            </w:r>
          </w:p>
        </w:tc>
        <w:tc>
          <w:tcPr>
            <w:tcW w:w="2778" w:type="dxa"/>
            <w:tcBorders>
              <w:top w:val="single" w:sz="4" w:space="0" w:color="auto"/>
              <w:left w:val="nil"/>
              <w:bottom w:val="single" w:sz="4" w:space="0" w:color="auto"/>
              <w:right w:val="single" w:sz="4" w:space="0" w:color="auto"/>
            </w:tcBorders>
            <w:shd w:val="clear" w:color="C0C0C0" w:fill="D9D9D9"/>
            <w:vAlign w:val="center"/>
            <w:hideMark/>
          </w:tcPr>
          <w:p w14:paraId="23006FAB" w14:textId="77777777" w:rsidR="00344AC6" w:rsidRPr="00344AC6" w:rsidRDefault="00344AC6" w:rsidP="005F1605">
            <w:pPr>
              <w:spacing w:after="0" w:line="240" w:lineRule="auto"/>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 </w:t>
            </w:r>
          </w:p>
        </w:tc>
        <w:tc>
          <w:tcPr>
            <w:tcW w:w="1134" w:type="dxa"/>
            <w:tcBorders>
              <w:top w:val="single" w:sz="4" w:space="0" w:color="auto"/>
              <w:left w:val="nil"/>
              <w:bottom w:val="single" w:sz="4" w:space="0" w:color="auto"/>
              <w:right w:val="single" w:sz="4" w:space="0" w:color="auto"/>
            </w:tcBorders>
            <w:shd w:val="clear" w:color="C0C0C0" w:fill="D9D9D9"/>
            <w:noWrap/>
            <w:vAlign w:val="center"/>
            <w:hideMark/>
          </w:tcPr>
          <w:p w14:paraId="62C8C278"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 </w:t>
            </w:r>
          </w:p>
        </w:tc>
        <w:tc>
          <w:tcPr>
            <w:tcW w:w="880" w:type="dxa"/>
            <w:tcBorders>
              <w:top w:val="single" w:sz="4" w:space="0" w:color="auto"/>
              <w:left w:val="nil"/>
              <w:bottom w:val="single" w:sz="4" w:space="0" w:color="auto"/>
              <w:right w:val="single" w:sz="4" w:space="0" w:color="auto"/>
            </w:tcBorders>
            <w:shd w:val="clear" w:color="C0C0C0" w:fill="D9D9D9"/>
            <w:noWrap/>
            <w:vAlign w:val="center"/>
            <w:hideMark/>
          </w:tcPr>
          <w:p w14:paraId="4AD95D25"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 </w:t>
            </w:r>
          </w:p>
        </w:tc>
        <w:tc>
          <w:tcPr>
            <w:tcW w:w="980" w:type="dxa"/>
            <w:tcBorders>
              <w:top w:val="single" w:sz="4" w:space="0" w:color="auto"/>
              <w:left w:val="nil"/>
              <w:bottom w:val="single" w:sz="4" w:space="0" w:color="auto"/>
              <w:right w:val="single" w:sz="4" w:space="0" w:color="auto"/>
            </w:tcBorders>
            <w:shd w:val="clear" w:color="C0C0C0" w:fill="D9D9D9"/>
            <w:noWrap/>
            <w:vAlign w:val="center"/>
            <w:hideMark/>
          </w:tcPr>
          <w:p w14:paraId="0FD72F55"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 </w:t>
            </w:r>
          </w:p>
        </w:tc>
        <w:tc>
          <w:tcPr>
            <w:tcW w:w="680" w:type="dxa"/>
            <w:tcBorders>
              <w:top w:val="single" w:sz="4" w:space="0" w:color="auto"/>
              <w:left w:val="nil"/>
              <w:bottom w:val="single" w:sz="4" w:space="0" w:color="auto"/>
              <w:right w:val="single" w:sz="4" w:space="0" w:color="auto"/>
            </w:tcBorders>
            <w:shd w:val="clear" w:color="C0C0C0" w:fill="D9D9D9"/>
            <w:noWrap/>
            <w:vAlign w:val="center"/>
            <w:hideMark/>
          </w:tcPr>
          <w:p w14:paraId="4D3F9004"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 </w:t>
            </w:r>
          </w:p>
        </w:tc>
        <w:tc>
          <w:tcPr>
            <w:tcW w:w="980" w:type="dxa"/>
            <w:tcBorders>
              <w:top w:val="single" w:sz="4" w:space="0" w:color="auto"/>
              <w:left w:val="nil"/>
              <w:bottom w:val="single" w:sz="4" w:space="0" w:color="auto"/>
              <w:right w:val="single" w:sz="4" w:space="0" w:color="auto"/>
            </w:tcBorders>
            <w:shd w:val="clear" w:color="C0C0C0" w:fill="D9D9D9"/>
            <w:noWrap/>
            <w:vAlign w:val="center"/>
            <w:hideMark/>
          </w:tcPr>
          <w:p w14:paraId="1A84D5E1"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 </w:t>
            </w:r>
          </w:p>
        </w:tc>
        <w:tc>
          <w:tcPr>
            <w:tcW w:w="1020" w:type="dxa"/>
            <w:gridSpan w:val="2"/>
            <w:tcBorders>
              <w:top w:val="single" w:sz="4" w:space="0" w:color="auto"/>
              <w:left w:val="nil"/>
              <w:bottom w:val="single" w:sz="4" w:space="0" w:color="auto"/>
              <w:right w:val="single" w:sz="4" w:space="0" w:color="auto"/>
            </w:tcBorders>
            <w:shd w:val="clear" w:color="C0C0C0" w:fill="D9D9D9"/>
            <w:noWrap/>
            <w:vAlign w:val="center"/>
            <w:hideMark/>
          </w:tcPr>
          <w:p w14:paraId="750DC5D8"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 </w:t>
            </w:r>
          </w:p>
        </w:tc>
        <w:tc>
          <w:tcPr>
            <w:tcW w:w="2920" w:type="dxa"/>
            <w:gridSpan w:val="2"/>
            <w:tcBorders>
              <w:top w:val="single" w:sz="4" w:space="0" w:color="auto"/>
              <w:left w:val="nil"/>
              <w:bottom w:val="single" w:sz="4" w:space="0" w:color="auto"/>
              <w:right w:val="single" w:sz="4" w:space="0" w:color="auto"/>
            </w:tcBorders>
            <w:shd w:val="clear" w:color="C0C0C0" w:fill="D9D9D9"/>
            <w:vAlign w:val="center"/>
            <w:hideMark/>
          </w:tcPr>
          <w:p w14:paraId="2C6BD6A6" w14:textId="77777777" w:rsidR="00344AC6" w:rsidRPr="00344AC6" w:rsidRDefault="00344AC6" w:rsidP="005F1605">
            <w:pPr>
              <w:spacing w:after="0" w:line="240" w:lineRule="auto"/>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 </w:t>
            </w:r>
          </w:p>
        </w:tc>
      </w:tr>
      <w:tr w:rsidR="00344AC6" w:rsidRPr="00344AC6" w14:paraId="1704064D" w14:textId="77777777" w:rsidTr="005F1605">
        <w:trPr>
          <w:trHeight w:val="1785"/>
        </w:trPr>
        <w:tc>
          <w:tcPr>
            <w:tcW w:w="1838" w:type="dxa"/>
            <w:tcBorders>
              <w:top w:val="nil"/>
              <w:left w:val="single" w:sz="4" w:space="0" w:color="auto"/>
              <w:bottom w:val="single" w:sz="4" w:space="0" w:color="auto"/>
              <w:right w:val="single" w:sz="4" w:space="0" w:color="auto"/>
            </w:tcBorders>
            <w:shd w:val="clear" w:color="auto" w:fill="auto"/>
            <w:noWrap/>
            <w:vAlign w:val="center"/>
            <w:hideMark/>
          </w:tcPr>
          <w:p w14:paraId="33FE6F50" w14:textId="77777777" w:rsidR="00344AC6" w:rsidRPr="00344AC6" w:rsidRDefault="00344AC6" w:rsidP="005F1605">
            <w:pPr>
              <w:spacing w:after="0" w:line="240" w:lineRule="auto"/>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6.1.</w:t>
            </w:r>
          </w:p>
        </w:tc>
        <w:tc>
          <w:tcPr>
            <w:tcW w:w="1616" w:type="dxa"/>
            <w:tcBorders>
              <w:top w:val="nil"/>
              <w:left w:val="nil"/>
              <w:bottom w:val="single" w:sz="4" w:space="0" w:color="auto"/>
              <w:right w:val="single" w:sz="4" w:space="0" w:color="auto"/>
            </w:tcBorders>
            <w:shd w:val="clear" w:color="auto" w:fill="auto"/>
            <w:vAlign w:val="center"/>
            <w:hideMark/>
          </w:tcPr>
          <w:p w14:paraId="43011020" w14:textId="77777777" w:rsidR="00344AC6" w:rsidRPr="00344AC6" w:rsidRDefault="00344AC6" w:rsidP="005F1605">
            <w:pPr>
              <w:spacing w:after="0" w:line="240" w:lineRule="auto"/>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 xml:space="preserve">Cheminio kietėjimo stiklojonomerinė plomba  </w:t>
            </w:r>
          </w:p>
        </w:tc>
        <w:tc>
          <w:tcPr>
            <w:tcW w:w="2778" w:type="dxa"/>
            <w:tcBorders>
              <w:top w:val="nil"/>
              <w:left w:val="nil"/>
              <w:bottom w:val="single" w:sz="4" w:space="0" w:color="auto"/>
              <w:right w:val="single" w:sz="4" w:space="0" w:color="auto"/>
            </w:tcBorders>
            <w:shd w:val="clear" w:color="auto" w:fill="auto"/>
            <w:vAlign w:val="center"/>
            <w:hideMark/>
          </w:tcPr>
          <w:p w14:paraId="1AD48115" w14:textId="77777777" w:rsidR="00344AC6" w:rsidRPr="00344AC6" w:rsidRDefault="00344AC6" w:rsidP="005F1605">
            <w:pPr>
              <w:spacing w:after="0" w:line="240" w:lineRule="auto"/>
              <w:rPr>
                <w:rFonts w:ascii="Times New Roman" w:eastAsia="Times New Roman" w:hAnsi="Times New Roman" w:cs="Times New Roman"/>
                <w:color w:val="000000"/>
                <w:sz w:val="18"/>
                <w:szCs w:val="18"/>
              </w:rPr>
            </w:pPr>
            <w:proofErr w:type="gramStart"/>
            <w:r w:rsidRPr="00344AC6">
              <w:rPr>
                <w:rFonts w:ascii="Times New Roman" w:eastAsia="Times New Roman" w:hAnsi="Times New Roman" w:cs="Times New Roman"/>
                <w:color w:val="000000"/>
                <w:sz w:val="18"/>
                <w:szCs w:val="18"/>
              </w:rPr>
              <w:t>Atspari  drėgmei</w:t>
            </w:r>
            <w:proofErr w:type="gramEnd"/>
            <w:r w:rsidRPr="00344AC6">
              <w:rPr>
                <w:rFonts w:ascii="Times New Roman" w:eastAsia="Times New Roman" w:hAnsi="Times New Roman" w:cs="Times New Roman"/>
                <w:color w:val="000000"/>
                <w:sz w:val="18"/>
                <w:szCs w:val="18"/>
              </w:rPr>
              <w:t>, naudojama be pamušalo arba kaip pamušalas, sumaišymo laikas ne mažiau kaip 10 sek. Plombavimo laikas nuo maišymo pradžios ne mažiau kaip 2 min. Miltelių ir skysčio santykis 3</w:t>
            </w:r>
            <w:proofErr w:type="gramStart"/>
            <w:r w:rsidRPr="00344AC6">
              <w:rPr>
                <w:rFonts w:ascii="Times New Roman" w:eastAsia="Times New Roman" w:hAnsi="Times New Roman" w:cs="Times New Roman"/>
                <w:color w:val="000000"/>
                <w:sz w:val="18"/>
                <w:szCs w:val="18"/>
              </w:rPr>
              <w:t>,6</w:t>
            </w:r>
            <w:proofErr w:type="gramEnd"/>
            <w:r w:rsidRPr="00344AC6">
              <w:rPr>
                <w:rFonts w:ascii="Times New Roman" w:eastAsia="Times New Roman" w:hAnsi="Times New Roman" w:cs="Times New Roman"/>
                <w:color w:val="000000"/>
                <w:sz w:val="18"/>
                <w:szCs w:val="18"/>
              </w:rPr>
              <w:t>/1,0. Atspalvių gama: A2, A3, A3</w:t>
            </w:r>
            <w:proofErr w:type="gramStart"/>
            <w:r w:rsidRPr="00344AC6">
              <w:rPr>
                <w:rFonts w:ascii="Times New Roman" w:eastAsia="Times New Roman" w:hAnsi="Times New Roman" w:cs="Times New Roman"/>
                <w:color w:val="000000"/>
                <w:sz w:val="18"/>
                <w:szCs w:val="18"/>
              </w:rPr>
              <w:t>,5</w:t>
            </w:r>
            <w:proofErr w:type="gramEnd"/>
            <w:r w:rsidRPr="00344AC6">
              <w:rPr>
                <w:rFonts w:ascii="Times New Roman" w:eastAsia="Times New Roman" w:hAnsi="Times New Roman" w:cs="Times New Roman"/>
                <w:color w:val="000000"/>
                <w:sz w:val="18"/>
                <w:szCs w:val="18"/>
              </w:rPr>
              <w:t>, B2, B3, C4. Pakuotės dydis: dėžutėje 15g miltelių, 6,4ml skysčio. Fuji IX GP arba lygiavertis. Gamintojo originali pakuotė. Turi atitikti ES standartų reikalavimus. Būtinas CE sertifikatas, atitikties deklaracija su priedu konkrečiai medžiagai originalo ir lietuvių kalbomis.</w:t>
            </w:r>
          </w:p>
        </w:tc>
        <w:tc>
          <w:tcPr>
            <w:tcW w:w="1134" w:type="dxa"/>
            <w:tcBorders>
              <w:top w:val="nil"/>
              <w:left w:val="nil"/>
              <w:bottom w:val="single" w:sz="4" w:space="0" w:color="auto"/>
              <w:right w:val="single" w:sz="4" w:space="0" w:color="auto"/>
            </w:tcBorders>
            <w:shd w:val="clear" w:color="auto" w:fill="auto"/>
            <w:noWrap/>
            <w:vAlign w:val="center"/>
            <w:hideMark/>
          </w:tcPr>
          <w:p w14:paraId="6568B3DB"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proofErr w:type="gramStart"/>
            <w:r w:rsidRPr="00344AC6">
              <w:rPr>
                <w:rFonts w:ascii="Times New Roman" w:eastAsia="Times New Roman" w:hAnsi="Times New Roman" w:cs="Times New Roman"/>
                <w:color w:val="000000"/>
                <w:sz w:val="18"/>
                <w:szCs w:val="18"/>
              </w:rPr>
              <w:t>vnt</w:t>
            </w:r>
            <w:proofErr w:type="gramEnd"/>
            <w:r w:rsidRPr="00344AC6">
              <w:rPr>
                <w:rFonts w:ascii="Times New Roman" w:eastAsia="Times New Roman" w:hAnsi="Times New Roman" w:cs="Times New Roman"/>
                <w:color w:val="000000"/>
                <w:sz w:val="18"/>
                <w:szCs w:val="18"/>
              </w:rPr>
              <w:t>.</w:t>
            </w:r>
          </w:p>
        </w:tc>
        <w:tc>
          <w:tcPr>
            <w:tcW w:w="880" w:type="dxa"/>
            <w:tcBorders>
              <w:top w:val="nil"/>
              <w:left w:val="nil"/>
              <w:bottom w:val="single" w:sz="4" w:space="0" w:color="auto"/>
              <w:right w:val="single" w:sz="4" w:space="0" w:color="auto"/>
            </w:tcBorders>
            <w:shd w:val="clear" w:color="auto" w:fill="auto"/>
            <w:noWrap/>
            <w:vAlign w:val="center"/>
            <w:hideMark/>
          </w:tcPr>
          <w:p w14:paraId="7CC8BF5B"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40</w:t>
            </w:r>
          </w:p>
        </w:tc>
        <w:tc>
          <w:tcPr>
            <w:tcW w:w="980" w:type="dxa"/>
            <w:tcBorders>
              <w:top w:val="nil"/>
              <w:left w:val="nil"/>
              <w:bottom w:val="single" w:sz="4" w:space="0" w:color="auto"/>
              <w:right w:val="single" w:sz="4" w:space="0" w:color="auto"/>
            </w:tcBorders>
            <w:shd w:val="clear" w:color="auto" w:fill="auto"/>
            <w:noWrap/>
            <w:vAlign w:val="center"/>
            <w:hideMark/>
          </w:tcPr>
          <w:p w14:paraId="3C620E5B"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63,40</w:t>
            </w:r>
          </w:p>
        </w:tc>
        <w:tc>
          <w:tcPr>
            <w:tcW w:w="680" w:type="dxa"/>
            <w:tcBorders>
              <w:top w:val="nil"/>
              <w:left w:val="nil"/>
              <w:bottom w:val="single" w:sz="4" w:space="0" w:color="auto"/>
              <w:right w:val="single" w:sz="4" w:space="0" w:color="auto"/>
            </w:tcBorders>
            <w:shd w:val="clear" w:color="auto" w:fill="auto"/>
            <w:noWrap/>
            <w:vAlign w:val="center"/>
            <w:hideMark/>
          </w:tcPr>
          <w:p w14:paraId="18CD7C1F"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21 %</w:t>
            </w:r>
          </w:p>
        </w:tc>
        <w:tc>
          <w:tcPr>
            <w:tcW w:w="980" w:type="dxa"/>
            <w:tcBorders>
              <w:top w:val="nil"/>
              <w:left w:val="nil"/>
              <w:bottom w:val="single" w:sz="4" w:space="0" w:color="auto"/>
              <w:right w:val="single" w:sz="4" w:space="0" w:color="auto"/>
            </w:tcBorders>
            <w:shd w:val="clear" w:color="auto" w:fill="auto"/>
            <w:noWrap/>
            <w:vAlign w:val="center"/>
            <w:hideMark/>
          </w:tcPr>
          <w:p w14:paraId="1E1F7A8B"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76,71</w:t>
            </w:r>
          </w:p>
        </w:tc>
        <w:tc>
          <w:tcPr>
            <w:tcW w:w="1020" w:type="dxa"/>
            <w:gridSpan w:val="2"/>
            <w:tcBorders>
              <w:top w:val="nil"/>
              <w:left w:val="nil"/>
              <w:bottom w:val="single" w:sz="4" w:space="0" w:color="auto"/>
              <w:right w:val="single" w:sz="4" w:space="0" w:color="auto"/>
            </w:tcBorders>
            <w:shd w:val="clear" w:color="auto" w:fill="auto"/>
            <w:noWrap/>
            <w:vAlign w:val="center"/>
            <w:hideMark/>
          </w:tcPr>
          <w:p w14:paraId="38ACF2B3"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3068,40</w:t>
            </w:r>
          </w:p>
        </w:tc>
        <w:tc>
          <w:tcPr>
            <w:tcW w:w="2920" w:type="dxa"/>
            <w:gridSpan w:val="2"/>
            <w:tcBorders>
              <w:top w:val="nil"/>
              <w:left w:val="nil"/>
              <w:bottom w:val="single" w:sz="4" w:space="0" w:color="auto"/>
              <w:right w:val="single" w:sz="4" w:space="0" w:color="auto"/>
            </w:tcBorders>
            <w:shd w:val="clear" w:color="auto" w:fill="auto"/>
            <w:vAlign w:val="center"/>
            <w:hideMark/>
          </w:tcPr>
          <w:p w14:paraId="5DE78C73" w14:textId="77777777" w:rsidR="00344AC6" w:rsidRPr="00344AC6" w:rsidRDefault="00344AC6" w:rsidP="005F1605">
            <w:pPr>
              <w:spacing w:after="0" w:line="240" w:lineRule="auto"/>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Fuji IX GP, gamintojas GC, pakuotėje 15g miltelių+6,4 ml skysčio, naudojimo instrukcija 6.1 pirkimo dalis</w:t>
            </w:r>
          </w:p>
        </w:tc>
      </w:tr>
      <w:tr w:rsidR="00344AC6" w:rsidRPr="00344AC6" w14:paraId="1846F2F7" w14:textId="77777777" w:rsidTr="005F1605">
        <w:trPr>
          <w:trHeight w:val="1530"/>
        </w:trPr>
        <w:tc>
          <w:tcPr>
            <w:tcW w:w="1838" w:type="dxa"/>
            <w:tcBorders>
              <w:top w:val="nil"/>
              <w:left w:val="single" w:sz="4" w:space="0" w:color="auto"/>
              <w:bottom w:val="single" w:sz="4" w:space="0" w:color="auto"/>
              <w:right w:val="single" w:sz="4" w:space="0" w:color="auto"/>
            </w:tcBorders>
            <w:shd w:val="clear" w:color="auto" w:fill="auto"/>
            <w:noWrap/>
            <w:vAlign w:val="center"/>
            <w:hideMark/>
          </w:tcPr>
          <w:p w14:paraId="10726861" w14:textId="77777777" w:rsidR="00344AC6" w:rsidRPr="00344AC6" w:rsidRDefault="00344AC6" w:rsidP="005F1605">
            <w:pPr>
              <w:spacing w:after="0" w:line="240" w:lineRule="auto"/>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6.2.</w:t>
            </w:r>
          </w:p>
        </w:tc>
        <w:tc>
          <w:tcPr>
            <w:tcW w:w="1616" w:type="dxa"/>
            <w:tcBorders>
              <w:top w:val="nil"/>
              <w:left w:val="nil"/>
              <w:bottom w:val="single" w:sz="4" w:space="0" w:color="auto"/>
              <w:right w:val="single" w:sz="4" w:space="0" w:color="auto"/>
            </w:tcBorders>
            <w:shd w:val="clear" w:color="auto" w:fill="auto"/>
            <w:vAlign w:val="center"/>
            <w:hideMark/>
          </w:tcPr>
          <w:p w14:paraId="101B11C1" w14:textId="77777777" w:rsidR="00344AC6" w:rsidRPr="00344AC6" w:rsidRDefault="00344AC6" w:rsidP="005F1605">
            <w:pPr>
              <w:spacing w:after="0" w:line="240" w:lineRule="auto"/>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Takus kompozitas</w:t>
            </w:r>
          </w:p>
        </w:tc>
        <w:tc>
          <w:tcPr>
            <w:tcW w:w="2778" w:type="dxa"/>
            <w:tcBorders>
              <w:top w:val="nil"/>
              <w:left w:val="nil"/>
              <w:bottom w:val="single" w:sz="4" w:space="0" w:color="auto"/>
              <w:right w:val="single" w:sz="4" w:space="0" w:color="auto"/>
            </w:tcBorders>
            <w:shd w:val="clear" w:color="auto" w:fill="auto"/>
            <w:vAlign w:val="center"/>
            <w:hideMark/>
          </w:tcPr>
          <w:p w14:paraId="7984DBA5" w14:textId="77777777" w:rsidR="00344AC6" w:rsidRPr="00344AC6" w:rsidRDefault="00344AC6" w:rsidP="005F1605">
            <w:pPr>
              <w:spacing w:after="0" w:line="240" w:lineRule="auto"/>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Universalus šviesa kietinamas rentgeno kontrastiškas takus kompozitas, skirtas tiesioginėms I</w:t>
            </w:r>
            <w:proofErr w:type="gramStart"/>
            <w:r w:rsidRPr="00344AC6">
              <w:rPr>
                <w:rFonts w:ascii="Times New Roman" w:eastAsia="Times New Roman" w:hAnsi="Times New Roman" w:cs="Times New Roman"/>
                <w:color w:val="000000"/>
                <w:sz w:val="18"/>
                <w:szCs w:val="18"/>
              </w:rPr>
              <w:t>,II,III,IV,V</w:t>
            </w:r>
            <w:proofErr w:type="gramEnd"/>
            <w:r w:rsidRPr="00344AC6">
              <w:rPr>
                <w:rFonts w:ascii="Times New Roman" w:eastAsia="Times New Roman" w:hAnsi="Times New Roman" w:cs="Times New Roman"/>
                <w:color w:val="000000"/>
                <w:sz w:val="18"/>
                <w:szCs w:val="18"/>
              </w:rPr>
              <w:t xml:space="preserve"> klasės ertmėms. Galimos spalvos:A1,A2, A3,5,B1,B3,C3,AO2,AO3,BW; CV,JE,AE. Švirkšte 3,4g. G-aenial Universal Flow arba lygiavertė Gamintojo originali pakuotė. Turi atitikti ES standartų reikalavimus. Būtinas CE sertifikatas, atitikties deklaracija su priedu konkrečiai medžiagai originalo ir lietuvių kalbomis. </w:t>
            </w:r>
          </w:p>
        </w:tc>
        <w:tc>
          <w:tcPr>
            <w:tcW w:w="1134" w:type="dxa"/>
            <w:tcBorders>
              <w:top w:val="nil"/>
              <w:left w:val="nil"/>
              <w:bottom w:val="single" w:sz="4" w:space="0" w:color="auto"/>
              <w:right w:val="single" w:sz="4" w:space="0" w:color="auto"/>
            </w:tcBorders>
            <w:shd w:val="clear" w:color="auto" w:fill="auto"/>
            <w:noWrap/>
            <w:vAlign w:val="center"/>
            <w:hideMark/>
          </w:tcPr>
          <w:p w14:paraId="78EB5488"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proofErr w:type="gramStart"/>
            <w:r w:rsidRPr="00344AC6">
              <w:rPr>
                <w:rFonts w:ascii="Times New Roman" w:eastAsia="Times New Roman" w:hAnsi="Times New Roman" w:cs="Times New Roman"/>
                <w:color w:val="000000"/>
                <w:sz w:val="18"/>
                <w:szCs w:val="18"/>
              </w:rPr>
              <w:t>vnt</w:t>
            </w:r>
            <w:proofErr w:type="gramEnd"/>
            <w:r w:rsidRPr="00344AC6">
              <w:rPr>
                <w:rFonts w:ascii="Times New Roman" w:eastAsia="Times New Roman" w:hAnsi="Times New Roman" w:cs="Times New Roman"/>
                <w:color w:val="000000"/>
                <w:sz w:val="18"/>
                <w:szCs w:val="18"/>
              </w:rPr>
              <w:t>.</w:t>
            </w:r>
          </w:p>
        </w:tc>
        <w:tc>
          <w:tcPr>
            <w:tcW w:w="880" w:type="dxa"/>
            <w:tcBorders>
              <w:top w:val="nil"/>
              <w:left w:val="nil"/>
              <w:bottom w:val="single" w:sz="4" w:space="0" w:color="auto"/>
              <w:right w:val="single" w:sz="4" w:space="0" w:color="auto"/>
            </w:tcBorders>
            <w:shd w:val="clear" w:color="auto" w:fill="auto"/>
            <w:noWrap/>
            <w:vAlign w:val="center"/>
            <w:hideMark/>
          </w:tcPr>
          <w:p w14:paraId="7716CE87"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50</w:t>
            </w:r>
          </w:p>
        </w:tc>
        <w:tc>
          <w:tcPr>
            <w:tcW w:w="980" w:type="dxa"/>
            <w:tcBorders>
              <w:top w:val="nil"/>
              <w:left w:val="nil"/>
              <w:bottom w:val="single" w:sz="4" w:space="0" w:color="auto"/>
              <w:right w:val="single" w:sz="4" w:space="0" w:color="auto"/>
            </w:tcBorders>
            <w:shd w:val="clear" w:color="auto" w:fill="auto"/>
            <w:noWrap/>
            <w:vAlign w:val="center"/>
            <w:hideMark/>
          </w:tcPr>
          <w:p w14:paraId="40FE0B40"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48,26</w:t>
            </w:r>
          </w:p>
        </w:tc>
        <w:tc>
          <w:tcPr>
            <w:tcW w:w="680" w:type="dxa"/>
            <w:tcBorders>
              <w:top w:val="nil"/>
              <w:left w:val="nil"/>
              <w:bottom w:val="single" w:sz="4" w:space="0" w:color="auto"/>
              <w:right w:val="single" w:sz="4" w:space="0" w:color="auto"/>
            </w:tcBorders>
            <w:shd w:val="clear" w:color="auto" w:fill="auto"/>
            <w:noWrap/>
            <w:vAlign w:val="center"/>
            <w:hideMark/>
          </w:tcPr>
          <w:p w14:paraId="6D0279FA"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21 %</w:t>
            </w:r>
          </w:p>
        </w:tc>
        <w:tc>
          <w:tcPr>
            <w:tcW w:w="980" w:type="dxa"/>
            <w:tcBorders>
              <w:top w:val="nil"/>
              <w:left w:val="nil"/>
              <w:bottom w:val="single" w:sz="4" w:space="0" w:color="auto"/>
              <w:right w:val="single" w:sz="4" w:space="0" w:color="auto"/>
            </w:tcBorders>
            <w:shd w:val="clear" w:color="auto" w:fill="auto"/>
            <w:noWrap/>
            <w:vAlign w:val="center"/>
            <w:hideMark/>
          </w:tcPr>
          <w:p w14:paraId="130E62F6"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58,40</w:t>
            </w:r>
          </w:p>
        </w:tc>
        <w:tc>
          <w:tcPr>
            <w:tcW w:w="1020" w:type="dxa"/>
            <w:gridSpan w:val="2"/>
            <w:tcBorders>
              <w:top w:val="nil"/>
              <w:left w:val="nil"/>
              <w:bottom w:val="single" w:sz="4" w:space="0" w:color="auto"/>
              <w:right w:val="single" w:sz="4" w:space="0" w:color="auto"/>
            </w:tcBorders>
            <w:shd w:val="clear" w:color="auto" w:fill="auto"/>
            <w:noWrap/>
            <w:vAlign w:val="center"/>
            <w:hideMark/>
          </w:tcPr>
          <w:p w14:paraId="29F723A7"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2920,00</w:t>
            </w:r>
          </w:p>
        </w:tc>
        <w:tc>
          <w:tcPr>
            <w:tcW w:w="2920" w:type="dxa"/>
            <w:gridSpan w:val="2"/>
            <w:tcBorders>
              <w:top w:val="nil"/>
              <w:left w:val="nil"/>
              <w:bottom w:val="single" w:sz="4" w:space="0" w:color="auto"/>
              <w:right w:val="single" w:sz="4" w:space="0" w:color="auto"/>
            </w:tcBorders>
            <w:shd w:val="clear" w:color="auto" w:fill="auto"/>
            <w:vAlign w:val="center"/>
            <w:hideMark/>
          </w:tcPr>
          <w:p w14:paraId="091F7E8F"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G-aenial Universal Flo, gamintojas GC, pakuotėje 3,4g, naudojimo instrukcija 6.2 pirkimo dalis</w:t>
            </w:r>
          </w:p>
        </w:tc>
      </w:tr>
      <w:tr w:rsidR="00344AC6" w:rsidRPr="00344AC6" w14:paraId="23E0DDC4" w14:textId="77777777" w:rsidTr="005F1605">
        <w:trPr>
          <w:trHeight w:val="1103"/>
        </w:trPr>
        <w:tc>
          <w:tcPr>
            <w:tcW w:w="1838" w:type="dxa"/>
            <w:tcBorders>
              <w:top w:val="nil"/>
              <w:left w:val="single" w:sz="4" w:space="0" w:color="auto"/>
              <w:bottom w:val="single" w:sz="4" w:space="0" w:color="auto"/>
              <w:right w:val="single" w:sz="4" w:space="0" w:color="auto"/>
            </w:tcBorders>
            <w:shd w:val="clear" w:color="auto" w:fill="auto"/>
            <w:noWrap/>
            <w:vAlign w:val="center"/>
            <w:hideMark/>
          </w:tcPr>
          <w:p w14:paraId="74E3BE5A" w14:textId="77777777" w:rsidR="00344AC6" w:rsidRPr="00344AC6" w:rsidRDefault="00344AC6" w:rsidP="005F1605">
            <w:pPr>
              <w:spacing w:after="0" w:line="240" w:lineRule="auto"/>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6.3.</w:t>
            </w:r>
          </w:p>
        </w:tc>
        <w:tc>
          <w:tcPr>
            <w:tcW w:w="1616" w:type="dxa"/>
            <w:tcBorders>
              <w:top w:val="nil"/>
              <w:left w:val="nil"/>
              <w:bottom w:val="single" w:sz="4" w:space="0" w:color="auto"/>
              <w:right w:val="single" w:sz="4" w:space="0" w:color="auto"/>
            </w:tcBorders>
            <w:shd w:val="clear" w:color="auto" w:fill="auto"/>
            <w:vAlign w:val="center"/>
            <w:hideMark/>
          </w:tcPr>
          <w:p w14:paraId="600A6D9E" w14:textId="77777777" w:rsidR="00344AC6" w:rsidRPr="00344AC6" w:rsidRDefault="00344AC6" w:rsidP="005F1605">
            <w:pPr>
              <w:spacing w:after="0" w:line="240" w:lineRule="auto"/>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Takus kompozitas</w:t>
            </w:r>
          </w:p>
        </w:tc>
        <w:tc>
          <w:tcPr>
            <w:tcW w:w="2778" w:type="dxa"/>
            <w:tcBorders>
              <w:top w:val="nil"/>
              <w:left w:val="nil"/>
              <w:bottom w:val="single" w:sz="4" w:space="0" w:color="auto"/>
              <w:right w:val="single" w:sz="4" w:space="0" w:color="auto"/>
            </w:tcBorders>
            <w:shd w:val="clear" w:color="auto" w:fill="auto"/>
            <w:vAlign w:val="center"/>
            <w:hideMark/>
          </w:tcPr>
          <w:p w14:paraId="0B1C2809" w14:textId="77777777" w:rsidR="00344AC6" w:rsidRPr="00344AC6" w:rsidRDefault="00344AC6" w:rsidP="005F1605">
            <w:pPr>
              <w:spacing w:after="0" w:line="240" w:lineRule="auto"/>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 xml:space="preserve">Trumpu pluoštu sustiprintas takus kompozitas dentino atstatymui, spalva-Dentin arba Bulk, švirkštas po 2ml-3,7g, EverX flow ar lygiavertis. Gamintojo originali pakuotė. Turi atitikti ES standartų </w:t>
            </w:r>
            <w:r w:rsidRPr="00344AC6">
              <w:rPr>
                <w:rFonts w:ascii="Times New Roman" w:eastAsia="Times New Roman" w:hAnsi="Times New Roman" w:cs="Times New Roman"/>
                <w:color w:val="000000"/>
                <w:sz w:val="18"/>
                <w:szCs w:val="18"/>
              </w:rPr>
              <w:lastRenderedPageBreak/>
              <w:t>reikalavimus. Būtinas CE sertifikatas, atitikties deklaracija su priedu konkrečiai medžiagai originalo ir lietuvių kalbomis.</w:t>
            </w:r>
          </w:p>
        </w:tc>
        <w:tc>
          <w:tcPr>
            <w:tcW w:w="1134" w:type="dxa"/>
            <w:tcBorders>
              <w:top w:val="nil"/>
              <w:left w:val="nil"/>
              <w:bottom w:val="single" w:sz="4" w:space="0" w:color="auto"/>
              <w:right w:val="single" w:sz="4" w:space="0" w:color="auto"/>
            </w:tcBorders>
            <w:shd w:val="clear" w:color="auto" w:fill="auto"/>
            <w:noWrap/>
            <w:vAlign w:val="center"/>
            <w:hideMark/>
          </w:tcPr>
          <w:p w14:paraId="52388862"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lastRenderedPageBreak/>
              <w:t>vnt</w:t>
            </w:r>
          </w:p>
        </w:tc>
        <w:tc>
          <w:tcPr>
            <w:tcW w:w="880" w:type="dxa"/>
            <w:tcBorders>
              <w:top w:val="nil"/>
              <w:left w:val="nil"/>
              <w:bottom w:val="single" w:sz="4" w:space="0" w:color="auto"/>
              <w:right w:val="single" w:sz="4" w:space="0" w:color="auto"/>
            </w:tcBorders>
            <w:shd w:val="clear" w:color="auto" w:fill="auto"/>
            <w:noWrap/>
            <w:vAlign w:val="center"/>
            <w:hideMark/>
          </w:tcPr>
          <w:p w14:paraId="5DD4EA65"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10</w:t>
            </w:r>
          </w:p>
        </w:tc>
        <w:tc>
          <w:tcPr>
            <w:tcW w:w="980" w:type="dxa"/>
            <w:tcBorders>
              <w:top w:val="nil"/>
              <w:left w:val="nil"/>
              <w:bottom w:val="single" w:sz="4" w:space="0" w:color="auto"/>
              <w:right w:val="single" w:sz="4" w:space="0" w:color="auto"/>
            </w:tcBorders>
            <w:shd w:val="clear" w:color="auto" w:fill="auto"/>
            <w:noWrap/>
            <w:vAlign w:val="center"/>
            <w:hideMark/>
          </w:tcPr>
          <w:p w14:paraId="4C3119E1"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41,39</w:t>
            </w:r>
          </w:p>
        </w:tc>
        <w:tc>
          <w:tcPr>
            <w:tcW w:w="680" w:type="dxa"/>
            <w:tcBorders>
              <w:top w:val="nil"/>
              <w:left w:val="nil"/>
              <w:bottom w:val="single" w:sz="4" w:space="0" w:color="auto"/>
              <w:right w:val="single" w:sz="4" w:space="0" w:color="auto"/>
            </w:tcBorders>
            <w:shd w:val="clear" w:color="auto" w:fill="auto"/>
            <w:noWrap/>
            <w:vAlign w:val="center"/>
            <w:hideMark/>
          </w:tcPr>
          <w:p w14:paraId="12BAA9E1"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21 %</w:t>
            </w:r>
          </w:p>
        </w:tc>
        <w:tc>
          <w:tcPr>
            <w:tcW w:w="980" w:type="dxa"/>
            <w:tcBorders>
              <w:top w:val="nil"/>
              <w:left w:val="nil"/>
              <w:bottom w:val="single" w:sz="4" w:space="0" w:color="auto"/>
              <w:right w:val="single" w:sz="4" w:space="0" w:color="auto"/>
            </w:tcBorders>
            <w:shd w:val="clear" w:color="auto" w:fill="auto"/>
            <w:noWrap/>
            <w:vAlign w:val="center"/>
            <w:hideMark/>
          </w:tcPr>
          <w:p w14:paraId="1E13C7C0"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50,08</w:t>
            </w:r>
          </w:p>
        </w:tc>
        <w:tc>
          <w:tcPr>
            <w:tcW w:w="1020" w:type="dxa"/>
            <w:gridSpan w:val="2"/>
            <w:tcBorders>
              <w:top w:val="nil"/>
              <w:left w:val="nil"/>
              <w:bottom w:val="single" w:sz="4" w:space="0" w:color="auto"/>
              <w:right w:val="single" w:sz="4" w:space="0" w:color="auto"/>
            </w:tcBorders>
            <w:shd w:val="clear" w:color="auto" w:fill="auto"/>
            <w:noWrap/>
            <w:vAlign w:val="center"/>
            <w:hideMark/>
          </w:tcPr>
          <w:p w14:paraId="77E2CE43"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500,80</w:t>
            </w:r>
          </w:p>
        </w:tc>
        <w:tc>
          <w:tcPr>
            <w:tcW w:w="2920" w:type="dxa"/>
            <w:gridSpan w:val="2"/>
            <w:tcBorders>
              <w:top w:val="nil"/>
              <w:left w:val="nil"/>
              <w:bottom w:val="single" w:sz="4" w:space="0" w:color="auto"/>
              <w:right w:val="single" w:sz="4" w:space="0" w:color="auto"/>
            </w:tcBorders>
            <w:shd w:val="clear" w:color="auto" w:fill="auto"/>
            <w:vAlign w:val="center"/>
            <w:hideMark/>
          </w:tcPr>
          <w:p w14:paraId="530FE569"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Everx Flow, gamintojas GC, pakuotėje 3,7g. Naudojimo instrukcija 6.3 pirkimo dalis</w:t>
            </w:r>
          </w:p>
        </w:tc>
      </w:tr>
      <w:tr w:rsidR="00344AC6" w:rsidRPr="00344AC6" w14:paraId="5BA11A39" w14:textId="77777777" w:rsidTr="005F1605">
        <w:trPr>
          <w:trHeight w:val="1572"/>
        </w:trPr>
        <w:tc>
          <w:tcPr>
            <w:tcW w:w="1838" w:type="dxa"/>
            <w:tcBorders>
              <w:top w:val="nil"/>
              <w:left w:val="single" w:sz="4" w:space="0" w:color="auto"/>
              <w:bottom w:val="single" w:sz="4" w:space="0" w:color="auto"/>
              <w:right w:val="single" w:sz="4" w:space="0" w:color="auto"/>
            </w:tcBorders>
            <w:shd w:val="clear" w:color="auto" w:fill="auto"/>
            <w:noWrap/>
            <w:vAlign w:val="center"/>
            <w:hideMark/>
          </w:tcPr>
          <w:p w14:paraId="04A85BE8" w14:textId="77777777" w:rsidR="00344AC6" w:rsidRPr="00344AC6" w:rsidRDefault="00344AC6" w:rsidP="005F1605">
            <w:pPr>
              <w:spacing w:after="0" w:line="240" w:lineRule="auto"/>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lastRenderedPageBreak/>
              <w:t>6.4.</w:t>
            </w:r>
          </w:p>
        </w:tc>
        <w:tc>
          <w:tcPr>
            <w:tcW w:w="1616" w:type="dxa"/>
            <w:tcBorders>
              <w:top w:val="nil"/>
              <w:left w:val="nil"/>
              <w:bottom w:val="single" w:sz="4" w:space="0" w:color="auto"/>
              <w:right w:val="single" w:sz="4" w:space="0" w:color="auto"/>
            </w:tcBorders>
            <w:shd w:val="clear" w:color="auto" w:fill="auto"/>
            <w:vAlign w:val="center"/>
            <w:hideMark/>
          </w:tcPr>
          <w:p w14:paraId="49DA937F" w14:textId="77777777" w:rsidR="00344AC6" w:rsidRPr="00344AC6" w:rsidRDefault="00344AC6" w:rsidP="005F1605">
            <w:pPr>
              <w:spacing w:after="0" w:line="240" w:lineRule="auto"/>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Omnichromatinis takus kompozitas</w:t>
            </w:r>
          </w:p>
        </w:tc>
        <w:tc>
          <w:tcPr>
            <w:tcW w:w="2778" w:type="dxa"/>
            <w:tcBorders>
              <w:top w:val="nil"/>
              <w:left w:val="nil"/>
              <w:bottom w:val="single" w:sz="4" w:space="0" w:color="auto"/>
              <w:right w:val="single" w:sz="4" w:space="0" w:color="auto"/>
            </w:tcBorders>
            <w:shd w:val="clear" w:color="auto" w:fill="auto"/>
            <w:vAlign w:val="center"/>
            <w:hideMark/>
          </w:tcPr>
          <w:p w14:paraId="61593C29" w14:textId="77777777" w:rsidR="00344AC6" w:rsidRPr="00344AC6" w:rsidRDefault="00344AC6" w:rsidP="005F1605">
            <w:pPr>
              <w:spacing w:after="0" w:line="240" w:lineRule="auto"/>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universali, vieno atspalvio plomba,savaime prisitaikanti prie danties paviršiaus, sudėtyje neturi Bis-GMA dervos, Bisfenolio A monomero, puikiai tinka krūminių ir priekinių dantų plombavimui, kaip pamušalas, kompozitų ir keramikos pataisoms. Kompozitas tinkantis nuo A1-D4 bei balintų dantų restauracijoms. Švirkštai po 3 g. Gamintojo originali pakuotė. Turi atitikti ES standartų reikalavimus. Būtinas CE sertifikatas, atitikties deklaracija su priedu konkrečiai medžiagai originalo ir lietuvių kalbomis.</w:t>
            </w:r>
          </w:p>
        </w:tc>
        <w:tc>
          <w:tcPr>
            <w:tcW w:w="1134" w:type="dxa"/>
            <w:tcBorders>
              <w:top w:val="nil"/>
              <w:left w:val="nil"/>
              <w:bottom w:val="single" w:sz="4" w:space="0" w:color="auto"/>
              <w:right w:val="single" w:sz="4" w:space="0" w:color="auto"/>
            </w:tcBorders>
            <w:shd w:val="clear" w:color="auto" w:fill="auto"/>
            <w:noWrap/>
            <w:vAlign w:val="center"/>
            <w:hideMark/>
          </w:tcPr>
          <w:p w14:paraId="3765E69C"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vnt</w:t>
            </w:r>
          </w:p>
        </w:tc>
        <w:tc>
          <w:tcPr>
            <w:tcW w:w="880" w:type="dxa"/>
            <w:tcBorders>
              <w:top w:val="nil"/>
              <w:left w:val="nil"/>
              <w:bottom w:val="single" w:sz="4" w:space="0" w:color="auto"/>
              <w:right w:val="single" w:sz="4" w:space="0" w:color="auto"/>
            </w:tcBorders>
            <w:shd w:val="clear" w:color="auto" w:fill="auto"/>
            <w:noWrap/>
            <w:vAlign w:val="center"/>
            <w:hideMark/>
          </w:tcPr>
          <w:p w14:paraId="5B4CAFDC"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2</w:t>
            </w:r>
          </w:p>
        </w:tc>
        <w:tc>
          <w:tcPr>
            <w:tcW w:w="980" w:type="dxa"/>
            <w:tcBorders>
              <w:top w:val="nil"/>
              <w:left w:val="nil"/>
              <w:bottom w:val="single" w:sz="4" w:space="0" w:color="auto"/>
              <w:right w:val="single" w:sz="4" w:space="0" w:color="auto"/>
            </w:tcBorders>
            <w:shd w:val="clear" w:color="auto" w:fill="auto"/>
            <w:noWrap/>
            <w:vAlign w:val="center"/>
            <w:hideMark/>
          </w:tcPr>
          <w:p w14:paraId="280365D0"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22,81</w:t>
            </w:r>
          </w:p>
        </w:tc>
        <w:tc>
          <w:tcPr>
            <w:tcW w:w="680" w:type="dxa"/>
            <w:tcBorders>
              <w:top w:val="nil"/>
              <w:left w:val="nil"/>
              <w:bottom w:val="single" w:sz="4" w:space="0" w:color="auto"/>
              <w:right w:val="single" w:sz="4" w:space="0" w:color="auto"/>
            </w:tcBorders>
            <w:shd w:val="clear" w:color="auto" w:fill="auto"/>
            <w:noWrap/>
            <w:vAlign w:val="center"/>
            <w:hideMark/>
          </w:tcPr>
          <w:p w14:paraId="25659CB4"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21 %</w:t>
            </w:r>
          </w:p>
        </w:tc>
        <w:tc>
          <w:tcPr>
            <w:tcW w:w="980" w:type="dxa"/>
            <w:tcBorders>
              <w:top w:val="nil"/>
              <w:left w:val="nil"/>
              <w:bottom w:val="single" w:sz="4" w:space="0" w:color="auto"/>
              <w:right w:val="single" w:sz="4" w:space="0" w:color="auto"/>
            </w:tcBorders>
            <w:shd w:val="clear" w:color="auto" w:fill="auto"/>
            <w:noWrap/>
            <w:vAlign w:val="center"/>
            <w:hideMark/>
          </w:tcPr>
          <w:p w14:paraId="46396B73"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27,60</w:t>
            </w:r>
          </w:p>
        </w:tc>
        <w:tc>
          <w:tcPr>
            <w:tcW w:w="1020" w:type="dxa"/>
            <w:gridSpan w:val="2"/>
            <w:tcBorders>
              <w:top w:val="nil"/>
              <w:left w:val="nil"/>
              <w:bottom w:val="single" w:sz="4" w:space="0" w:color="auto"/>
              <w:right w:val="single" w:sz="4" w:space="0" w:color="auto"/>
            </w:tcBorders>
            <w:shd w:val="clear" w:color="auto" w:fill="auto"/>
            <w:noWrap/>
            <w:vAlign w:val="center"/>
            <w:hideMark/>
          </w:tcPr>
          <w:p w14:paraId="23DBEE40"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55,20</w:t>
            </w:r>
          </w:p>
        </w:tc>
        <w:tc>
          <w:tcPr>
            <w:tcW w:w="2920" w:type="dxa"/>
            <w:gridSpan w:val="2"/>
            <w:tcBorders>
              <w:top w:val="nil"/>
              <w:left w:val="nil"/>
              <w:bottom w:val="single" w:sz="4" w:space="0" w:color="auto"/>
              <w:right w:val="single" w:sz="4" w:space="0" w:color="auto"/>
            </w:tcBorders>
            <w:shd w:val="clear" w:color="auto" w:fill="auto"/>
            <w:vAlign w:val="center"/>
            <w:hideMark/>
          </w:tcPr>
          <w:p w14:paraId="474FCE10"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Omnichroma Flow, gamintojas Tokuyama, pakuotėje 3g. Naudojimo instrukcija 6.4 pirkimo dalis</w:t>
            </w:r>
          </w:p>
        </w:tc>
      </w:tr>
      <w:tr w:rsidR="00344AC6" w:rsidRPr="00344AC6" w14:paraId="4CCFD01F" w14:textId="77777777" w:rsidTr="005F1605">
        <w:trPr>
          <w:trHeight w:val="1530"/>
        </w:trPr>
        <w:tc>
          <w:tcPr>
            <w:tcW w:w="1838" w:type="dxa"/>
            <w:tcBorders>
              <w:top w:val="nil"/>
              <w:left w:val="single" w:sz="4" w:space="0" w:color="auto"/>
              <w:bottom w:val="single" w:sz="4" w:space="0" w:color="auto"/>
              <w:right w:val="single" w:sz="4" w:space="0" w:color="auto"/>
            </w:tcBorders>
            <w:shd w:val="clear" w:color="auto" w:fill="auto"/>
            <w:noWrap/>
            <w:vAlign w:val="center"/>
            <w:hideMark/>
          </w:tcPr>
          <w:p w14:paraId="4E77D173" w14:textId="77777777" w:rsidR="00344AC6" w:rsidRPr="00344AC6" w:rsidRDefault="00344AC6" w:rsidP="005F1605">
            <w:pPr>
              <w:spacing w:after="0" w:line="240" w:lineRule="auto"/>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6.5.</w:t>
            </w:r>
          </w:p>
        </w:tc>
        <w:tc>
          <w:tcPr>
            <w:tcW w:w="1616" w:type="dxa"/>
            <w:tcBorders>
              <w:top w:val="nil"/>
              <w:left w:val="nil"/>
              <w:bottom w:val="single" w:sz="4" w:space="0" w:color="auto"/>
              <w:right w:val="single" w:sz="4" w:space="0" w:color="auto"/>
            </w:tcBorders>
            <w:shd w:val="clear" w:color="auto" w:fill="auto"/>
            <w:vAlign w:val="center"/>
            <w:hideMark/>
          </w:tcPr>
          <w:p w14:paraId="65AB1353" w14:textId="77777777" w:rsidR="00344AC6" w:rsidRPr="00344AC6" w:rsidRDefault="00344AC6" w:rsidP="005F1605">
            <w:pPr>
              <w:spacing w:after="0" w:line="240" w:lineRule="auto"/>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Šviesoje kietėjančios kompozitinės plombos</w:t>
            </w:r>
          </w:p>
        </w:tc>
        <w:tc>
          <w:tcPr>
            <w:tcW w:w="2778" w:type="dxa"/>
            <w:tcBorders>
              <w:top w:val="nil"/>
              <w:left w:val="nil"/>
              <w:bottom w:val="single" w:sz="4" w:space="0" w:color="auto"/>
              <w:right w:val="single" w:sz="4" w:space="0" w:color="auto"/>
            </w:tcBorders>
            <w:shd w:val="clear" w:color="auto" w:fill="auto"/>
            <w:vAlign w:val="center"/>
            <w:hideMark/>
          </w:tcPr>
          <w:p w14:paraId="6F113C3A" w14:textId="77777777" w:rsidR="00344AC6" w:rsidRPr="00344AC6" w:rsidRDefault="00344AC6" w:rsidP="005F1605">
            <w:pPr>
              <w:spacing w:after="0" w:line="240" w:lineRule="auto"/>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Šviesoje kietėjanti, rentgenokontrastiška, turinti "chameleono efektą" plombinė medžiaga, tinkanti ypatingos estetikos restauracijoms priekiniams ir krūminiams dantims</w:t>
            </w:r>
            <w:proofErr w:type="gramStart"/>
            <w:r w:rsidRPr="00344AC6">
              <w:rPr>
                <w:rFonts w:ascii="Times New Roman" w:eastAsia="Times New Roman" w:hAnsi="Times New Roman" w:cs="Times New Roman"/>
                <w:color w:val="000000"/>
                <w:sz w:val="18"/>
                <w:szCs w:val="18"/>
              </w:rPr>
              <w:t>,  švirkštai</w:t>
            </w:r>
            <w:proofErr w:type="gramEnd"/>
            <w:r w:rsidRPr="00344AC6">
              <w:rPr>
                <w:rFonts w:ascii="Times New Roman" w:eastAsia="Times New Roman" w:hAnsi="Times New Roman" w:cs="Times New Roman"/>
                <w:color w:val="000000"/>
                <w:sz w:val="18"/>
                <w:szCs w:val="18"/>
              </w:rPr>
              <w:t xml:space="preserve"> po 2,7 ml skirtingų atspalvių, spalvų raktas. G-aenial arba lygiavertė.  Gamintojo originalioje pakuotėje. Turi atitikti ES standartų reikalavimus. Būtinas CE sertifikatas, atitikties deklaracija su priedu konkrečiai medžiagai originalo ir lietuvių kalbomis.</w:t>
            </w:r>
          </w:p>
        </w:tc>
        <w:tc>
          <w:tcPr>
            <w:tcW w:w="1134" w:type="dxa"/>
            <w:tcBorders>
              <w:top w:val="nil"/>
              <w:left w:val="nil"/>
              <w:bottom w:val="single" w:sz="4" w:space="0" w:color="auto"/>
              <w:right w:val="single" w:sz="4" w:space="0" w:color="auto"/>
            </w:tcBorders>
            <w:shd w:val="clear" w:color="auto" w:fill="auto"/>
            <w:noWrap/>
            <w:vAlign w:val="center"/>
            <w:hideMark/>
          </w:tcPr>
          <w:p w14:paraId="03407E8D"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vnt</w:t>
            </w:r>
          </w:p>
        </w:tc>
        <w:tc>
          <w:tcPr>
            <w:tcW w:w="880" w:type="dxa"/>
            <w:tcBorders>
              <w:top w:val="nil"/>
              <w:left w:val="nil"/>
              <w:bottom w:val="single" w:sz="4" w:space="0" w:color="auto"/>
              <w:right w:val="single" w:sz="4" w:space="0" w:color="auto"/>
            </w:tcBorders>
            <w:shd w:val="clear" w:color="auto" w:fill="auto"/>
            <w:noWrap/>
            <w:vAlign w:val="center"/>
            <w:hideMark/>
          </w:tcPr>
          <w:p w14:paraId="5C4395E7"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100</w:t>
            </w:r>
          </w:p>
        </w:tc>
        <w:tc>
          <w:tcPr>
            <w:tcW w:w="980" w:type="dxa"/>
            <w:tcBorders>
              <w:top w:val="nil"/>
              <w:left w:val="nil"/>
              <w:bottom w:val="single" w:sz="4" w:space="0" w:color="auto"/>
              <w:right w:val="single" w:sz="4" w:space="0" w:color="auto"/>
            </w:tcBorders>
            <w:shd w:val="clear" w:color="auto" w:fill="auto"/>
            <w:noWrap/>
            <w:vAlign w:val="center"/>
            <w:hideMark/>
          </w:tcPr>
          <w:p w14:paraId="27DA9EFB"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46,50</w:t>
            </w:r>
          </w:p>
        </w:tc>
        <w:tc>
          <w:tcPr>
            <w:tcW w:w="680" w:type="dxa"/>
            <w:tcBorders>
              <w:top w:val="nil"/>
              <w:left w:val="nil"/>
              <w:bottom w:val="single" w:sz="4" w:space="0" w:color="auto"/>
              <w:right w:val="single" w:sz="4" w:space="0" w:color="auto"/>
            </w:tcBorders>
            <w:shd w:val="clear" w:color="auto" w:fill="auto"/>
            <w:noWrap/>
            <w:vAlign w:val="center"/>
            <w:hideMark/>
          </w:tcPr>
          <w:p w14:paraId="0911C86C"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21 %</w:t>
            </w:r>
          </w:p>
        </w:tc>
        <w:tc>
          <w:tcPr>
            <w:tcW w:w="980" w:type="dxa"/>
            <w:tcBorders>
              <w:top w:val="nil"/>
              <w:left w:val="nil"/>
              <w:bottom w:val="single" w:sz="4" w:space="0" w:color="auto"/>
              <w:right w:val="single" w:sz="4" w:space="0" w:color="auto"/>
            </w:tcBorders>
            <w:shd w:val="clear" w:color="auto" w:fill="auto"/>
            <w:noWrap/>
            <w:vAlign w:val="center"/>
            <w:hideMark/>
          </w:tcPr>
          <w:p w14:paraId="0A42846B"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56,26</w:t>
            </w:r>
          </w:p>
        </w:tc>
        <w:tc>
          <w:tcPr>
            <w:tcW w:w="1020" w:type="dxa"/>
            <w:gridSpan w:val="2"/>
            <w:tcBorders>
              <w:top w:val="nil"/>
              <w:left w:val="nil"/>
              <w:bottom w:val="single" w:sz="4" w:space="0" w:color="auto"/>
              <w:right w:val="single" w:sz="4" w:space="0" w:color="auto"/>
            </w:tcBorders>
            <w:shd w:val="clear" w:color="auto" w:fill="auto"/>
            <w:noWrap/>
            <w:vAlign w:val="center"/>
            <w:hideMark/>
          </w:tcPr>
          <w:p w14:paraId="34DEC4A7"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5626,00</w:t>
            </w:r>
          </w:p>
        </w:tc>
        <w:tc>
          <w:tcPr>
            <w:tcW w:w="2920" w:type="dxa"/>
            <w:gridSpan w:val="2"/>
            <w:tcBorders>
              <w:top w:val="nil"/>
              <w:left w:val="nil"/>
              <w:bottom w:val="single" w:sz="4" w:space="0" w:color="auto"/>
              <w:right w:val="single" w:sz="4" w:space="0" w:color="auto"/>
            </w:tcBorders>
            <w:shd w:val="clear" w:color="auto" w:fill="auto"/>
            <w:vAlign w:val="center"/>
            <w:hideMark/>
          </w:tcPr>
          <w:p w14:paraId="612B14F4"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G-aenial, gamintojas GC, pakuotėje po 2,7 ml. Naudojimo instrukcija 6.5 pirkimo dalis</w:t>
            </w:r>
          </w:p>
        </w:tc>
      </w:tr>
      <w:tr w:rsidR="00344AC6" w:rsidRPr="00344AC6" w14:paraId="02D0C8AA" w14:textId="77777777" w:rsidTr="005F1605">
        <w:trPr>
          <w:trHeight w:val="1275"/>
        </w:trPr>
        <w:tc>
          <w:tcPr>
            <w:tcW w:w="1838" w:type="dxa"/>
            <w:tcBorders>
              <w:top w:val="nil"/>
              <w:left w:val="single" w:sz="4" w:space="0" w:color="auto"/>
              <w:bottom w:val="single" w:sz="4" w:space="0" w:color="auto"/>
              <w:right w:val="single" w:sz="4" w:space="0" w:color="auto"/>
            </w:tcBorders>
            <w:shd w:val="clear" w:color="auto" w:fill="auto"/>
            <w:noWrap/>
            <w:vAlign w:val="center"/>
            <w:hideMark/>
          </w:tcPr>
          <w:p w14:paraId="5B701C49" w14:textId="77777777" w:rsidR="00344AC6" w:rsidRPr="00344AC6" w:rsidRDefault="00344AC6" w:rsidP="005F1605">
            <w:pPr>
              <w:spacing w:after="0" w:line="240" w:lineRule="auto"/>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6.6.</w:t>
            </w:r>
          </w:p>
        </w:tc>
        <w:tc>
          <w:tcPr>
            <w:tcW w:w="1616" w:type="dxa"/>
            <w:tcBorders>
              <w:top w:val="nil"/>
              <w:left w:val="nil"/>
              <w:bottom w:val="single" w:sz="4" w:space="0" w:color="auto"/>
              <w:right w:val="single" w:sz="4" w:space="0" w:color="auto"/>
            </w:tcBorders>
            <w:shd w:val="clear" w:color="auto" w:fill="auto"/>
            <w:vAlign w:val="center"/>
            <w:hideMark/>
          </w:tcPr>
          <w:p w14:paraId="76FA135A" w14:textId="77777777" w:rsidR="00344AC6" w:rsidRPr="00344AC6" w:rsidRDefault="00344AC6" w:rsidP="005F1605">
            <w:pPr>
              <w:spacing w:after="0" w:line="240" w:lineRule="auto"/>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Kompozitinė plombinė medžiaga polimerizuojama šviesa</w:t>
            </w:r>
          </w:p>
        </w:tc>
        <w:tc>
          <w:tcPr>
            <w:tcW w:w="2778" w:type="dxa"/>
            <w:tcBorders>
              <w:top w:val="nil"/>
              <w:left w:val="nil"/>
              <w:bottom w:val="single" w:sz="4" w:space="0" w:color="auto"/>
              <w:right w:val="single" w:sz="4" w:space="0" w:color="auto"/>
            </w:tcBorders>
            <w:shd w:val="clear" w:color="auto" w:fill="auto"/>
            <w:vAlign w:val="center"/>
            <w:hideMark/>
          </w:tcPr>
          <w:p w14:paraId="72C5670B" w14:textId="77777777" w:rsidR="00344AC6" w:rsidRPr="00344AC6" w:rsidRDefault="00344AC6" w:rsidP="005F1605">
            <w:pPr>
              <w:spacing w:after="0" w:line="240" w:lineRule="auto"/>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 xml:space="preserve">Šviesoje kietėjanti universali kompomerinė plombinė medžiaga (Dyract arba lygiavertė). Pakuotės dydis ne </w:t>
            </w:r>
            <w:proofErr w:type="gramStart"/>
            <w:r w:rsidRPr="00344AC6">
              <w:rPr>
                <w:rFonts w:ascii="Times New Roman" w:eastAsia="Times New Roman" w:hAnsi="Times New Roman" w:cs="Times New Roman"/>
                <w:color w:val="000000"/>
                <w:sz w:val="18"/>
                <w:szCs w:val="18"/>
              </w:rPr>
              <w:t>mažiau  5g</w:t>
            </w:r>
            <w:proofErr w:type="gramEnd"/>
            <w:r w:rsidRPr="00344AC6">
              <w:rPr>
                <w:rFonts w:ascii="Times New Roman" w:eastAsia="Times New Roman" w:hAnsi="Times New Roman" w:cs="Times New Roman"/>
                <w:color w:val="000000"/>
                <w:sz w:val="18"/>
                <w:szCs w:val="18"/>
              </w:rPr>
              <w:t xml:space="preserve"> plombinės medžiagos (20 kapsulių po 0,25g).Galimos spalvos A2, A3, A3,5, A4, B1,C2. Gamintojo originali pakuotė. Turi atitikti ES standartų reikalavimus. Būtinas CE sertifikatas, atitikties deklaracija su </w:t>
            </w:r>
            <w:r w:rsidRPr="00344AC6">
              <w:rPr>
                <w:rFonts w:ascii="Times New Roman" w:eastAsia="Times New Roman" w:hAnsi="Times New Roman" w:cs="Times New Roman"/>
                <w:color w:val="000000"/>
                <w:sz w:val="18"/>
                <w:szCs w:val="18"/>
              </w:rPr>
              <w:lastRenderedPageBreak/>
              <w:t>priedu konkrečiai medžiagai originalo ir lietuvių kalbomis.</w:t>
            </w:r>
          </w:p>
        </w:tc>
        <w:tc>
          <w:tcPr>
            <w:tcW w:w="1134" w:type="dxa"/>
            <w:tcBorders>
              <w:top w:val="nil"/>
              <w:left w:val="nil"/>
              <w:bottom w:val="single" w:sz="4" w:space="0" w:color="auto"/>
              <w:right w:val="single" w:sz="4" w:space="0" w:color="auto"/>
            </w:tcBorders>
            <w:shd w:val="clear" w:color="auto" w:fill="auto"/>
            <w:noWrap/>
            <w:vAlign w:val="center"/>
            <w:hideMark/>
          </w:tcPr>
          <w:p w14:paraId="1A0EFADF"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proofErr w:type="gramStart"/>
            <w:r w:rsidRPr="00344AC6">
              <w:rPr>
                <w:rFonts w:ascii="Times New Roman" w:eastAsia="Times New Roman" w:hAnsi="Times New Roman" w:cs="Times New Roman"/>
                <w:color w:val="000000"/>
                <w:sz w:val="18"/>
                <w:szCs w:val="18"/>
              </w:rPr>
              <w:lastRenderedPageBreak/>
              <w:t>dėž</w:t>
            </w:r>
            <w:proofErr w:type="gramEnd"/>
            <w:r w:rsidRPr="00344AC6">
              <w:rPr>
                <w:rFonts w:ascii="Times New Roman" w:eastAsia="Times New Roman" w:hAnsi="Times New Roman" w:cs="Times New Roman"/>
                <w:color w:val="000000"/>
                <w:sz w:val="18"/>
                <w:szCs w:val="18"/>
              </w:rPr>
              <w:t>.</w:t>
            </w:r>
          </w:p>
        </w:tc>
        <w:tc>
          <w:tcPr>
            <w:tcW w:w="880" w:type="dxa"/>
            <w:tcBorders>
              <w:top w:val="nil"/>
              <w:left w:val="nil"/>
              <w:bottom w:val="single" w:sz="4" w:space="0" w:color="auto"/>
              <w:right w:val="single" w:sz="4" w:space="0" w:color="auto"/>
            </w:tcBorders>
            <w:shd w:val="clear" w:color="auto" w:fill="auto"/>
            <w:noWrap/>
            <w:vAlign w:val="center"/>
            <w:hideMark/>
          </w:tcPr>
          <w:p w14:paraId="4BBB09D0"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5</w:t>
            </w:r>
          </w:p>
        </w:tc>
        <w:tc>
          <w:tcPr>
            <w:tcW w:w="980" w:type="dxa"/>
            <w:tcBorders>
              <w:top w:val="nil"/>
              <w:left w:val="nil"/>
              <w:bottom w:val="single" w:sz="4" w:space="0" w:color="auto"/>
              <w:right w:val="single" w:sz="4" w:space="0" w:color="auto"/>
            </w:tcBorders>
            <w:shd w:val="clear" w:color="auto" w:fill="auto"/>
            <w:noWrap/>
            <w:vAlign w:val="center"/>
            <w:hideMark/>
          </w:tcPr>
          <w:p w14:paraId="6174515E"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66,41</w:t>
            </w:r>
          </w:p>
        </w:tc>
        <w:tc>
          <w:tcPr>
            <w:tcW w:w="680" w:type="dxa"/>
            <w:tcBorders>
              <w:top w:val="nil"/>
              <w:left w:val="nil"/>
              <w:bottom w:val="single" w:sz="4" w:space="0" w:color="auto"/>
              <w:right w:val="single" w:sz="4" w:space="0" w:color="auto"/>
            </w:tcBorders>
            <w:shd w:val="clear" w:color="auto" w:fill="auto"/>
            <w:noWrap/>
            <w:vAlign w:val="center"/>
            <w:hideMark/>
          </w:tcPr>
          <w:p w14:paraId="46627710"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5 %</w:t>
            </w:r>
          </w:p>
        </w:tc>
        <w:tc>
          <w:tcPr>
            <w:tcW w:w="980" w:type="dxa"/>
            <w:tcBorders>
              <w:top w:val="nil"/>
              <w:left w:val="nil"/>
              <w:bottom w:val="single" w:sz="4" w:space="0" w:color="auto"/>
              <w:right w:val="single" w:sz="4" w:space="0" w:color="auto"/>
            </w:tcBorders>
            <w:shd w:val="clear" w:color="auto" w:fill="auto"/>
            <w:noWrap/>
            <w:vAlign w:val="center"/>
            <w:hideMark/>
          </w:tcPr>
          <w:p w14:paraId="4A7E7A94"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69,90</w:t>
            </w:r>
          </w:p>
        </w:tc>
        <w:tc>
          <w:tcPr>
            <w:tcW w:w="1020" w:type="dxa"/>
            <w:gridSpan w:val="2"/>
            <w:tcBorders>
              <w:top w:val="nil"/>
              <w:left w:val="nil"/>
              <w:bottom w:val="single" w:sz="4" w:space="0" w:color="auto"/>
              <w:right w:val="single" w:sz="4" w:space="0" w:color="auto"/>
            </w:tcBorders>
            <w:shd w:val="clear" w:color="auto" w:fill="auto"/>
            <w:noWrap/>
            <w:vAlign w:val="center"/>
            <w:hideMark/>
          </w:tcPr>
          <w:p w14:paraId="71314A77"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349,50</w:t>
            </w:r>
          </w:p>
        </w:tc>
        <w:tc>
          <w:tcPr>
            <w:tcW w:w="2920" w:type="dxa"/>
            <w:gridSpan w:val="2"/>
            <w:tcBorders>
              <w:top w:val="nil"/>
              <w:left w:val="nil"/>
              <w:bottom w:val="single" w:sz="4" w:space="0" w:color="auto"/>
              <w:right w:val="single" w:sz="4" w:space="0" w:color="auto"/>
            </w:tcBorders>
            <w:shd w:val="clear" w:color="auto" w:fill="auto"/>
            <w:vAlign w:val="center"/>
            <w:hideMark/>
          </w:tcPr>
          <w:p w14:paraId="0B02BB1C"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 xml:space="preserve">Dyract, gamintojas Densplay, pakuotėje 20 kapsulių po 0,25g. Naudojimo instrukcija 6.6 pirkimo dalis </w:t>
            </w:r>
          </w:p>
        </w:tc>
      </w:tr>
      <w:tr w:rsidR="00344AC6" w:rsidRPr="00344AC6" w14:paraId="694ADAA7" w14:textId="77777777" w:rsidTr="005F1605">
        <w:trPr>
          <w:trHeight w:val="1785"/>
        </w:trPr>
        <w:tc>
          <w:tcPr>
            <w:tcW w:w="1838" w:type="dxa"/>
            <w:tcBorders>
              <w:top w:val="nil"/>
              <w:left w:val="single" w:sz="4" w:space="0" w:color="auto"/>
              <w:bottom w:val="single" w:sz="4" w:space="0" w:color="auto"/>
              <w:right w:val="single" w:sz="4" w:space="0" w:color="auto"/>
            </w:tcBorders>
            <w:shd w:val="clear" w:color="auto" w:fill="auto"/>
            <w:noWrap/>
            <w:vAlign w:val="center"/>
            <w:hideMark/>
          </w:tcPr>
          <w:p w14:paraId="1EAECAAC" w14:textId="77777777" w:rsidR="00344AC6" w:rsidRPr="00344AC6" w:rsidRDefault="00344AC6" w:rsidP="005F1605">
            <w:pPr>
              <w:spacing w:after="0" w:line="240" w:lineRule="auto"/>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lastRenderedPageBreak/>
              <w:t>6.7.</w:t>
            </w:r>
          </w:p>
        </w:tc>
        <w:tc>
          <w:tcPr>
            <w:tcW w:w="1616" w:type="dxa"/>
            <w:tcBorders>
              <w:top w:val="nil"/>
              <w:left w:val="nil"/>
              <w:bottom w:val="single" w:sz="4" w:space="0" w:color="auto"/>
              <w:right w:val="single" w:sz="4" w:space="0" w:color="auto"/>
            </w:tcBorders>
            <w:shd w:val="clear" w:color="auto" w:fill="auto"/>
            <w:vAlign w:val="center"/>
            <w:hideMark/>
          </w:tcPr>
          <w:p w14:paraId="32A1E2B5" w14:textId="77777777" w:rsidR="00344AC6" w:rsidRPr="00344AC6" w:rsidRDefault="00344AC6" w:rsidP="005F1605">
            <w:pPr>
              <w:spacing w:after="0" w:line="240" w:lineRule="auto"/>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Kompozitinė plombinė medžiaga polimerizuojama šviesa</w:t>
            </w:r>
          </w:p>
        </w:tc>
        <w:tc>
          <w:tcPr>
            <w:tcW w:w="2778" w:type="dxa"/>
            <w:tcBorders>
              <w:top w:val="nil"/>
              <w:left w:val="nil"/>
              <w:bottom w:val="single" w:sz="4" w:space="0" w:color="auto"/>
              <w:right w:val="single" w:sz="4" w:space="0" w:color="auto"/>
            </w:tcBorders>
            <w:shd w:val="clear" w:color="auto" w:fill="auto"/>
            <w:vAlign w:val="center"/>
            <w:hideMark/>
          </w:tcPr>
          <w:p w14:paraId="07830968" w14:textId="77777777" w:rsidR="00344AC6" w:rsidRPr="00344AC6" w:rsidRDefault="00344AC6" w:rsidP="005F1605">
            <w:pPr>
              <w:spacing w:after="0" w:line="240" w:lineRule="auto"/>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Kompozito užpildą sudaro smulkios bario oksido dalelės, padengtos Silano danga.  Rentgenokontrastiškas, tiksotropiškai klampus, nelimpa prie aplikavimo angalio, Įvairių atspalvių (XBW, BW, A1, A2, A3, A3.5, A4, B1, B2, CV, CVD, AO1, AO2, AO3, JE, AE), švirkštuose po 1ml-1.7g. G-anial Universal Injectable ar lygiavertis. Gamintojo originalioje pakuotėje Turi atitikti ES standartų reikalavimus. Būtinas CE sertifikatas arba atitikties deklaracija su priedu konkrečiai medžiagai originalo kalba ir lietuvių kalbomis.</w:t>
            </w:r>
          </w:p>
        </w:tc>
        <w:tc>
          <w:tcPr>
            <w:tcW w:w="1134" w:type="dxa"/>
            <w:tcBorders>
              <w:top w:val="nil"/>
              <w:left w:val="nil"/>
              <w:bottom w:val="single" w:sz="4" w:space="0" w:color="auto"/>
              <w:right w:val="single" w:sz="4" w:space="0" w:color="auto"/>
            </w:tcBorders>
            <w:shd w:val="clear" w:color="auto" w:fill="auto"/>
            <w:noWrap/>
            <w:vAlign w:val="center"/>
            <w:hideMark/>
          </w:tcPr>
          <w:p w14:paraId="490C917B"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proofErr w:type="gramStart"/>
            <w:r w:rsidRPr="00344AC6">
              <w:rPr>
                <w:rFonts w:ascii="Times New Roman" w:eastAsia="Times New Roman" w:hAnsi="Times New Roman" w:cs="Times New Roman"/>
                <w:color w:val="000000"/>
                <w:sz w:val="18"/>
                <w:szCs w:val="18"/>
              </w:rPr>
              <w:t>šv</w:t>
            </w:r>
            <w:proofErr w:type="gramEnd"/>
            <w:r w:rsidRPr="00344AC6">
              <w:rPr>
                <w:rFonts w:ascii="Times New Roman" w:eastAsia="Times New Roman" w:hAnsi="Times New Roman" w:cs="Times New Roman"/>
                <w:color w:val="000000"/>
                <w:sz w:val="18"/>
                <w:szCs w:val="18"/>
              </w:rPr>
              <w:t>.</w:t>
            </w:r>
          </w:p>
        </w:tc>
        <w:tc>
          <w:tcPr>
            <w:tcW w:w="880" w:type="dxa"/>
            <w:tcBorders>
              <w:top w:val="nil"/>
              <w:left w:val="nil"/>
              <w:bottom w:val="single" w:sz="4" w:space="0" w:color="auto"/>
              <w:right w:val="single" w:sz="4" w:space="0" w:color="auto"/>
            </w:tcBorders>
            <w:shd w:val="clear" w:color="auto" w:fill="auto"/>
            <w:noWrap/>
            <w:vAlign w:val="center"/>
            <w:hideMark/>
          </w:tcPr>
          <w:p w14:paraId="0235E617"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20</w:t>
            </w:r>
          </w:p>
        </w:tc>
        <w:tc>
          <w:tcPr>
            <w:tcW w:w="980" w:type="dxa"/>
            <w:tcBorders>
              <w:top w:val="nil"/>
              <w:left w:val="nil"/>
              <w:bottom w:val="single" w:sz="4" w:space="0" w:color="auto"/>
              <w:right w:val="single" w:sz="4" w:space="0" w:color="auto"/>
            </w:tcBorders>
            <w:shd w:val="clear" w:color="auto" w:fill="auto"/>
            <w:noWrap/>
            <w:vAlign w:val="center"/>
            <w:hideMark/>
          </w:tcPr>
          <w:p w14:paraId="68C8C1FE"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24,79</w:t>
            </w:r>
          </w:p>
        </w:tc>
        <w:tc>
          <w:tcPr>
            <w:tcW w:w="680" w:type="dxa"/>
            <w:tcBorders>
              <w:top w:val="nil"/>
              <w:left w:val="nil"/>
              <w:bottom w:val="single" w:sz="4" w:space="0" w:color="auto"/>
              <w:right w:val="single" w:sz="4" w:space="0" w:color="auto"/>
            </w:tcBorders>
            <w:shd w:val="clear" w:color="auto" w:fill="auto"/>
            <w:noWrap/>
            <w:vAlign w:val="center"/>
            <w:hideMark/>
          </w:tcPr>
          <w:p w14:paraId="78C70B9B"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21 %</w:t>
            </w:r>
          </w:p>
        </w:tc>
        <w:tc>
          <w:tcPr>
            <w:tcW w:w="980" w:type="dxa"/>
            <w:tcBorders>
              <w:top w:val="nil"/>
              <w:left w:val="nil"/>
              <w:bottom w:val="single" w:sz="4" w:space="0" w:color="auto"/>
              <w:right w:val="single" w:sz="4" w:space="0" w:color="auto"/>
            </w:tcBorders>
            <w:shd w:val="clear" w:color="auto" w:fill="auto"/>
            <w:noWrap/>
            <w:vAlign w:val="center"/>
            <w:hideMark/>
          </w:tcPr>
          <w:p w14:paraId="07154474"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30,00</w:t>
            </w:r>
          </w:p>
        </w:tc>
        <w:tc>
          <w:tcPr>
            <w:tcW w:w="1020" w:type="dxa"/>
            <w:gridSpan w:val="2"/>
            <w:tcBorders>
              <w:top w:val="nil"/>
              <w:left w:val="nil"/>
              <w:bottom w:val="single" w:sz="4" w:space="0" w:color="auto"/>
              <w:right w:val="single" w:sz="4" w:space="0" w:color="auto"/>
            </w:tcBorders>
            <w:shd w:val="clear" w:color="auto" w:fill="auto"/>
            <w:noWrap/>
            <w:vAlign w:val="center"/>
            <w:hideMark/>
          </w:tcPr>
          <w:p w14:paraId="55EFD574"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600,00</w:t>
            </w:r>
          </w:p>
        </w:tc>
        <w:tc>
          <w:tcPr>
            <w:tcW w:w="2920" w:type="dxa"/>
            <w:gridSpan w:val="2"/>
            <w:tcBorders>
              <w:top w:val="nil"/>
              <w:left w:val="nil"/>
              <w:bottom w:val="single" w:sz="4" w:space="0" w:color="auto"/>
              <w:right w:val="single" w:sz="4" w:space="0" w:color="auto"/>
            </w:tcBorders>
            <w:shd w:val="clear" w:color="auto" w:fill="auto"/>
            <w:vAlign w:val="center"/>
            <w:hideMark/>
          </w:tcPr>
          <w:p w14:paraId="6CDCAFA2"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G-aenial Universal Injectible, gamintojas GC, pakuotėje 1,7g, naudojimo instrukcija 6.7 pirkimo dalis</w:t>
            </w:r>
          </w:p>
        </w:tc>
      </w:tr>
      <w:tr w:rsidR="00344AC6" w:rsidRPr="00344AC6" w14:paraId="08731063" w14:textId="77777777" w:rsidTr="005F1605">
        <w:trPr>
          <w:trHeight w:val="2783"/>
        </w:trPr>
        <w:tc>
          <w:tcPr>
            <w:tcW w:w="1838" w:type="dxa"/>
            <w:tcBorders>
              <w:top w:val="nil"/>
              <w:left w:val="single" w:sz="4" w:space="0" w:color="auto"/>
              <w:bottom w:val="single" w:sz="4" w:space="0" w:color="auto"/>
              <w:right w:val="single" w:sz="4" w:space="0" w:color="auto"/>
            </w:tcBorders>
            <w:shd w:val="clear" w:color="auto" w:fill="auto"/>
            <w:noWrap/>
            <w:vAlign w:val="center"/>
            <w:hideMark/>
          </w:tcPr>
          <w:p w14:paraId="77B31BCC" w14:textId="77777777" w:rsidR="00344AC6" w:rsidRPr="00344AC6" w:rsidRDefault="00344AC6" w:rsidP="005F1605">
            <w:pPr>
              <w:spacing w:after="0" w:line="240" w:lineRule="auto"/>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6.8.</w:t>
            </w:r>
          </w:p>
        </w:tc>
        <w:tc>
          <w:tcPr>
            <w:tcW w:w="1616" w:type="dxa"/>
            <w:tcBorders>
              <w:top w:val="nil"/>
              <w:left w:val="nil"/>
              <w:bottom w:val="single" w:sz="4" w:space="0" w:color="auto"/>
              <w:right w:val="single" w:sz="4" w:space="0" w:color="auto"/>
            </w:tcBorders>
            <w:shd w:val="clear" w:color="auto" w:fill="auto"/>
            <w:vAlign w:val="center"/>
            <w:hideMark/>
          </w:tcPr>
          <w:p w14:paraId="2D3E46DD" w14:textId="77777777" w:rsidR="00344AC6" w:rsidRPr="00344AC6" w:rsidRDefault="00344AC6" w:rsidP="005F1605">
            <w:pPr>
              <w:spacing w:after="0" w:line="240" w:lineRule="auto"/>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Kompozitinė plombinė medžiaga polimerizuojama šviesa</w:t>
            </w:r>
          </w:p>
        </w:tc>
        <w:tc>
          <w:tcPr>
            <w:tcW w:w="2778" w:type="dxa"/>
            <w:tcBorders>
              <w:top w:val="nil"/>
              <w:left w:val="nil"/>
              <w:bottom w:val="single" w:sz="4" w:space="0" w:color="auto"/>
              <w:right w:val="single" w:sz="4" w:space="0" w:color="auto"/>
            </w:tcBorders>
            <w:shd w:val="clear" w:color="auto" w:fill="auto"/>
            <w:vAlign w:val="center"/>
            <w:hideMark/>
          </w:tcPr>
          <w:p w14:paraId="49315989" w14:textId="77777777" w:rsidR="00344AC6" w:rsidRPr="00344AC6" w:rsidRDefault="00344AC6" w:rsidP="005F1605">
            <w:pPr>
              <w:spacing w:after="0" w:line="240" w:lineRule="auto"/>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Šviesoje kietėjanti universali kompozitinė plombinė medžiaga. Rentgeno kontrastiška</w:t>
            </w:r>
            <w:proofErr w:type="gramStart"/>
            <w:r w:rsidRPr="00344AC6">
              <w:rPr>
                <w:rFonts w:ascii="Times New Roman" w:eastAsia="Times New Roman" w:hAnsi="Times New Roman" w:cs="Times New Roman"/>
                <w:color w:val="000000"/>
                <w:sz w:val="18"/>
                <w:szCs w:val="18"/>
              </w:rPr>
              <w:t>,  sudėtyje</w:t>
            </w:r>
            <w:proofErr w:type="gramEnd"/>
            <w:r w:rsidRPr="00344AC6">
              <w:rPr>
                <w:rFonts w:ascii="Times New Roman" w:eastAsia="Times New Roman" w:hAnsi="Times New Roman" w:cs="Times New Roman"/>
                <w:color w:val="000000"/>
                <w:sz w:val="18"/>
                <w:szCs w:val="18"/>
              </w:rPr>
              <w:t xml:space="preserve"> yra  apie 70% pagal tūrį silicio-cirkonio užpildo. Užpildo dalelės sferinės, geras chameleono efektas. Mažas susitraukimas &lt;2%, nelimpa prie instrumento, ilgalaikis blizgesys</w:t>
            </w:r>
            <w:proofErr w:type="gramStart"/>
            <w:r w:rsidRPr="00344AC6">
              <w:rPr>
                <w:rFonts w:ascii="Times New Roman" w:eastAsia="Times New Roman" w:hAnsi="Times New Roman" w:cs="Times New Roman"/>
                <w:color w:val="000000"/>
                <w:sz w:val="18"/>
                <w:szCs w:val="18"/>
              </w:rPr>
              <w:t>,  90sek</w:t>
            </w:r>
            <w:proofErr w:type="gramEnd"/>
            <w:r w:rsidRPr="00344AC6">
              <w:rPr>
                <w:rFonts w:ascii="Times New Roman" w:eastAsia="Times New Roman" w:hAnsi="Times New Roman" w:cs="Times New Roman"/>
                <w:color w:val="000000"/>
                <w:sz w:val="18"/>
                <w:szCs w:val="18"/>
              </w:rPr>
              <w:t xml:space="preserve">. </w:t>
            </w:r>
            <w:proofErr w:type="gramStart"/>
            <w:r w:rsidRPr="00344AC6">
              <w:rPr>
                <w:rFonts w:ascii="Times New Roman" w:eastAsia="Times New Roman" w:hAnsi="Times New Roman" w:cs="Times New Roman"/>
                <w:color w:val="000000"/>
                <w:sz w:val="18"/>
                <w:szCs w:val="18"/>
              </w:rPr>
              <w:t>darbo</w:t>
            </w:r>
            <w:proofErr w:type="gramEnd"/>
            <w:r w:rsidRPr="00344AC6">
              <w:rPr>
                <w:rFonts w:ascii="Times New Roman" w:eastAsia="Times New Roman" w:hAnsi="Times New Roman" w:cs="Times New Roman"/>
                <w:color w:val="000000"/>
                <w:sz w:val="18"/>
                <w:szCs w:val="18"/>
              </w:rPr>
              <w:t xml:space="preserve"> laikas, 10sek. </w:t>
            </w:r>
            <w:proofErr w:type="gramStart"/>
            <w:r w:rsidRPr="00344AC6">
              <w:rPr>
                <w:rFonts w:ascii="Times New Roman" w:eastAsia="Times New Roman" w:hAnsi="Times New Roman" w:cs="Times New Roman"/>
                <w:color w:val="000000"/>
                <w:sz w:val="18"/>
                <w:szCs w:val="18"/>
              </w:rPr>
              <w:t>kietinimo</w:t>
            </w:r>
            <w:proofErr w:type="gramEnd"/>
            <w:r w:rsidRPr="00344AC6">
              <w:rPr>
                <w:rFonts w:ascii="Times New Roman" w:eastAsia="Times New Roman" w:hAnsi="Times New Roman" w:cs="Times New Roman"/>
                <w:color w:val="000000"/>
                <w:sz w:val="18"/>
                <w:szCs w:val="18"/>
              </w:rPr>
              <w:t xml:space="preserve"> laikas. Indikacijos: priekinių ir krūminių dantų restauracijos, veneringas, diastemos uždarymas, kompozitiniai/porceliano pataisos darbai. Spalvos A1; A2; A3; A3</w:t>
            </w:r>
            <w:proofErr w:type="gramStart"/>
            <w:r w:rsidRPr="00344AC6">
              <w:rPr>
                <w:rFonts w:ascii="Times New Roman" w:eastAsia="Times New Roman" w:hAnsi="Times New Roman" w:cs="Times New Roman"/>
                <w:color w:val="000000"/>
                <w:sz w:val="18"/>
                <w:szCs w:val="18"/>
              </w:rPr>
              <w:t>,5</w:t>
            </w:r>
            <w:proofErr w:type="gramEnd"/>
            <w:r w:rsidRPr="00344AC6">
              <w:rPr>
                <w:rFonts w:ascii="Times New Roman" w:eastAsia="Times New Roman" w:hAnsi="Times New Roman" w:cs="Times New Roman"/>
                <w:color w:val="000000"/>
                <w:sz w:val="18"/>
                <w:szCs w:val="18"/>
              </w:rPr>
              <w:t xml:space="preserve">; OA3; OPA2. Kelios takaus </w:t>
            </w:r>
            <w:proofErr w:type="gramStart"/>
            <w:r w:rsidRPr="00344AC6">
              <w:rPr>
                <w:rFonts w:ascii="Times New Roman" w:eastAsia="Times New Roman" w:hAnsi="Times New Roman" w:cs="Times New Roman"/>
                <w:color w:val="000000"/>
                <w:sz w:val="18"/>
                <w:szCs w:val="18"/>
              </w:rPr>
              <w:t>kompozito  spalvos</w:t>
            </w:r>
            <w:proofErr w:type="gramEnd"/>
            <w:r w:rsidRPr="00344AC6">
              <w:rPr>
                <w:rFonts w:ascii="Times New Roman" w:eastAsia="Times New Roman" w:hAnsi="Times New Roman" w:cs="Times New Roman"/>
                <w:color w:val="000000"/>
                <w:sz w:val="18"/>
                <w:szCs w:val="18"/>
              </w:rPr>
              <w:t>. Pakuotė: 6šv.x3</w:t>
            </w:r>
            <w:proofErr w:type="gramStart"/>
            <w:r w:rsidRPr="00344AC6">
              <w:rPr>
                <w:rFonts w:ascii="Times New Roman" w:eastAsia="Times New Roman" w:hAnsi="Times New Roman" w:cs="Times New Roman"/>
                <w:color w:val="000000"/>
                <w:sz w:val="18"/>
                <w:szCs w:val="18"/>
              </w:rPr>
              <w:t>,8g</w:t>
            </w:r>
            <w:proofErr w:type="gramEnd"/>
            <w:r w:rsidRPr="00344AC6">
              <w:rPr>
                <w:rFonts w:ascii="Times New Roman" w:eastAsia="Times New Roman" w:hAnsi="Times New Roman" w:cs="Times New Roman"/>
                <w:color w:val="000000"/>
                <w:sz w:val="18"/>
                <w:szCs w:val="18"/>
              </w:rPr>
              <w:t xml:space="preserve">, +3šv. </w:t>
            </w:r>
            <w:proofErr w:type="gramStart"/>
            <w:r w:rsidRPr="00344AC6">
              <w:rPr>
                <w:rFonts w:ascii="Times New Roman" w:eastAsia="Times New Roman" w:hAnsi="Times New Roman" w:cs="Times New Roman"/>
                <w:color w:val="000000"/>
                <w:sz w:val="18"/>
                <w:szCs w:val="18"/>
              </w:rPr>
              <w:t>takaus</w:t>
            </w:r>
            <w:proofErr w:type="gramEnd"/>
            <w:r w:rsidRPr="00344AC6">
              <w:rPr>
                <w:rFonts w:ascii="Times New Roman" w:eastAsia="Times New Roman" w:hAnsi="Times New Roman" w:cs="Times New Roman"/>
                <w:color w:val="000000"/>
                <w:sz w:val="18"/>
                <w:szCs w:val="18"/>
              </w:rPr>
              <w:t xml:space="preserve"> kompozito,  5ml savaime besiėsdinančio surišiklio , kuris išskiria fluoridus. Estelite Sigma Quick arba lygiavertis. Gamintojo originali pakuotė. Turi atitikti ES standartų </w:t>
            </w:r>
            <w:r w:rsidRPr="00344AC6">
              <w:rPr>
                <w:rFonts w:ascii="Times New Roman" w:eastAsia="Times New Roman" w:hAnsi="Times New Roman" w:cs="Times New Roman"/>
                <w:color w:val="000000"/>
                <w:sz w:val="18"/>
                <w:szCs w:val="18"/>
              </w:rPr>
              <w:lastRenderedPageBreak/>
              <w:t>reikalavimus. Būtinas CE sertifikatas, atitikties deklaracija su priedu konkrečiai medžiagai originalo ir lietuvių kalbomis.</w:t>
            </w:r>
          </w:p>
        </w:tc>
        <w:tc>
          <w:tcPr>
            <w:tcW w:w="1134" w:type="dxa"/>
            <w:tcBorders>
              <w:top w:val="nil"/>
              <w:left w:val="nil"/>
              <w:bottom w:val="single" w:sz="4" w:space="0" w:color="auto"/>
              <w:right w:val="single" w:sz="4" w:space="0" w:color="auto"/>
            </w:tcBorders>
            <w:shd w:val="clear" w:color="auto" w:fill="auto"/>
            <w:noWrap/>
            <w:vAlign w:val="center"/>
            <w:hideMark/>
          </w:tcPr>
          <w:p w14:paraId="0544C107"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proofErr w:type="gramStart"/>
            <w:r w:rsidRPr="00344AC6">
              <w:rPr>
                <w:rFonts w:ascii="Times New Roman" w:eastAsia="Times New Roman" w:hAnsi="Times New Roman" w:cs="Times New Roman"/>
                <w:color w:val="000000"/>
                <w:sz w:val="18"/>
                <w:szCs w:val="18"/>
              </w:rPr>
              <w:lastRenderedPageBreak/>
              <w:t>rink</w:t>
            </w:r>
            <w:proofErr w:type="gramEnd"/>
            <w:r w:rsidRPr="00344AC6">
              <w:rPr>
                <w:rFonts w:ascii="Times New Roman" w:eastAsia="Times New Roman" w:hAnsi="Times New Roman" w:cs="Times New Roman"/>
                <w:color w:val="000000"/>
                <w:sz w:val="18"/>
                <w:szCs w:val="18"/>
              </w:rPr>
              <w:t>.</w:t>
            </w:r>
          </w:p>
        </w:tc>
        <w:tc>
          <w:tcPr>
            <w:tcW w:w="880" w:type="dxa"/>
            <w:tcBorders>
              <w:top w:val="nil"/>
              <w:left w:val="nil"/>
              <w:bottom w:val="single" w:sz="4" w:space="0" w:color="auto"/>
              <w:right w:val="single" w:sz="4" w:space="0" w:color="auto"/>
            </w:tcBorders>
            <w:shd w:val="clear" w:color="auto" w:fill="auto"/>
            <w:noWrap/>
            <w:vAlign w:val="center"/>
            <w:hideMark/>
          </w:tcPr>
          <w:p w14:paraId="39ADDE5E"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9</w:t>
            </w:r>
          </w:p>
        </w:tc>
        <w:tc>
          <w:tcPr>
            <w:tcW w:w="980" w:type="dxa"/>
            <w:tcBorders>
              <w:top w:val="nil"/>
              <w:left w:val="nil"/>
              <w:bottom w:val="single" w:sz="4" w:space="0" w:color="auto"/>
              <w:right w:val="single" w:sz="4" w:space="0" w:color="auto"/>
            </w:tcBorders>
            <w:shd w:val="clear" w:color="auto" w:fill="auto"/>
            <w:noWrap/>
            <w:vAlign w:val="center"/>
            <w:hideMark/>
          </w:tcPr>
          <w:p w14:paraId="5E389829"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274,92</w:t>
            </w:r>
          </w:p>
        </w:tc>
        <w:tc>
          <w:tcPr>
            <w:tcW w:w="680" w:type="dxa"/>
            <w:tcBorders>
              <w:top w:val="nil"/>
              <w:left w:val="nil"/>
              <w:bottom w:val="single" w:sz="4" w:space="0" w:color="auto"/>
              <w:right w:val="single" w:sz="4" w:space="0" w:color="auto"/>
            </w:tcBorders>
            <w:shd w:val="clear" w:color="auto" w:fill="auto"/>
            <w:noWrap/>
            <w:vAlign w:val="center"/>
            <w:hideMark/>
          </w:tcPr>
          <w:p w14:paraId="3C3238D5"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21 %</w:t>
            </w:r>
          </w:p>
        </w:tc>
        <w:tc>
          <w:tcPr>
            <w:tcW w:w="980" w:type="dxa"/>
            <w:tcBorders>
              <w:top w:val="nil"/>
              <w:left w:val="nil"/>
              <w:bottom w:val="single" w:sz="4" w:space="0" w:color="auto"/>
              <w:right w:val="single" w:sz="4" w:space="0" w:color="auto"/>
            </w:tcBorders>
            <w:shd w:val="clear" w:color="auto" w:fill="auto"/>
            <w:noWrap/>
            <w:vAlign w:val="center"/>
            <w:hideMark/>
          </w:tcPr>
          <w:p w14:paraId="6DBB1858"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332,65</w:t>
            </w:r>
          </w:p>
        </w:tc>
        <w:tc>
          <w:tcPr>
            <w:tcW w:w="1020" w:type="dxa"/>
            <w:gridSpan w:val="2"/>
            <w:tcBorders>
              <w:top w:val="nil"/>
              <w:left w:val="nil"/>
              <w:bottom w:val="single" w:sz="4" w:space="0" w:color="auto"/>
              <w:right w:val="single" w:sz="4" w:space="0" w:color="auto"/>
            </w:tcBorders>
            <w:shd w:val="clear" w:color="auto" w:fill="auto"/>
            <w:noWrap/>
            <w:vAlign w:val="center"/>
            <w:hideMark/>
          </w:tcPr>
          <w:p w14:paraId="3DA1E76C"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2993,85</w:t>
            </w:r>
          </w:p>
        </w:tc>
        <w:tc>
          <w:tcPr>
            <w:tcW w:w="2920" w:type="dxa"/>
            <w:gridSpan w:val="2"/>
            <w:tcBorders>
              <w:top w:val="nil"/>
              <w:left w:val="nil"/>
              <w:bottom w:val="single" w:sz="4" w:space="0" w:color="auto"/>
              <w:right w:val="single" w:sz="4" w:space="0" w:color="auto"/>
            </w:tcBorders>
            <w:shd w:val="clear" w:color="auto" w:fill="auto"/>
            <w:vAlign w:val="center"/>
            <w:hideMark/>
          </w:tcPr>
          <w:p w14:paraId="0737F307"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Estelite Sigma Quick, gamintojas Tokuyama, pakuotėje 6 šv po 3</w:t>
            </w:r>
            <w:proofErr w:type="gramStart"/>
            <w:r w:rsidRPr="00344AC6">
              <w:rPr>
                <w:rFonts w:ascii="Times New Roman" w:eastAsia="Times New Roman" w:hAnsi="Times New Roman" w:cs="Times New Roman"/>
                <w:color w:val="000000"/>
                <w:sz w:val="18"/>
                <w:szCs w:val="18"/>
              </w:rPr>
              <w:t>,8g</w:t>
            </w:r>
            <w:proofErr w:type="gramEnd"/>
            <w:r w:rsidRPr="00344AC6">
              <w:rPr>
                <w:rFonts w:ascii="Times New Roman" w:eastAsia="Times New Roman" w:hAnsi="Times New Roman" w:cs="Times New Roman"/>
                <w:color w:val="000000"/>
                <w:sz w:val="18"/>
                <w:szCs w:val="18"/>
              </w:rPr>
              <w:t>+3 švx 1,8g flow ir 5 ml surišimo sistemos. Naudojimo instrukcija 6.8 pirkimo dalis</w:t>
            </w:r>
          </w:p>
        </w:tc>
      </w:tr>
      <w:tr w:rsidR="00344AC6" w:rsidRPr="00344AC6" w14:paraId="4A91A6F2" w14:textId="77777777" w:rsidTr="005F1605">
        <w:trPr>
          <w:trHeight w:val="2040"/>
        </w:trPr>
        <w:tc>
          <w:tcPr>
            <w:tcW w:w="1838" w:type="dxa"/>
            <w:tcBorders>
              <w:top w:val="nil"/>
              <w:left w:val="single" w:sz="4" w:space="0" w:color="auto"/>
              <w:bottom w:val="single" w:sz="4" w:space="0" w:color="auto"/>
              <w:right w:val="single" w:sz="4" w:space="0" w:color="auto"/>
            </w:tcBorders>
            <w:shd w:val="clear" w:color="auto" w:fill="auto"/>
            <w:noWrap/>
            <w:vAlign w:val="center"/>
            <w:hideMark/>
          </w:tcPr>
          <w:p w14:paraId="41486C53" w14:textId="77777777" w:rsidR="00344AC6" w:rsidRPr="00344AC6" w:rsidRDefault="00344AC6" w:rsidP="005F1605">
            <w:pPr>
              <w:spacing w:after="0" w:line="240" w:lineRule="auto"/>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lastRenderedPageBreak/>
              <w:t>6.9.</w:t>
            </w:r>
          </w:p>
        </w:tc>
        <w:tc>
          <w:tcPr>
            <w:tcW w:w="1616" w:type="dxa"/>
            <w:tcBorders>
              <w:top w:val="nil"/>
              <w:left w:val="nil"/>
              <w:bottom w:val="single" w:sz="4" w:space="0" w:color="auto"/>
              <w:right w:val="single" w:sz="4" w:space="0" w:color="auto"/>
            </w:tcBorders>
            <w:shd w:val="clear" w:color="auto" w:fill="auto"/>
            <w:vAlign w:val="center"/>
            <w:hideMark/>
          </w:tcPr>
          <w:p w14:paraId="12707523" w14:textId="77777777" w:rsidR="00344AC6" w:rsidRPr="00344AC6" w:rsidRDefault="00344AC6" w:rsidP="005F1605">
            <w:pPr>
              <w:spacing w:after="0" w:line="240" w:lineRule="auto"/>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Galinių dantų greito pildymo takioji bazė</w:t>
            </w:r>
          </w:p>
        </w:tc>
        <w:tc>
          <w:tcPr>
            <w:tcW w:w="2778" w:type="dxa"/>
            <w:tcBorders>
              <w:top w:val="nil"/>
              <w:left w:val="nil"/>
              <w:bottom w:val="single" w:sz="4" w:space="0" w:color="auto"/>
              <w:right w:val="single" w:sz="4" w:space="0" w:color="auto"/>
            </w:tcBorders>
            <w:shd w:val="clear" w:color="auto" w:fill="auto"/>
            <w:vAlign w:val="center"/>
            <w:hideMark/>
          </w:tcPr>
          <w:p w14:paraId="7F4A700A" w14:textId="77777777" w:rsidR="00344AC6" w:rsidRPr="00344AC6" w:rsidRDefault="00344AC6" w:rsidP="005F1605">
            <w:pPr>
              <w:spacing w:after="0" w:line="240" w:lineRule="auto"/>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Šviesa kietinamas kompozitas naudojamas kaip pamušalinė medžiaga. Vieno komponento, šviesa kietinama, rentgenokontrastinė dervinio kompozito restauravimo medžiaga su fluoru. Spalvos A1, A2, A3 ir universali. Galima dėti 4mm sluoksniais, polimerizavimosi įtampa minimali. Medžiaga savaime išsilygina ir priglunda prie paruoštų ertmės sienelių. Vieno universalaus atspalvio.  Pakuotėje 15 kapsulių po 0,2g. SDR arba lygiavertis. Gamintojo originali pakuotė. Turi atitikti ES standartų reikalavimus. Būtinas CE sertifikatas, atitikties deklaracija su priedu konkrečiai medžiagai originalo ir lietuvių kalbomis.</w:t>
            </w:r>
          </w:p>
        </w:tc>
        <w:tc>
          <w:tcPr>
            <w:tcW w:w="1134" w:type="dxa"/>
            <w:tcBorders>
              <w:top w:val="nil"/>
              <w:left w:val="nil"/>
              <w:bottom w:val="single" w:sz="4" w:space="0" w:color="auto"/>
              <w:right w:val="single" w:sz="4" w:space="0" w:color="auto"/>
            </w:tcBorders>
            <w:shd w:val="clear" w:color="auto" w:fill="auto"/>
            <w:noWrap/>
            <w:vAlign w:val="center"/>
            <w:hideMark/>
          </w:tcPr>
          <w:p w14:paraId="65B935E7"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pak.</w:t>
            </w:r>
          </w:p>
        </w:tc>
        <w:tc>
          <w:tcPr>
            <w:tcW w:w="880" w:type="dxa"/>
            <w:tcBorders>
              <w:top w:val="nil"/>
              <w:left w:val="nil"/>
              <w:bottom w:val="single" w:sz="4" w:space="0" w:color="auto"/>
              <w:right w:val="single" w:sz="4" w:space="0" w:color="auto"/>
            </w:tcBorders>
            <w:shd w:val="clear" w:color="auto" w:fill="auto"/>
            <w:noWrap/>
            <w:vAlign w:val="center"/>
            <w:hideMark/>
          </w:tcPr>
          <w:p w14:paraId="0D55CBF1"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6</w:t>
            </w:r>
          </w:p>
        </w:tc>
        <w:tc>
          <w:tcPr>
            <w:tcW w:w="980" w:type="dxa"/>
            <w:tcBorders>
              <w:top w:val="nil"/>
              <w:left w:val="nil"/>
              <w:bottom w:val="single" w:sz="4" w:space="0" w:color="auto"/>
              <w:right w:val="single" w:sz="4" w:space="0" w:color="auto"/>
            </w:tcBorders>
            <w:shd w:val="clear" w:color="auto" w:fill="auto"/>
            <w:noWrap/>
            <w:vAlign w:val="center"/>
            <w:hideMark/>
          </w:tcPr>
          <w:p w14:paraId="2F7D9B0B"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61,83</w:t>
            </w:r>
          </w:p>
        </w:tc>
        <w:tc>
          <w:tcPr>
            <w:tcW w:w="680" w:type="dxa"/>
            <w:tcBorders>
              <w:top w:val="nil"/>
              <w:left w:val="nil"/>
              <w:bottom w:val="single" w:sz="4" w:space="0" w:color="auto"/>
              <w:right w:val="single" w:sz="4" w:space="0" w:color="auto"/>
            </w:tcBorders>
            <w:shd w:val="clear" w:color="auto" w:fill="auto"/>
            <w:noWrap/>
            <w:vAlign w:val="center"/>
            <w:hideMark/>
          </w:tcPr>
          <w:p w14:paraId="00B1BB35"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5 %</w:t>
            </w:r>
          </w:p>
        </w:tc>
        <w:tc>
          <w:tcPr>
            <w:tcW w:w="980" w:type="dxa"/>
            <w:tcBorders>
              <w:top w:val="nil"/>
              <w:left w:val="nil"/>
              <w:bottom w:val="single" w:sz="4" w:space="0" w:color="auto"/>
              <w:right w:val="single" w:sz="4" w:space="0" w:color="auto"/>
            </w:tcBorders>
            <w:shd w:val="clear" w:color="auto" w:fill="auto"/>
            <w:noWrap/>
            <w:vAlign w:val="center"/>
            <w:hideMark/>
          </w:tcPr>
          <w:p w14:paraId="3D679B4C"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65,08</w:t>
            </w:r>
          </w:p>
        </w:tc>
        <w:tc>
          <w:tcPr>
            <w:tcW w:w="1020" w:type="dxa"/>
            <w:gridSpan w:val="2"/>
            <w:tcBorders>
              <w:top w:val="nil"/>
              <w:left w:val="nil"/>
              <w:bottom w:val="single" w:sz="4" w:space="0" w:color="auto"/>
              <w:right w:val="single" w:sz="4" w:space="0" w:color="auto"/>
            </w:tcBorders>
            <w:shd w:val="clear" w:color="auto" w:fill="auto"/>
            <w:noWrap/>
            <w:vAlign w:val="center"/>
            <w:hideMark/>
          </w:tcPr>
          <w:p w14:paraId="4ABD918B"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390,48</w:t>
            </w:r>
          </w:p>
        </w:tc>
        <w:tc>
          <w:tcPr>
            <w:tcW w:w="2920" w:type="dxa"/>
            <w:gridSpan w:val="2"/>
            <w:tcBorders>
              <w:top w:val="nil"/>
              <w:left w:val="nil"/>
              <w:bottom w:val="single" w:sz="4" w:space="0" w:color="auto"/>
              <w:right w:val="single" w:sz="4" w:space="0" w:color="auto"/>
            </w:tcBorders>
            <w:shd w:val="clear" w:color="auto" w:fill="auto"/>
            <w:vAlign w:val="center"/>
            <w:hideMark/>
          </w:tcPr>
          <w:p w14:paraId="65856C1E"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SDR flow, gamintojas Densplay, pakuotėje 15 kaps.x0,25g, naudojimo instrukcija 6.9 pirkimo dalis</w:t>
            </w:r>
          </w:p>
        </w:tc>
      </w:tr>
      <w:tr w:rsidR="00344AC6" w:rsidRPr="00344AC6" w14:paraId="5E4AC9F7" w14:textId="77777777" w:rsidTr="005F1605">
        <w:trPr>
          <w:trHeight w:val="1275"/>
        </w:trPr>
        <w:tc>
          <w:tcPr>
            <w:tcW w:w="1838" w:type="dxa"/>
            <w:tcBorders>
              <w:top w:val="nil"/>
              <w:left w:val="single" w:sz="4" w:space="0" w:color="auto"/>
              <w:bottom w:val="single" w:sz="4" w:space="0" w:color="auto"/>
              <w:right w:val="single" w:sz="4" w:space="0" w:color="auto"/>
            </w:tcBorders>
            <w:shd w:val="clear" w:color="auto" w:fill="auto"/>
            <w:noWrap/>
            <w:vAlign w:val="center"/>
            <w:hideMark/>
          </w:tcPr>
          <w:p w14:paraId="50BE68E8" w14:textId="77777777" w:rsidR="00344AC6" w:rsidRPr="00344AC6" w:rsidRDefault="00344AC6" w:rsidP="005F1605">
            <w:pPr>
              <w:spacing w:after="0" w:line="240" w:lineRule="auto"/>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6.10.</w:t>
            </w:r>
          </w:p>
        </w:tc>
        <w:tc>
          <w:tcPr>
            <w:tcW w:w="1616" w:type="dxa"/>
            <w:tcBorders>
              <w:top w:val="nil"/>
              <w:left w:val="nil"/>
              <w:bottom w:val="single" w:sz="4" w:space="0" w:color="auto"/>
              <w:right w:val="single" w:sz="4" w:space="0" w:color="auto"/>
            </w:tcBorders>
            <w:shd w:val="clear" w:color="auto" w:fill="auto"/>
            <w:vAlign w:val="center"/>
            <w:hideMark/>
          </w:tcPr>
          <w:p w14:paraId="33CB61B3" w14:textId="77777777" w:rsidR="00344AC6" w:rsidRPr="00344AC6" w:rsidRDefault="00344AC6" w:rsidP="005F1605">
            <w:pPr>
              <w:spacing w:after="0" w:line="240" w:lineRule="auto"/>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Pamušalinė medžiaga</w:t>
            </w:r>
          </w:p>
        </w:tc>
        <w:tc>
          <w:tcPr>
            <w:tcW w:w="2778" w:type="dxa"/>
            <w:tcBorders>
              <w:top w:val="nil"/>
              <w:left w:val="nil"/>
              <w:bottom w:val="single" w:sz="4" w:space="0" w:color="auto"/>
              <w:right w:val="single" w:sz="4" w:space="0" w:color="auto"/>
            </w:tcBorders>
            <w:shd w:val="clear" w:color="auto" w:fill="auto"/>
            <w:vAlign w:val="center"/>
            <w:hideMark/>
          </w:tcPr>
          <w:p w14:paraId="1C6FEC91" w14:textId="77777777" w:rsidR="00344AC6" w:rsidRPr="00344AC6" w:rsidRDefault="00344AC6" w:rsidP="005F1605">
            <w:pPr>
              <w:spacing w:after="0" w:line="240" w:lineRule="auto"/>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Šviesoje kietėjantis stiklo jonomerinis kompozitinis cementas, skirtas pamušalams, praplėstų vagelių ir mažų pažeidimų užpildymui.  Ionoseal arba lygiavertis. Švirkštuose po 2,5g. Gamintojo originali pakuotė. Turi atitikti ES standartų reikalavimus. Būtinas CE sertifikatas, atitikties deklaracija su priedu konkrečiai medžiagai originalo ir lietuvių kalbomis.</w:t>
            </w:r>
          </w:p>
        </w:tc>
        <w:tc>
          <w:tcPr>
            <w:tcW w:w="1134" w:type="dxa"/>
            <w:tcBorders>
              <w:top w:val="nil"/>
              <w:left w:val="nil"/>
              <w:bottom w:val="single" w:sz="4" w:space="0" w:color="auto"/>
              <w:right w:val="single" w:sz="4" w:space="0" w:color="auto"/>
            </w:tcBorders>
            <w:shd w:val="clear" w:color="auto" w:fill="auto"/>
            <w:noWrap/>
            <w:vAlign w:val="center"/>
            <w:hideMark/>
          </w:tcPr>
          <w:p w14:paraId="0CD336AB"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proofErr w:type="gramStart"/>
            <w:r w:rsidRPr="00344AC6">
              <w:rPr>
                <w:rFonts w:ascii="Times New Roman" w:eastAsia="Times New Roman" w:hAnsi="Times New Roman" w:cs="Times New Roman"/>
                <w:color w:val="000000"/>
                <w:sz w:val="18"/>
                <w:szCs w:val="18"/>
              </w:rPr>
              <w:t>šv</w:t>
            </w:r>
            <w:proofErr w:type="gramEnd"/>
            <w:r w:rsidRPr="00344AC6">
              <w:rPr>
                <w:rFonts w:ascii="Times New Roman" w:eastAsia="Times New Roman" w:hAnsi="Times New Roman" w:cs="Times New Roman"/>
                <w:color w:val="000000"/>
                <w:sz w:val="18"/>
                <w:szCs w:val="18"/>
              </w:rPr>
              <w:t>.</w:t>
            </w:r>
          </w:p>
        </w:tc>
        <w:tc>
          <w:tcPr>
            <w:tcW w:w="880" w:type="dxa"/>
            <w:tcBorders>
              <w:top w:val="nil"/>
              <w:left w:val="nil"/>
              <w:bottom w:val="single" w:sz="4" w:space="0" w:color="auto"/>
              <w:right w:val="single" w:sz="4" w:space="0" w:color="auto"/>
            </w:tcBorders>
            <w:shd w:val="clear" w:color="auto" w:fill="auto"/>
            <w:noWrap/>
            <w:vAlign w:val="center"/>
            <w:hideMark/>
          </w:tcPr>
          <w:p w14:paraId="1DE4F63F"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10</w:t>
            </w:r>
          </w:p>
        </w:tc>
        <w:tc>
          <w:tcPr>
            <w:tcW w:w="980" w:type="dxa"/>
            <w:tcBorders>
              <w:top w:val="nil"/>
              <w:left w:val="nil"/>
              <w:bottom w:val="single" w:sz="4" w:space="0" w:color="auto"/>
              <w:right w:val="single" w:sz="4" w:space="0" w:color="auto"/>
            </w:tcBorders>
            <w:shd w:val="clear" w:color="auto" w:fill="auto"/>
            <w:noWrap/>
            <w:vAlign w:val="center"/>
            <w:hideMark/>
          </w:tcPr>
          <w:p w14:paraId="73C7843C"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39,16</w:t>
            </w:r>
          </w:p>
        </w:tc>
        <w:tc>
          <w:tcPr>
            <w:tcW w:w="680" w:type="dxa"/>
            <w:tcBorders>
              <w:top w:val="nil"/>
              <w:left w:val="nil"/>
              <w:bottom w:val="single" w:sz="4" w:space="0" w:color="auto"/>
              <w:right w:val="single" w:sz="4" w:space="0" w:color="auto"/>
            </w:tcBorders>
            <w:shd w:val="clear" w:color="auto" w:fill="auto"/>
            <w:noWrap/>
            <w:vAlign w:val="center"/>
            <w:hideMark/>
          </w:tcPr>
          <w:p w14:paraId="4828D839"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21 %</w:t>
            </w:r>
          </w:p>
        </w:tc>
        <w:tc>
          <w:tcPr>
            <w:tcW w:w="980" w:type="dxa"/>
            <w:tcBorders>
              <w:top w:val="nil"/>
              <w:left w:val="nil"/>
              <w:bottom w:val="single" w:sz="4" w:space="0" w:color="auto"/>
              <w:right w:val="single" w:sz="4" w:space="0" w:color="auto"/>
            </w:tcBorders>
            <w:shd w:val="clear" w:color="auto" w:fill="auto"/>
            <w:noWrap/>
            <w:vAlign w:val="center"/>
            <w:hideMark/>
          </w:tcPr>
          <w:p w14:paraId="61FBE83C"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47,39</w:t>
            </w:r>
          </w:p>
        </w:tc>
        <w:tc>
          <w:tcPr>
            <w:tcW w:w="1020" w:type="dxa"/>
            <w:gridSpan w:val="2"/>
            <w:tcBorders>
              <w:top w:val="nil"/>
              <w:left w:val="nil"/>
              <w:bottom w:val="single" w:sz="4" w:space="0" w:color="auto"/>
              <w:right w:val="single" w:sz="4" w:space="0" w:color="auto"/>
            </w:tcBorders>
            <w:shd w:val="clear" w:color="auto" w:fill="auto"/>
            <w:noWrap/>
            <w:vAlign w:val="center"/>
            <w:hideMark/>
          </w:tcPr>
          <w:p w14:paraId="1809245C"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473,90</w:t>
            </w:r>
          </w:p>
        </w:tc>
        <w:tc>
          <w:tcPr>
            <w:tcW w:w="2920" w:type="dxa"/>
            <w:gridSpan w:val="2"/>
            <w:tcBorders>
              <w:top w:val="nil"/>
              <w:left w:val="nil"/>
              <w:bottom w:val="single" w:sz="4" w:space="0" w:color="auto"/>
              <w:right w:val="single" w:sz="4" w:space="0" w:color="auto"/>
            </w:tcBorders>
            <w:shd w:val="clear" w:color="auto" w:fill="auto"/>
            <w:vAlign w:val="center"/>
            <w:hideMark/>
          </w:tcPr>
          <w:p w14:paraId="31C499BE"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Ionoseal, gamintojas Voco, pakuotėje 2,5g. Naudojimo instrukcija 6.10 pirkimo dalis</w:t>
            </w:r>
          </w:p>
        </w:tc>
      </w:tr>
      <w:tr w:rsidR="00344AC6" w:rsidRPr="00344AC6" w14:paraId="594E2973" w14:textId="77777777" w:rsidTr="005F1605">
        <w:trPr>
          <w:trHeight w:val="1275"/>
        </w:trPr>
        <w:tc>
          <w:tcPr>
            <w:tcW w:w="1838" w:type="dxa"/>
            <w:tcBorders>
              <w:top w:val="nil"/>
              <w:left w:val="single" w:sz="4" w:space="0" w:color="auto"/>
              <w:bottom w:val="single" w:sz="4" w:space="0" w:color="auto"/>
              <w:right w:val="single" w:sz="4" w:space="0" w:color="auto"/>
            </w:tcBorders>
            <w:shd w:val="clear" w:color="auto" w:fill="auto"/>
            <w:noWrap/>
            <w:vAlign w:val="center"/>
            <w:hideMark/>
          </w:tcPr>
          <w:p w14:paraId="7632EE8E" w14:textId="77777777" w:rsidR="00344AC6" w:rsidRPr="00344AC6" w:rsidRDefault="00344AC6" w:rsidP="005F1605">
            <w:pPr>
              <w:spacing w:after="0" w:line="240" w:lineRule="auto"/>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lastRenderedPageBreak/>
              <w:t>6.11.</w:t>
            </w:r>
          </w:p>
        </w:tc>
        <w:tc>
          <w:tcPr>
            <w:tcW w:w="1616" w:type="dxa"/>
            <w:tcBorders>
              <w:top w:val="nil"/>
              <w:left w:val="nil"/>
              <w:bottom w:val="single" w:sz="4" w:space="0" w:color="auto"/>
              <w:right w:val="single" w:sz="4" w:space="0" w:color="auto"/>
            </w:tcBorders>
            <w:shd w:val="clear" w:color="auto" w:fill="auto"/>
            <w:vAlign w:val="center"/>
            <w:hideMark/>
          </w:tcPr>
          <w:p w14:paraId="1AF6B805" w14:textId="77777777" w:rsidR="00344AC6" w:rsidRPr="00344AC6" w:rsidRDefault="00344AC6" w:rsidP="005F1605">
            <w:pPr>
              <w:spacing w:after="0" w:line="240" w:lineRule="auto"/>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Silantas</w:t>
            </w:r>
          </w:p>
        </w:tc>
        <w:tc>
          <w:tcPr>
            <w:tcW w:w="2778" w:type="dxa"/>
            <w:tcBorders>
              <w:top w:val="nil"/>
              <w:left w:val="nil"/>
              <w:bottom w:val="single" w:sz="4" w:space="0" w:color="auto"/>
              <w:right w:val="single" w:sz="4" w:space="0" w:color="auto"/>
            </w:tcBorders>
            <w:shd w:val="clear" w:color="auto" w:fill="auto"/>
            <w:vAlign w:val="center"/>
            <w:hideMark/>
          </w:tcPr>
          <w:p w14:paraId="05FE6A2B" w14:textId="77777777" w:rsidR="00344AC6" w:rsidRPr="00344AC6" w:rsidRDefault="00344AC6" w:rsidP="005F1605">
            <w:pPr>
              <w:spacing w:after="0" w:line="240" w:lineRule="auto"/>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Spalvą keičiantis, fluoridus atpalaiduojantis, šviesa kietinamas kompozicinis vagelių ir duobelių silantas. Aplikuojant rausvos spalvos, kad būtų gerai matomas, sukietinus šviesa tampa natūralios dantų spalvos. Savybės: išskiria fluoridus, sudaro tvirtą jungtį su emaliu, itin plonos aplikavimo adatos. Švirkšte ne daugiau kaip 1,2g.</w:t>
            </w:r>
          </w:p>
        </w:tc>
        <w:tc>
          <w:tcPr>
            <w:tcW w:w="1134" w:type="dxa"/>
            <w:tcBorders>
              <w:top w:val="nil"/>
              <w:left w:val="nil"/>
              <w:bottom w:val="single" w:sz="4" w:space="0" w:color="auto"/>
              <w:right w:val="single" w:sz="4" w:space="0" w:color="auto"/>
            </w:tcBorders>
            <w:shd w:val="clear" w:color="auto" w:fill="auto"/>
            <w:noWrap/>
            <w:vAlign w:val="center"/>
            <w:hideMark/>
          </w:tcPr>
          <w:p w14:paraId="0C3B98A4"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proofErr w:type="gramStart"/>
            <w:r w:rsidRPr="00344AC6">
              <w:rPr>
                <w:rFonts w:ascii="Times New Roman" w:eastAsia="Times New Roman" w:hAnsi="Times New Roman" w:cs="Times New Roman"/>
                <w:color w:val="000000"/>
                <w:sz w:val="18"/>
                <w:szCs w:val="18"/>
              </w:rPr>
              <w:t>vnt</w:t>
            </w:r>
            <w:proofErr w:type="gramEnd"/>
            <w:r w:rsidRPr="00344AC6">
              <w:rPr>
                <w:rFonts w:ascii="Times New Roman" w:eastAsia="Times New Roman" w:hAnsi="Times New Roman" w:cs="Times New Roman"/>
                <w:color w:val="000000"/>
                <w:sz w:val="18"/>
                <w:szCs w:val="18"/>
              </w:rPr>
              <w:t>.</w:t>
            </w:r>
          </w:p>
        </w:tc>
        <w:tc>
          <w:tcPr>
            <w:tcW w:w="880" w:type="dxa"/>
            <w:tcBorders>
              <w:top w:val="nil"/>
              <w:left w:val="nil"/>
              <w:bottom w:val="single" w:sz="4" w:space="0" w:color="auto"/>
              <w:right w:val="single" w:sz="4" w:space="0" w:color="auto"/>
            </w:tcBorders>
            <w:shd w:val="clear" w:color="auto" w:fill="auto"/>
            <w:noWrap/>
            <w:vAlign w:val="center"/>
            <w:hideMark/>
          </w:tcPr>
          <w:p w14:paraId="655B74B6"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10</w:t>
            </w:r>
          </w:p>
        </w:tc>
        <w:tc>
          <w:tcPr>
            <w:tcW w:w="980" w:type="dxa"/>
            <w:tcBorders>
              <w:top w:val="nil"/>
              <w:left w:val="nil"/>
              <w:bottom w:val="single" w:sz="4" w:space="0" w:color="auto"/>
              <w:right w:val="single" w:sz="4" w:space="0" w:color="auto"/>
            </w:tcBorders>
            <w:shd w:val="clear" w:color="auto" w:fill="auto"/>
            <w:noWrap/>
            <w:vAlign w:val="center"/>
            <w:hideMark/>
          </w:tcPr>
          <w:p w14:paraId="00995F9C"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13,68</w:t>
            </w:r>
          </w:p>
        </w:tc>
        <w:tc>
          <w:tcPr>
            <w:tcW w:w="680" w:type="dxa"/>
            <w:tcBorders>
              <w:top w:val="nil"/>
              <w:left w:val="nil"/>
              <w:bottom w:val="single" w:sz="4" w:space="0" w:color="auto"/>
              <w:right w:val="single" w:sz="4" w:space="0" w:color="auto"/>
            </w:tcBorders>
            <w:shd w:val="clear" w:color="auto" w:fill="auto"/>
            <w:noWrap/>
            <w:vAlign w:val="center"/>
            <w:hideMark/>
          </w:tcPr>
          <w:p w14:paraId="16F58FF5"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21 %</w:t>
            </w:r>
          </w:p>
        </w:tc>
        <w:tc>
          <w:tcPr>
            <w:tcW w:w="980" w:type="dxa"/>
            <w:tcBorders>
              <w:top w:val="nil"/>
              <w:left w:val="nil"/>
              <w:bottom w:val="single" w:sz="4" w:space="0" w:color="auto"/>
              <w:right w:val="single" w:sz="4" w:space="0" w:color="auto"/>
            </w:tcBorders>
            <w:shd w:val="clear" w:color="auto" w:fill="auto"/>
            <w:noWrap/>
            <w:vAlign w:val="center"/>
            <w:hideMark/>
          </w:tcPr>
          <w:p w14:paraId="65A06AE4"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16,55</w:t>
            </w:r>
          </w:p>
        </w:tc>
        <w:tc>
          <w:tcPr>
            <w:tcW w:w="1020" w:type="dxa"/>
            <w:gridSpan w:val="2"/>
            <w:tcBorders>
              <w:top w:val="nil"/>
              <w:left w:val="nil"/>
              <w:bottom w:val="single" w:sz="4" w:space="0" w:color="auto"/>
              <w:right w:val="single" w:sz="4" w:space="0" w:color="auto"/>
            </w:tcBorders>
            <w:shd w:val="clear" w:color="auto" w:fill="auto"/>
            <w:noWrap/>
            <w:vAlign w:val="center"/>
            <w:hideMark/>
          </w:tcPr>
          <w:p w14:paraId="56319DB5"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165,50</w:t>
            </w:r>
          </w:p>
        </w:tc>
        <w:tc>
          <w:tcPr>
            <w:tcW w:w="2920" w:type="dxa"/>
            <w:gridSpan w:val="2"/>
            <w:tcBorders>
              <w:top w:val="nil"/>
              <w:left w:val="nil"/>
              <w:bottom w:val="single" w:sz="4" w:space="0" w:color="auto"/>
              <w:right w:val="single" w:sz="4" w:space="0" w:color="auto"/>
            </w:tcBorders>
            <w:shd w:val="clear" w:color="auto" w:fill="auto"/>
            <w:vAlign w:val="center"/>
            <w:hideMark/>
          </w:tcPr>
          <w:p w14:paraId="487C0810"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Clinpro seal, gamintojas 3M, pakuotėje po 1,2 ml. Naudojimo instrukcija 6.11 pirkimo dalis</w:t>
            </w:r>
          </w:p>
        </w:tc>
      </w:tr>
      <w:tr w:rsidR="00344AC6" w:rsidRPr="00344AC6" w14:paraId="1E35E342" w14:textId="77777777" w:rsidTr="005F1605">
        <w:trPr>
          <w:trHeight w:val="1043"/>
        </w:trPr>
        <w:tc>
          <w:tcPr>
            <w:tcW w:w="1838" w:type="dxa"/>
            <w:tcBorders>
              <w:top w:val="nil"/>
              <w:left w:val="single" w:sz="4" w:space="0" w:color="auto"/>
              <w:bottom w:val="single" w:sz="4" w:space="0" w:color="auto"/>
              <w:right w:val="single" w:sz="4" w:space="0" w:color="auto"/>
            </w:tcBorders>
            <w:shd w:val="clear" w:color="auto" w:fill="auto"/>
            <w:noWrap/>
            <w:vAlign w:val="center"/>
            <w:hideMark/>
          </w:tcPr>
          <w:p w14:paraId="2699003D" w14:textId="77777777" w:rsidR="00344AC6" w:rsidRPr="00344AC6" w:rsidRDefault="00344AC6" w:rsidP="005F1605">
            <w:pPr>
              <w:spacing w:after="0" w:line="240" w:lineRule="auto"/>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6.12.</w:t>
            </w:r>
          </w:p>
        </w:tc>
        <w:tc>
          <w:tcPr>
            <w:tcW w:w="1616" w:type="dxa"/>
            <w:tcBorders>
              <w:top w:val="nil"/>
              <w:left w:val="nil"/>
              <w:bottom w:val="single" w:sz="4" w:space="0" w:color="auto"/>
              <w:right w:val="single" w:sz="4" w:space="0" w:color="auto"/>
            </w:tcBorders>
            <w:shd w:val="clear" w:color="auto" w:fill="auto"/>
            <w:vAlign w:val="center"/>
            <w:hideMark/>
          </w:tcPr>
          <w:p w14:paraId="56AAE75F" w14:textId="77777777" w:rsidR="00344AC6" w:rsidRPr="00344AC6" w:rsidRDefault="00344AC6" w:rsidP="005F1605">
            <w:pPr>
              <w:spacing w:after="0" w:line="240" w:lineRule="auto"/>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Glazūravimui skirta medžiaga</w:t>
            </w:r>
          </w:p>
        </w:tc>
        <w:tc>
          <w:tcPr>
            <w:tcW w:w="2778" w:type="dxa"/>
            <w:tcBorders>
              <w:top w:val="nil"/>
              <w:left w:val="nil"/>
              <w:bottom w:val="single" w:sz="4" w:space="0" w:color="auto"/>
              <w:right w:val="single" w:sz="4" w:space="0" w:color="auto"/>
            </w:tcBorders>
            <w:shd w:val="clear" w:color="auto" w:fill="auto"/>
            <w:hideMark/>
          </w:tcPr>
          <w:p w14:paraId="757AFEBA" w14:textId="77777777" w:rsidR="00344AC6" w:rsidRPr="00344AC6" w:rsidRDefault="00344AC6" w:rsidP="005F1605">
            <w:pPr>
              <w:spacing w:after="0" w:line="240" w:lineRule="auto"/>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Skirta vagelių ir netiesioginių restauracijų padengimui, glazūravimui. Pakuotėje ne mažiau 15 ml. Optiglaze arba lygiavertis. Gamintojo originali pakuotė. Turi atitikti ES standartų reikalavimus. Būtinas CE sertifikatas, atitikties deklaracija su priedu konkrečiai medžiagai originalo ir lietuvių kalbomis.</w:t>
            </w:r>
          </w:p>
        </w:tc>
        <w:tc>
          <w:tcPr>
            <w:tcW w:w="1134" w:type="dxa"/>
            <w:tcBorders>
              <w:top w:val="nil"/>
              <w:left w:val="nil"/>
              <w:bottom w:val="single" w:sz="4" w:space="0" w:color="auto"/>
              <w:right w:val="single" w:sz="4" w:space="0" w:color="auto"/>
            </w:tcBorders>
            <w:shd w:val="clear" w:color="auto" w:fill="auto"/>
            <w:noWrap/>
            <w:vAlign w:val="center"/>
            <w:hideMark/>
          </w:tcPr>
          <w:p w14:paraId="0A8B0FE6"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proofErr w:type="gramStart"/>
            <w:r w:rsidRPr="00344AC6">
              <w:rPr>
                <w:rFonts w:ascii="Times New Roman" w:eastAsia="Times New Roman" w:hAnsi="Times New Roman" w:cs="Times New Roman"/>
                <w:color w:val="000000"/>
                <w:sz w:val="18"/>
                <w:szCs w:val="18"/>
              </w:rPr>
              <w:t>vnt</w:t>
            </w:r>
            <w:proofErr w:type="gramEnd"/>
            <w:r w:rsidRPr="00344AC6">
              <w:rPr>
                <w:rFonts w:ascii="Times New Roman" w:eastAsia="Times New Roman" w:hAnsi="Times New Roman" w:cs="Times New Roman"/>
                <w:color w:val="000000"/>
                <w:sz w:val="18"/>
                <w:szCs w:val="18"/>
              </w:rPr>
              <w:t>.</w:t>
            </w:r>
          </w:p>
        </w:tc>
        <w:tc>
          <w:tcPr>
            <w:tcW w:w="880" w:type="dxa"/>
            <w:tcBorders>
              <w:top w:val="nil"/>
              <w:left w:val="nil"/>
              <w:bottom w:val="single" w:sz="4" w:space="0" w:color="auto"/>
              <w:right w:val="single" w:sz="4" w:space="0" w:color="auto"/>
            </w:tcBorders>
            <w:shd w:val="clear" w:color="auto" w:fill="auto"/>
            <w:noWrap/>
            <w:vAlign w:val="center"/>
            <w:hideMark/>
          </w:tcPr>
          <w:p w14:paraId="13ED9471"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1</w:t>
            </w:r>
          </w:p>
        </w:tc>
        <w:tc>
          <w:tcPr>
            <w:tcW w:w="980" w:type="dxa"/>
            <w:tcBorders>
              <w:top w:val="nil"/>
              <w:left w:val="nil"/>
              <w:bottom w:val="single" w:sz="4" w:space="0" w:color="auto"/>
              <w:right w:val="single" w:sz="4" w:space="0" w:color="auto"/>
            </w:tcBorders>
            <w:shd w:val="clear" w:color="auto" w:fill="auto"/>
            <w:noWrap/>
            <w:vAlign w:val="center"/>
            <w:hideMark/>
          </w:tcPr>
          <w:p w14:paraId="1C647B22"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40,88</w:t>
            </w:r>
          </w:p>
        </w:tc>
        <w:tc>
          <w:tcPr>
            <w:tcW w:w="680" w:type="dxa"/>
            <w:tcBorders>
              <w:top w:val="nil"/>
              <w:left w:val="nil"/>
              <w:bottom w:val="single" w:sz="4" w:space="0" w:color="auto"/>
              <w:right w:val="single" w:sz="4" w:space="0" w:color="auto"/>
            </w:tcBorders>
            <w:shd w:val="clear" w:color="auto" w:fill="auto"/>
            <w:noWrap/>
            <w:vAlign w:val="center"/>
            <w:hideMark/>
          </w:tcPr>
          <w:p w14:paraId="55D49726"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21 %</w:t>
            </w:r>
          </w:p>
        </w:tc>
        <w:tc>
          <w:tcPr>
            <w:tcW w:w="980" w:type="dxa"/>
            <w:tcBorders>
              <w:top w:val="nil"/>
              <w:left w:val="nil"/>
              <w:bottom w:val="single" w:sz="4" w:space="0" w:color="auto"/>
              <w:right w:val="single" w:sz="4" w:space="0" w:color="auto"/>
            </w:tcBorders>
            <w:shd w:val="clear" w:color="auto" w:fill="auto"/>
            <w:noWrap/>
            <w:vAlign w:val="center"/>
            <w:hideMark/>
          </w:tcPr>
          <w:p w14:paraId="57B777CD"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49,45</w:t>
            </w:r>
          </w:p>
        </w:tc>
        <w:tc>
          <w:tcPr>
            <w:tcW w:w="1020" w:type="dxa"/>
            <w:gridSpan w:val="2"/>
            <w:tcBorders>
              <w:top w:val="nil"/>
              <w:left w:val="nil"/>
              <w:bottom w:val="single" w:sz="4" w:space="0" w:color="auto"/>
              <w:right w:val="single" w:sz="4" w:space="0" w:color="auto"/>
            </w:tcBorders>
            <w:shd w:val="clear" w:color="auto" w:fill="auto"/>
            <w:noWrap/>
            <w:vAlign w:val="center"/>
            <w:hideMark/>
          </w:tcPr>
          <w:p w14:paraId="347BDC00"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49,45</w:t>
            </w:r>
          </w:p>
        </w:tc>
        <w:tc>
          <w:tcPr>
            <w:tcW w:w="2920" w:type="dxa"/>
            <w:gridSpan w:val="2"/>
            <w:tcBorders>
              <w:top w:val="nil"/>
              <w:left w:val="nil"/>
              <w:bottom w:val="single" w:sz="4" w:space="0" w:color="auto"/>
              <w:right w:val="single" w:sz="4" w:space="0" w:color="auto"/>
            </w:tcBorders>
            <w:shd w:val="clear" w:color="auto" w:fill="auto"/>
            <w:vAlign w:val="center"/>
            <w:hideMark/>
          </w:tcPr>
          <w:p w14:paraId="0EB3AE64"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Optiglaze, gamintojas GC, pakuotėje 15 ml. Naudojimo instrukcija 6.12 pirkimo dalis</w:t>
            </w:r>
          </w:p>
        </w:tc>
      </w:tr>
      <w:tr w:rsidR="00344AC6" w:rsidRPr="00344AC6" w14:paraId="06C53E58" w14:textId="77777777" w:rsidTr="005F1605">
        <w:trPr>
          <w:trHeight w:val="1140"/>
        </w:trPr>
        <w:tc>
          <w:tcPr>
            <w:tcW w:w="1838" w:type="dxa"/>
            <w:tcBorders>
              <w:top w:val="nil"/>
              <w:left w:val="single" w:sz="4" w:space="0" w:color="auto"/>
              <w:bottom w:val="single" w:sz="4" w:space="0" w:color="auto"/>
              <w:right w:val="single" w:sz="4" w:space="0" w:color="auto"/>
            </w:tcBorders>
            <w:shd w:val="clear" w:color="auto" w:fill="auto"/>
            <w:noWrap/>
            <w:vAlign w:val="center"/>
            <w:hideMark/>
          </w:tcPr>
          <w:p w14:paraId="145C25E8" w14:textId="77777777" w:rsidR="00344AC6" w:rsidRPr="00344AC6" w:rsidRDefault="00344AC6" w:rsidP="005F1605">
            <w:pPr>
              <w:spacing w:after="0" w:line="240" w:lineRule="auto"/>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6.13.</w:t>
            </w:r>
          </w:p>
        </w:tc>
        <w:tc>
          <w:tcPr>
            <w:tcW w:w="1616" w:type="dxa"/>
            <w:tcBorders>
              <w:top w:val="nil"/>
              <w:left w:val="nil"/>
              <w:bottom w:val="single" w:sz="4" w:space="0" w:color="auto"/>
              <w:right w:val="single" w:sz="4" w:space="0" w:color="auto"/>
            </w:tcBorders>
            <w:shd w:val="clear" w:color="auto" w:fill="auto"/>
            <w:vAlign w:val="center"/>
            <w:hideMark/>
          </w:tcPr>
          <w:p w14:paraId="2E270156" w14:textId="77777777" w:rsidR="00344AC6" w:rsidRPr="00344AC6" w:rsidRDefault="00344AC6" w:rsidP="005F1605">
            <w:pPr>
              <w:spacing w:after="0" w:line="240" w:lineRule="auto"/>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Ėsdintojas</w:t>
            </w:r>
          </w:p>
        </w:tc>
        <w:tc>
          <w:tcPr>
            <w:tcW w:w="2778" w:type="dxa"/>
            <w:tcBorders>
              <w:top w:val="nil"/>
              <w:left w:val="nil"/>
              <w:bottom w:val="single" w:sz="4" w:space="0" w:color="auto"/>
              <w:right w:val="single" w:sz="4" w:space="0" w:color="auto"/>
            </w:tcBorders>
            <w:shd w:val="clear" w:color="auto" w:fill="auto"/>
            <w:hideMark/>
          </w:tcPr>
          <w:p w14:paraId="296B01BB" w14:textId="77777777" w:rsidR="00344AC6" w:rsidRPr="00344AC6" w:rsidRDefault="00344AC6" w:rsidP="005F1605">
            <w:pPr>
              <w:spacing w:after="0" w:line="240" w:lineRule="auto"/>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38%+-2% ortofosforo rūgšties; skirta emalio ir dentino ėsdinimui; išfasuota švirkštuose po 12ml Turi atitikti ES standartų reikalavimus. Gamintojo originali pakuotė. Turi atitikti ES standartų reikalavimus. Būtinas CE sertifikatas, atitikties deklaracija su priedu konkrečiai medžiagai originalo ir lietuvių kalbomis.</w:t>
            </w:r>
          </w:p>
        </w:tc>
        <w:tc>
          <w:tcPr>
            <w:tcW w:w="1134" w:type="dxa"/>
            <w:tcBorders>
              <w:top w:val="nil"/>
              <w:left w:val="nil"/>
              <w:bottom w:val="single" w:sz="4" w:space="0" w:color="auto"/>
              <w:right w:val="single" w:sz="4" w:space="0" w:color="auto"/>
            </w:tcBorders>
            <w:shd w:val="clear" w:color="auto" w:fill="auto"/>
            <w:noWrap/>
            <w:vAlign w:val="center"/>
            <w:hideMark/>
          </w:tcPr>
          <w:p w14:paraId="092E3356"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proofErr w:type="gramStart"/>
            <w:r w:rsidRPr="00344AC6">
              <w:rPr>
                <w:rFonts w:ascii="Times New Roman" w:eastAsia="Times New Roman" w:hAnsi="Times New Roman" w:cs="Times New Roman"/>
                <w:color w:val="000000"/>
                <w:sz w:val="18"/>
                <w:szCs w:val="18"/>
              </w:rPr>
              <w:t>šv</w:t>
            </w:r>
            <w:proofErr w:type="gramEnd"/>
            <w:r w:rsidRPr="00344AC6">
              <w:rPr>
                <w:rFonts w:ascii="Times New Roman" w:eastAsia="Times New Roman" w:hAnsi="Times New Roman" w:cs="Times New Roman"/>
                <w:color w:val="000000"/>
                <w:sz w:val="18"/>
                <w:szCs w:val="18"/>
              </w:rPr>
              <w:t>.</w:t>
            </w:r>
          </w:p>
        </w:tc>
        <w:tc>
          <w:tcPr>
            <w:tcW w:w="880" w:type="dxa"/>
            <w:tcBorders>
              <w:top w:val="nil"/>
              <w:left w:val="nil"/>
              <w:bottom w:val="single" w:sz="4" w:space="0" w:color="auto"/>
              <w:right w:val="single" w:sz="4" w:space="0" w:color="auto"/>
            </w:tcBorders>
            <w:shd w:val="clear" w:color="auto" w:fill="auto"/>
            <w:noWrap/>
            <w:vAlign w:val="center"/>
            <w:hideMark/>
          </w:tcPr>
          <w:p w14:paraId="4C7419E5"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25</w:t>
            </w:r>
          </w:p>
        </w:tc>
        <w:tc>
          <w:tcPr>
            <w:tcW w:w="980" w:type="dxa"/>
            <w:tcBorders>
              <w:top w:val="nil"/>
              <w:left w:val="nil"/>
              <w:bottom w:val="single" w:sz="4" w:space="0" w:color="auto"/>
              <w:right w:val="single" w:sz="4" w:space="0" w:color="auto"/>
            </w:tcBorders>
            <w:shd w:val="clear" w:color="auto" w:fill="auto"/>
            <w:noWrap/>
            <w:vAlign w:val="center"/>
            <w:hideMark/>
          </w:tcPr>
          <w:p w14:paraId="1D12541D"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4,98</w:t>
            </w:r>
          </w:p>
        </w:tc>
        <w:tc>
          <w:tcPr>
            <w:tcW w:w="680" w:type="dxa"/>
            <w:tcBorders>
              <w:top w:val="nil"/>
              <w:left w:val="nil"/>
              <w:bottom w:val="single" w:sz="4" w:space="0" w:color="auto"/>
              <w:right w:val="single" w:sz="4" w:space="0" w:color="auto"/>
            </w:tcBorders>
            <w:shd w:val="clear" w:color="auto" w:fill="auto"/>
            <w:noWrap/>
            <w:vAlign w:val="center"/>
            <w:hideMark/>
          </w:tcPr>
          <w:p w14:paraId="6331A1EB"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21 %</w:t>
            </w:r>
          </w:p>
        </w:tc>
        <w:tc>
          <w:tcPr>
            <w:tcW w:w="980" w:type="dxa"/>
            <w:tcBorders>
              <w:top w:val="nil"/>
              <w:left w:val="nil"/>
              <w:bottom w:val="single" w:sz="4" w:space="0" w:color="auto"/>
              <w:right w:val="single" w:sz="4" w:space="0" w:color="auto"/>
            </w:tcBorders>
            <w:shd w:val="clear" w:color="auto" w:fill="auto"/>
            <w:noWrap/>
            <w:vAlign w:val="center"/>
            <w:hideMark/>
          </w:tcPr>
          <w:p w14:paraId="021D95DB"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6,03</w:t>
            </w:r>
          </w:p>
        </w:tc>
        <w:tc>
          <w:tcPr>
            <w:tcW w:w="1020" w:type="dxa"/>
            <w:gridSpan w:val="2"/>
            <w:tcBorders>
              <w:top w:val="nil"/>
              <w:left w:val="nil"/>
              <w:bottom w:val="single" w:sz="4" w:space="0" w:color="auto"/>
              <w:right w:val="single" w:sz="4" w:space="0" w:color="auto"/>
            </w:tcBorders>
            <w:shd w:val="clear" w:color="auto" w:fill="auto"/>
            <w:noWrap/>
            <w:vAlign w:val="center"/>
            <w:hideMark/>
          </w:tcPr>
          <w:p w14:paraId="440AB219"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150,75</w:t>
            </w:r>
          </w:p>
        </w:tc>
        <w:tc>
          <w:tcPr>
            <w:tcW w:w="2920" w:type="dxa"/>
            <w:gridSpan w:val="2"/>
            <w:tcBorders>
              <w:top w:val="nil"/>
              <w:left w:val="nil"/>
              <w:bottom w:val="single" w:sz="4" w:space="0" w:color="auto"/>
              <w:right w:val="single" w:sz="4" w:space="0" w:color="auto"/>
            </w:tcBorders>
            <w:shd w:val="clear" w:color="auto" w:fill="auto"/>
            <w:vAlign w:val="center"/>
            <w:hideMark/>
          </w:tcPr>
          <w:p w14:paraId="695F441F"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I-Gel, gamintojas Medicinos linija, naudojimo instrukcija 6.13 pirkimo dalis</w:t>
            </w:r>
          </w:p>
        </w:tc>
      </w:tr>
      <w:tr w:rsidR="00344AC6" w:rsidRPr="00344AC6" w14:paraId="1BE16D97" w14:textId="77777777" w:rsidTr="005F1605">
        <w:trPr>
          <w:trHeight w:val="1785"/>
        </w:trPr>
        <w:tc>
          <w:tcPr>
            <w:tcW w:w="1838" w:type="dxa"/>
            <w:tcBorders>
              <w:top w:val="nil"/>
              <w:left w:val="single" w:sz="4" w:space="0" w:color="auto"/>
              <w:bottom w:val="single" w:sz="4" w:space="0" w:color="auto"/>
              <w:right w:val="single" w:sz="4" w:space="0" w:color="auto"/>
            </w:tcBorders>
            <w:shd w:val="clear" w:color="auto" w:fill="auto"/>
            <w:noWrap/>
            <w:vAlign w:val="center"/>
            <w:hideMark/>
          </w:tcPr>
          <w:p w14:paraId="57F56AB8" w14:textId="77777777" w:rsidR="00344AC6" w:rsidRPr="00344AC6" w:rsidRDefault="00344AC6" w:rsidP="005F1605">
            <w:pPr>
              <w:spacing w:after="0" w:line="240" w:lineRule="auto"/>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6.14.</w:t>
            </w:r>
          </w:p>
        </w:tc>
        <w:tc>
          <w:tcPr>
            <w:tcW w:w="1616" w:type="dxa"/>
            <w:tcBorders>
              <w:top w:val="nil"/>
              <w:left w:val="nil"/>
              <w:bottom w:val="single" w:sz="4" w:space="0" w:color="auto"/>
              <w:right w:val="single" w:sz="4" w:space="0" w:color="auto"/>
            </w:tcBorders>
            <w:shd w:val="clear" w:color="auto" w:fill="auto"/>
            <w:vAlign w:val="center"/>
            <w:hideMark/>
          </w:tcPr>
          <w:p w14:paraId="7D0BE9E2" w14:textId="77777777" w:rsidR="00344AC6" w:rsidRPr="00344AC6" w:rsidRDefault="00344AC6" w:rsidP="005F1605">
            <w:pPr>
              <w:spacing w:after="0" w:line="240" w:lineRule="auto"/>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Surišimo sistema VII kartos</w:t>
            </w:r>
          </w:p>
        </w:tc>
        <w:tc>
          <w:tcPr>
            <w:tcW w:w="2778" w:type="dxa"/>
            <w:tcBorders>
              <w:top w:val="nil"/>
              <w:left w:val="nil"/>
              <w:bottom w:val="single" w:sz="4" w:space="0" w:color="auto"/>
              <w:right w:val="single" w:sz="4" w:space="0" w:color="auto"/>
            </w:tcBorders>
            <w:shd w:val="clear" w:color="auto" w:fill="auto"/>
            <w:vAlign w:val="center"/>
            <w:hideMark/>
          </w:tcPr>
          <w:p w14:paraId="4D188986" w14:textId="77777777" w:rsidR="00344AC6" w:rsidRPr="00344AC6" w:rsidRDefault="00344AC6" w:rsidP="005F1605">
            <w:pPr>
              <w:spacing w:after="0" w:line="240" w:lineRule="auto"/>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 xml:space="preserve">VII kartos surišiklis, vienkomponentinis, savaime ėsdinimo, viena aplikacija, nereikia nuplauti, nemaišyti. Darbo procedūros laikas ne daugiau 45s., sluoksnio storis ne daugiaus 8 mikro metrų, padidintas darbo laikas iki nemažiaus kaip 5 min. Dozuojama punksnakočio tipo pipetėje, kuriame ne daugiaus 2 ml. G Premio-Bond arba lygiavertis.  Gamintojo originali pakuotė. Turi atitikti ES standartų reikalavimus. Būtinas CE sertifikatas, atitikties deklaracija su </w:t>
            </w:r>
            <w:r w:rsidRPr="00344AC6">
              <w:rPr>
                <w:rFonts w:ascii="Times New Roman" w:eastAsia="Times New Roman" w:hAnsi="Times New Roman" w:cs="Times New Roman"/>
                <w:color w:val="000000"/>
                <w:sz w:val="18"/>
                <w:szCs w:val="18"/>
              </w:rPr>
              <w:lastRenderedPageBreak/>
              <w:t>priedu konkrečiai medžiagai originalo ir lietuvių kalbomis.</w:t>
            </w:r>
          </w:p>
        </w:tc>
        <w:tc>
          <w:tcPr>
            <w:tcW w:w="1134" w:type="dxa"/>
            <w:tcBorders>
              <w:top w:val="nil"/>
              <w:left w:val="nil"/>
              <w:bottom w:val="single" w:sz="4" w:space="0" w:color="auto"/>
              <w:right w:val="single" w:sz="4" w:space="0" w:color="auto"/>
            </w:tcBorders>
            <w:shd w:val="clear" w:color="auto" w:fill="auto"/>
            <w:noWrap/>
            <w:vAlign w:val="center"/>
            <w:hideMark/>
          </w:tcPr>
          <w:p w14:paraId="4160AE6C"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proofErr w:type="gramStart"/>
            <w:r w:rsidRPr="00344AC6">
              <w:rPr>
                <w:rFonts w:ascii="Times New Roman" w:eastAsia="Times New Roman" w:hAnsi="Times New Roman" w:cs="Times New Roman"/>
                <w:color w:val="000000"/>
                <w:sz w:val="18"/>
                <w:szCs w:val="18"/>
              </w:rPr>
              <w:lastRenderedPageBreak/>
              <w:t>vnt</w:t>
            </w:r>
            <w:proofErr w:type="gramEnd"/>
            <w:r w:rsidRPr="00344AC6">
              <w:rPr>
                <w:rFonts w:ascii="Times New Roman" w:eastAsia="Times New Roman" w:hAnsi="Times New Roman" w:cs="Times New Roman"/>
                <w:color w:val="000000"/>
                <w:sz w:val="18"/>
                <w:szCs w:val="18"/>
              </w:rPr>
              <w:t>.</w:t>
            </w:r>
          </w:p>
        </w:tc>
        <w:tc>
          <w:tcPr>
            <w:tcW w:w="880" w:type="dxa"/>
            <w:tcBorders>
              <w:top w:val="nil"/>
              <w:left w:val="nil"/>
              <w:bottom w:val="single" w:sz="4" w:space="0" w:color="auto"/>
              <w:right w:val="single" w:sz="4" w:space="0" w:color="auto"/>
            </w:tcBorders>
            <w:shd w:val="clear" w:color="auto" w:fill="auto"/>
            <w:noWrap/>
            <w:vAlign w:val="center"/>
            <w:hideMark/>
          </w:tcPr>
          <w:p w14:paraId="35104FC9"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20</w:t>
            </w:r>
          </w:p>
        </w:tc>
        <w:tc>
          <w:tcPr>
            <w:tcW w:w="980" w:type="dxa"/>
            <w:tcBorders>
              <w:top w:val="nil"/>
              <w:left w:val="nil"/>
              <w:bottom w:val="single" w:sz="4" w:space="0" w:color="auto"/>
              <w:right w:val="single" w:sz="4" w:space="0" w:color="auto"/>
            </w:tcBorders>
            <w:shd w:val="clear" w:color="auto" w:fill="auto"/>
            <w:noWrap/>
            <w:vAlign w:val="center"/>
            <w:hideMark/>
          </w:tcPr>
          <w:p w14:paraId="4DD190BC"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67,62</w:t>
            </w:r>
          </w:p>
        </w:tc>
        <w:tc>
          <w:tcPr>
            <w:tcW w:w="680" w:type="dxa"/>
            <w:tcBorders>
              <w:top w:val="nil"/>
              <w:left w:val="nil"/>
              <w:bottom w:val="single" w:sz="4" w:space="0" w:color="auto"/>
              <w:right w:val="single" w:sz="4" w:space="0" w:color="auto"/>
            </w:tcBorders>
            <w:shd w:val="clear" w:color="auto" w:fill="auto"/>
            <w:noWrap/>
            <w:vAlign w:val="center"/>
            <w:hideMark/>
          </w:tcPr>
          <w:p w14:paraId="7BAA5768"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21 %</w:t>
            </w:r>
          </w:p>
        </w:tc>
        <w:tc>
          <w:tcPr>
            <w:tcW w:w="980" w:type="dxa"/>
            <w:tcBorders>
              <w:top w:val="nil"/>
              <w:left w:val="nil"/>
              <w:bottom w:val="single" w:sz="4" w:space="0" w:color="auto"/>
              <w:right w:val="single" w:sz="4" w:space="0" w:color="auto"/>
            </w:tcBorders>
            <w:shd w:val="clear" w:color="auto" w:fill="auto"/>
            <w:noWrap/>
            <w:vAlign w:val="center"/>
            <w:hideMark/>
          </w:tcPr>
          <w:p w14:paraId="50E82C30"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81,82</w:t>
            </w:r>
          </w:p>
        </w:tc>
        <w:tc>
          <w:tcPr>
            <w:tcW w:w="1020" w:type="dxa"/>
            <w:gridSpan w:val="2"/>
            <w:tcBorders>
              <w:top w:val="nil"/>
              <w:left w:val="nil"/>
              <w:bottom w:val="single" w:sz="4" w:space="0" w:color="auto"/>
              <w:right w:val="single" w:sz="4" w:space="0" w:color="auto"/>
            </w:tcBorders>
            <w:shd w:val="clear" w:color="auto" w:fill="auto"/>
            <w:noWrap/>
            <w:vAlign w:val="center"/>
            <w:hideMark/>
          </w:tcPr>
          <w:p w14:paraId="75F40D91"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1636,40</w:t>
            </w:r>
          </w:p>
        </w:tc>
        <w:tc>
          <w:tcPr>
            <w:tcW w:w="2920" w:type="dxa"/>
            <w:gridSpan w:val="2"/>
            <w:tcBorders>
              <w:top w:val="nil"/>
              <w:left w:val="nil"/>
              <w:bottom w:val="single" w:sz="4" w:space="0" w:color="auto"/>
              <w:right w:val="single" w:sz="4" w:space="0" w:color="auto"/>
            </w:tcBorders>
            <w:shd w:val="clear" w:color="auto" w:fill="auto"/>
            <w:vAlign w:val="center"/>
            <w:hideMark/>
          </w:tcPr>
          <w:p w14:paraId="2EB9759A"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G-PREMIO BOND, gamintojas GC. Naudojimo instrukcija 6.4 pirkimo dalis</w:t>
            </w:r>
          </w:p>
        </w:tc>
      </w:tr>
      <w:tr w:rsidR="00344AC6" w:rsidRPr="00344AC6" w14:paraId="7B4527D2" w14:textId="77777777" w:rsidTr="005F1605">
        <w:trPr>
          <w:trHeight w:val="1275"/>
        </w:trPr>
        <w:tc>
          <w:tcPr>
            <w:tcW w:w="1838" w:type="dxa"/>
            <w:tcBorders>
              <w:top w:val="nil"/>
              <w:left w:val="single" w:sz="4" w:space="0" w:color="auto"/>
              <w:bottom w:val="single" w:sz="4" w:space="0" w:color="auto"/>
              <w:right w:val="single" w:sz="4" w:space="0" w:color="auto"/>
            </w:tcBorders>
            <w:shd w:val="clear" w:color="auto" w:fill="auto"/>
            <w:noWrap/>
            <w:vAlign w:val="center"/>
            <w:hideMark/>
          </w:tcPr>
          <w:p w14:paraId="3235E8C3"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lastRenderedPageBreak/>
              <w:t>6.15.</w:t>
            </w:r>
          </w:p>
        </w:tc>
        <w:tc>
          <w:tcPr>
            <w:tcW w:w="1616" w:type="dxa"/>
            <w:tcBorders>
              <w:top w:val="nil"/>
              <w:left w:val="nil"/>
              <w:bottom w:val="single" w:sz="4" w:space="0" w:color="auto"/>
              <w:right w:val="single" w:sz="4" w:space="0" w:color="auto"/>
            </w:tcBorders>
            <w:shd w:val="clear" w:color="auto" w:fill="auto"/>
            <w:vAlign w:val="center"/>
            <w:hideMark/>
          </w:tcPr>
          <w:p w14:paraId="592F4F70" w14:textId="77777777" w:rsidR="00344AC6" w:rsidRPr="00344AC6" w:rsidRDefault="00344AC6" w:rsidP="005F1605">
            <w:pPr>
              <w:spacing w:after="0" w:line="240" w:lineRule="auto"/>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Mineralinis trioksido agregatas (MTA)</w:t>
            </w:r>
          </w:p>
        </w:tc>
        <w:tc>
          <w:tcPr>
            <w:tcW w:w="2778" w:type="dxa"/>
            <w:tcBorders>
              <w:top w:val="nil"/>
              <w:left w:val="nil"/>
              <w:bottom w:val="single" w:sz="4" w:space="0" w:color="auto"/>
              <w:right w:val="single" w:sz="4" w:space="0" w:color="auto"/>
            </w:tcBorders>
            <w:shd w:val="clear" w:color="auto" w:fill="auto"/>
            <w:hideMark/>
          </w:tcPr>
          <w:p w14:paraId="07076A49" w14:textId="77777777" w:rsidR="00344AC6" w:rsidRPr="00344AC6" w:rsidRDefault="00344AC6" w:rsidP="005F1605">
            <w:pPr>
              <w:spacing w:after="0" w:line="240" w:lineRule="auto"/>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Medžiaga skirta šaknies kanalo perforacijoms, vidinei rezorbcijai, retrogradiniam šaknies kanalo užpildymui, pulpos tiesioginiam padengimui. Gamintojo originali pakuotė. Turi atitikti ES standartų reikalavimus. Būtinas CE sertifikatas, atitikties deklaracija su priedu konkrečiai medžiagai originalo ir lietuvių kalbomis.</w:t>
            </w:r>
          </w:p>
        </w:tc>
        <w:tc>
          <w:tcPr>
            <w:tcW w:w="1134" w:type="dxa"/>
            <w:tcBorders>
              <w:top w:val="nil"/>
              <w:left w:val="nil"/>
              <w:bottom w:val="single" w:sz="4" w:space="0" w:color="auto"/>
              <w:right w:val="single" w:sz="4" w:space="0" w:color="auto"/>
            </w:tcBorders>
            <w:shd w:val="clear" w:color="auto" w:fill="auto"/>
            <w:noWrap/>
            <w:vAlign w:val="center"/>
            <w:hideMark/>
          </w:tcPr>
          <w:p w14:paraId="428529E4"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proofErr w:type="gramStart"/>
            <w:r w:rsidRPr="00344AC6">
              <w:rPr>
                <w:rFonts w:ascii="Times New Roman" w:eastAsia="Times New Roman" w:hAnsi="Times New Roman" w:cs="Times New Roman"/>
                <w:color w:val="000000"/>
                <w:sz w:val="18"/>
                <w:szCs w:val="18"/>
              </w:rPr>
              <w:t>vnt</w:t>
            </w:r>
            <w:proofErr w:type="gramEnd"/>
            <w:r w:rsidRPr="00344AC6">
              <w:rPr>
                <w:rFonts w:ascii="Times New Roman" w:eastAsia="Times New Roman" w:hAnsi="Times New Roman" w:cs="Times New Roman"/>
                <w:color w:val="000000"/>
                <w:sz w:val="18"/>
                <w:szCs w:val="18"/>
              </w:rPr>
              <w:t>.</w:t>
            </w:r>
          </w:p>
        </w:tc>
        <w:tc>
          <w:tcPr>
            <w:tcW w:w="880" w:type="dxa"/>
            <w:tcBorders>
              <w:top w:val="nil"/>
              <w:left w:val="nil"/>
              <w:bottom w:val="single" w:sz="4" w:space="0" w:color="auto"/>
              <w:right w:val="single" w:sz="4" w:space="0" w:color="auto"/>
            </w:tcBorders>
            <w:shd w:val="clear" w:color="auto" w:fill="auto"/>
            <w:noWrap/>
            <w:vAlign w:val="center"/>
            <w:hideMark/>
          </w:tcPr>
          <w:p w14:paraId="09A4F296"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2</w:t>
            </w:r>
          </w:p>
        </w:tc>
        <w:tc>
          <w:tcPr>
            <w:tcW w:w="980" w:type="dxa"/>
            <w:tcBorders>
              <w:top w:val="nil"/>
              <w:left w:val="nil"/>
              <w:bottom w:val="single" w:sz="4" w:space="0" w:color="auto"/>
              <w:right w:val="single" w:sz="4" w:space="0" w:color="auto"/>
            </w:tcBorders>
            <w:shd w:val="clear" w:color="auto" w:fill="auto"/>
            <w:noWrap/>
            <w:vAlign w:val="center"/>
            <w:hideMark/>
          </w:tcPr>
          <w:p w14:paraId="17FB2768"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28,98</w:t>
            </w:r>
          </w:p>
        </w:tc>
        <w:tc>
          <w:tcPr>
            <w:tcW w:w="680" w:type="dxa"/>
            <w:tcBorders>
              <w:top w:val="nil"/>
              <w:left w:val="nil"/>
              <w:bottom w:val="single" w:sz="4" w:space="0" w:color="auto"/>
              <w:right w:val="single" w:sz="4" w:space="0" w:color="auto"/>
            </w:tcBorders>
            <w:shd w:val="clear" w:color="auto" w:fill="auto"/>
            <w:noWrap/>
            <w:vAlign w:val="center"/>
            <w:hideMark/>
          </w:tcPr>
          <w:p w14:paraId="19237C21"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21 %</w:t>
            </w:r>
          </w:p>
        </w:tc>
        <w:tc>
          <w:tcPr>
            <w:tcW w:w="980" w:type="dxa"/>
            <w:tcBorders>
              <w:top w:val="nil"/>
              <w:left w:val="nil"/>
              <w:bottom w:val="single" w:sz="4" w:space="0" w:color="auto"/>
              <w:right w:val="single" w:sz="4" w:space="0" w:color="auto"/>
            </w:tcBorders>
            <w:shd w:val="clear" w:color="auto" w:fill="auto"/>
            <w:noWrap/>
            <w:vAlign w:val="center"/>
            <w:hideMark/>
          </w:tcPr>
          <w:p w14:paraId="015DAC13"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35,07</w:t>
            </w:r>
          </w:p>
        </w:tc>
        <w:tc>
          <w:tcPr>
            <w:tcW w:w="1020" w:type="dxa"/>
            <w:gridSpan w:val="2"/>
            <w:tcBorders>
              <w:top w:val="nil"/>
              <w:left w:val="nil"/>
              <w:bottom w:val="single" w:sz="4" w:space="0" w:color="auto"/>
              <w:right w:val="single" w:sz="4" w:space="0" w:color="auto"/>
            </w:tcBorders>
            <w:shd w:val="clear" w:color="auto" w:fill="auto"/>
            <w:noWrap/>
            <w:vAlign w:val="center"/>
            <w:hideMark/>
          </w:tcPr>
          <w:p w14:paraId="019EFD38"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70,14</w:t>
            </w:r>
          </w:p>
        </w:tc>
        <w:tc>
          <w:tcPr>
            <w:tcW w:w="2920" w:type="dxa"/>
            <w:gridSpan w:val="2"/>
            <w:tcBorders>
              <w:top w:val="nil"/>
              <w:left w:val="nil"/>
              <w:bottom w:val="single" w:sz="4" w:space="0" w:color="auto"/>
              <w:right w:val="single" w:sz="4" w:space="0" w:color="auto"/>
            </w:tcBorders>
            <w:shd w:val="clear" w:color="auto" w:fill="auto"/>
            <w:vAlign w:val="center"/>
            <w:hideMark/>
          </w:tcPr>
          <w:p w14:paraId="4B64F62E"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MTA, gamintojas Cerkamed, pakuotėje 10x0</w:t>
            </w:r>
            <w:proofErr w:type="gramStart"/>
            <w:r w:rsidRPr="00344AC6">
              <w:rPr>
                <w:rFonts w:ascii="Times New Roman" w:eastAsia="Times New Roman" w:hAnsi="Times New Roman" w:cs="Times New Roman"/>
                <w:color w:val="000000"/>
                <w:sz w:val="18"/>
                <w:szCs w:val="18"/>
              </w:rPr>
              <w:t>,14</w:t>
            </w:r>
            <w:proofErr w:type="gramEnd"/>
            <w:r w:rsidRPr="00344AC6">
              <w:rPr>
                <w:rFonts w:ascii="Times New Roman" w:eastAsia="Times New Roman" w:hAnsi="Times New Roman" w:cs="Times New Roman"/>
                <w:color w:val="000000"/>
                <w:sz w:val="18"/>
                <w:szCs w:val="18"/>
              </w:rPr>
              <w:t xml:space="preserve"> . Naudojimo instrukcija 6.15 pirkimo dalis</w:t>
            </w:r>
          </w:p>
        </w:tc>
      </w:tr>
      <w:tr w:rsidR="00344AC6" w:rsidRPr="00344AC6" w14:paraId="111F7899" w14:textId="77777777" w:rsidTr="005F1605">
        <w:trPr>
          <w:trHeight w:val="1020"/>
        </w:trPr>
        <w:tc>
          <w:tcPr>
            <w:tcW w:w="1838" w:type="dxa"/>
            <w:tcBorders>
              <w:top w:val="nil"/>
              <w:left w:val="single" w:sz="4" w:space="0" w:color="auto"/>
              <w:bottom w:val="single" w:sz="4" w:space="0" w:color="auto"/>
              <w:right w:val="single" w:sz="4" w:space="0" w:color="auto"/>
            </w:tcBorders>
            <w:shd w:val="clear" w:color="auto" w:fill="auto"/>
            <w:noWrap/>
            <w:vAlign w:val="center"/>
            <w:hideMark/>
          </w:tcPr>
          <w:p w14:paraId="2715A478"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6.16.</w:t>
            </w:r>
          </w:p>
        </w:tc>
        <w:tc>
          <w:tcPr>
            <w:tcW w:w="1616" w:type="dxa"/>
            <w:tcBorders>
              <w:top w:val="nil"/>
              <w:left w:val="nil"/>
              <w:bottom w:val="single" w:sz="4" w:space="0" w:color="auto"/>
              <w:right w:val="single" w:sz="4" w:space="0" w:color="auto"/>
            </w:tcBorders>
            <w:shd w:val="clear" w:color="auto" w:fill="auto"/>
            <w:vAlign w:val="center"/>
            <w:hideMark/>
          </w:tcPr>
          <w:p w14:paraId="045348C5" w14:textId="77777777" w:rsidR="00344AC6" w:rsidRPr="00344AC6" w:rsidRDefault="00344AC6" w:rsidP="005F1605">
            <w:pPr>
              <w:spacing w:after="0" w:line="240" w:lineRule="auto"/>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Lakas skirtas stiklo jonomerams</w:t>
            </w:r>
          </w:p>
        </w:tc>
        <w:tc>
          <w:tcPr>
            <w:tcW w:w="2778" w:type="dxa"/>
            <w:tcBorders>
              <w:top w:val="nil"/>
              <w:left w:val="nil"/>
              <w:bottom w:val="single" w:sz="4" w:space="0" w:color="auto"/>
              <w:right w:val="single" w:sz="4" w:space="0" w:color="auto"/>
            </w:tcBorders>
            <w:shd w:val="clear" w:color="auto" w:fill="auto"/>
            <w:hideMark/>
          </w:tcPr>
          <w:p w14:paraId="0A1B5163" w14:textId="77777777" w:rsidR="00344AC6" w:rsidRPr="00344AC6" w:rsidRDefault="00344AC6" w:rsidP="005F1605">
            <w:pPr>
              <w:spacing w:after="0" w:line="240" w:lineRule="auto"/>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Lakas skirtas padengti stiklo jonomerams pakuotėje ne mažiau 6ml lako. Gamintojo originali pakuotė. Turi atitikti ES standartų reikalavimus. Būtinas CE sertifikatas, atitikties deklaracija su priedu konkrečiai medžiagai originalo ir lietuvių kalbomis.</w:t>
            </w:r>
          </w:p>
        </w:tc>
        <w:tc>
          <w:tcPr>
            <w:tcW w:w="1134" w:type="dxa"/>
            <w:tcBorders>
              <w:top w:val="nil"/>
              <w:left w:val="nil"/>
              <w:bottom w:val="single" w:sz="4" w:space="0" w:color="auto"/>
              <w:right w:val="single" w:sz="4" w:space="0" w:color="auto"/>
            </w:tcBorders>
            <w:shd w:val="clear" w:color="auto" w:fill="auto"/>
            <w:noWrap/>
            <w:vAlign w:val="center"/>
            <w:hideMark/>
          </w:tcPr>
          <w:p w14:paraId="550DEFB2"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proofErr w:type="gramStart"/>
            <w:r w:rsidRPr="00344AC6">
              <w:rPr>
                <w:rFonts w:ascii="Times New Roman" w:eastAsia="Times New Roman" w:hAnsi="Times New Roman" w:cs="Times New Roman"/>
                <w:color w:val="000000"/>
                <w:sz w:val="18"/>
                <w:szCs w:val="18"/>
              </w:rPr>
              <w:t>vnt</w:t>
            </w:r>
            <w:proofErr w:type="gramEnd"/>
            <w:r w:rsidRPr="00344AC6">
              <w:rPr>
                <w:rFonts w:ascii="Times New Roman" w:eastAsia="Times New Roman" w:hAnsi="Times New Roman" w:cs="Times New Roman"/>
                <w:color w:val="000000"/>
                <w:sz w:val="18"/>
                <w:szCs w:val="18"/>
              </w:rPr>
              <w:t>.</w:t>
            </w:r>
          </w:p>
        </w:tc>
        <w:tc>
          <w:tcPr>
            <w:tcW w:w="880" w:type="dxa"/>
            <w:tcBorders>
              <w:top w:val="nil"/>
              <w:left w:val="nil"/>
              <w:bottom w:val="single" w:sz="4" w:space="0" w:color="auto"/>
              <w:right w:val="single" w:sz="4" w:space="0" w:color="auto"/>
            </w:tcBorders>
            <w:shd w:val="clear" w:color="auto" w:fill="auto"/>
            <w:noWrap/>
            <w:vAlign w:val="center"/>
            <w:hideMark/>
          </w:tcPr>
          <w:p w14:paraId="12B16A5D"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1</w:t>
            </w:r>
          </w:p>
        </w:tc>
        <w:tc>
          <w:tcPr>
            <w:tcW w:w="980" w:type="dxa"/>
            <w:tcBorders>
              <w:top w:val="nil"/>
              <w:left w:val="nil"/>
              <w:bottom w:val="single" w:sz="4" w:space="0" w:color="auto"/>
              <w:right w:val="single" w:sz="4" w:space="0" w:color="auto"/>
            </w:tcBorders>
            <w:shd w:val="clear" w:color="auto" w:fill="auto"/>
            <w:noWrap/>
            <w:vAlign w:val="center"/>
            <w:hideMark/>
          </w:tcPr>
          <w:p w14:paraId="3B4A3E70"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57,98</w:t>
            </w:r>
          </w:p>
        </w:tc>
        <w:tc>
          <w:tcPr>
            <w:tcW w:w="680" w:type="dxa"/>
            <w:tcBorders>
              <w:top w:val="nil"/>
              <w:left w:val="nil"/>
              <w:bottom w:val="single" w:sz="4" w:space="0" w:color="auto"/>
              <w:right w:val="single" w:sz="4" w:space="0" w:color="auto"/>
            </w:tcBorders>
            <w:shd w:val="clear" w:color="auto" w:fill="auto"/>
            <w:noWrap/>
            <w:vAlign w:val="center"/>
            <w:hideMark/>
          </w:tcPr>
          <w:p w14:paraId="2A4A218F"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21 %</w:t>
            </w:r>
          </w:p>
        </w:tc>
        <w:tc>
          <w:tcPr>
            <w:tcW w:w="980" w:type="dxa"/>
            <w:tcBorders>
              <w:top w:val="nil"/>
              <w:left w:val="nil"/>
              <w:bottom w:val="single" w:sz="4" w:space="0" w:color="auto"/>
              <w:right w:val="single" w:sz="4" w:space="0" w:color="auto"/>
            </w:tcBorders>
            <w:shd w:val="clear" w:color="auto" w:fill="auto"/>
            <w:noWrap/>
            <w:vAlign w:val="center"/>
            <w:hideMark/>
          </w:tcPr>
          <w:p w14:paraId="78F640BD"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70,16</w:t>
            </w:r>
          </w:p>
        </w:tc>
        <w:tc>
          <w:tcPr>
            <w:tcW w:w="1020" w:type="dxa"/>
            <w:gridSpan w:val="2"/>
            <w:tcBorders>
              <w:top w:val="nil"/>
              <w:left w:val="nil"/>
              <w:bottom w:val="single" w:sz="4" w:space="0" w:color="auto"/>
              <w:right w:val="single" w:sz="4" w:space="0" w:color="auto"/>
            </w:tcBorders>
            <w:shd w:val="clear" w:color="auto" w:fill="auto"/>
            <w:noWrap/>
            <w:vAlign w:val="center"/>
            <w:hideMark/>
          </w:tcPr>
          <w:p w14:paraId="1A1E920A"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70,16</w:t>
            </w:r>
          </w:p>
        </w:tc>
        <w:tc>
          <w:tcPr>
            <w:tcW w:w="2920" w:type="dxa"/>
            <w:gridSpan w:val="2"/>
            <w:tcBorders>
              <w:top w:val="nil"/>
              <w:left w:val="nil"/>
              <w:bottom w:val="single" w:sz="4" w:space="0" w:color="auto"/>
              <w:right w:val="single" w:sz="4" w:space="0" w:color="auto"/>
            </w:tcBorders>
            <w:shd w:val="clear" w:color="auto" w:fill="auto"/>
            <w:vAlign w:val="center"/>
            <w:hideMark/>
          </w:tcPr>
          <w:p w14:paraId="21D55B62"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Equia coat, gamintojas GC, naudojimo instrukcija 6.16 pirkimo dalis</w:t>
            </w:r>
          </w:p>
        </w:tc>
      </w:tr>
      <w:tr w:rsidR="00344AC6" w:rsidRPr="00344AC6" w14:paraId="525557A1" w14:textId="77777777" w:rsidTr="005F1605">
        <w:trPr>
          <w:gridAfter w:val="1"/>
          <w:wAfter w:w="2888" w:type="dxa"/>
          <w:trHeight w:val="270"/>
        </w:trPr>
        <w:tc>
          <w:tcPr>
            <w:tcW w:w="10918"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7F624FAF" w14:textId="77777777" w:rsidR="00344AC6" w:rsidRPr="00344AC6" w:rsidRDefault="00344AC6" w:rsidP="005F1605">
            <w:pPr>
              <w:spacing w:after="0" w:line="240" w:lineRule="auto"/>
              <w:jc w:val="right"/>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Iš viso pirkimo dalies suma EUR, su PVM</w:t>
            </w:r>
          </w:p>
        </w:tc>
        <w:tc>
          <w:tcPr>
            <w:tcW w:w="1020" w:type="dxa"/>
            <w:gridSpan w:val="2"/>
            <w:tcBorders>
              <w:top w:val="nil"/>
              <w:left w:val="nil"/>
              <w:bottom w:val="single" w:sz="4" w:space="0" w:color="auto"/>
              <w:right w:val="single" w:sz="4" w:space="0" w:color="auto"/>
            </w:tcBorders>
            <w:shd w:val="clear" w:color="auto" w:fill="auto"/>
            <w:noWrap/>
            <w:vAlign w:val="center"/>
            <w:hideMark/>
          </w:tcPr>
          <w:p w14:paraId="7997DF10" w14:textId="77777777" w:rsidR="00344AC6" w:rsidRPr="00344AC6" w:rsidRDefault="00344AC6" w:rsidP="005F1605">
            <w:pPr>
              <w:spacing w:after="0" w:line="240" w:lineRule="auto"/>
              <w:jc w:val="center"/>
              <w:rPr>
                <w:rFonts w:ascii="Times New Roman" w:eastAsia="Times New Roman" w:hAnsi="Times New Roman" w:cs="Times New Roman"/>
                <w:b/>
                <w:bCs/>
                <w:color w:val="000000"/>
                <w:sz w:val="18"/>
                <w:szCs w:val="18"/>
              </w:rPr>
            </w:pPr>
            <w:r w:rsidRPr="00344AC6">
              <w:rPr>
                <w:rFonts w:ascii="Times New Roman" w:eastAsia="Times New Roman" w:hAnsi="Times New Roman" w:cs="Times New Roman"/>
                <w:b/>
                <w:bCs/>
                <w:color w:val="000000"/>
                <w:sz w:val="18"/>
                <w:szCs w:val="18"/>
              </w:rPr>
              <w:t>19120,53</w:t>
            </w:r>
          </w:p>
        </w:tc>
      </w:tr>
      <w:tr w:rsidR="00344AC6" w:rsidRPr="00344AC6" w14:paraId="01409434" w14:textId="77777777" w:rsidTr="005F1605">
        <w:trPr>
          <w:trHeight w:val="255"/>
        </w:trPr>
        <w:tc>
          <w:tcPr>
            <w:tcW w:w="1838" w:type="dxa"/>
            <w:tcBorders>
              <w:top w:val="nil"/>
              <w:left w:val="single" w:sz="4" w:space="0" w:color="auto"/>
              <w:bottom w:val="single" w:sz="4" w:space="0" w:color="auto"/>
              <w:right w:val="single" w:sz="4" w:space="0" w:color="auto"/>
            </w:tcBorders>
            <w:shd w:val="clear" w:color="C0C0C0" w:fill="D9D9D9"/>
            <w:noWrap/>
            <w:vAlign w:val="center"/>
            <w:hideMark/>
          </w:tcPr>
          <w:p w14:paraId="2F0FAE34" w14:textId="77777777" w:rsidR="00344AC6" w:rsidRPr="00344AC6" w:rsidRDefault="00344AC6" w:rsidP="005F1605">
            <w:pPr>
              <w:spacing w:after="0" w:line="240" w:lineRule="auto"/>
              <w:rPr>
                <w:rFonts w:ascii="Times New Roman" w:eastAsia="Times New Roman" w:hAnsi="Times New Roman" w:cs="Times New Roman"/>
                <w:b/>
                <w:bCs/>
                <w:color w:val="000000"/>
                <w:sz w:val="18"/>
                <w:szCs w:val="18"/>
              </w:rPr>
            </w:pPr>
            <w:r w:rsidRPr="00344AC6">
              <w:rPr>
                <w:rFonts w:ascii="Times New Roman" w:eastAsia="Times New Roman" w:hAnsi="Times New Roman" w:cs="Times New Roman"/>
                <w:b/>
                <w:bCs/>
                <w:color w:val="000000"/>
                <w:sz w:val="18"/>
                <w:szCs w:val="18"/>
              </w:rPr>
              <w:t>7. PIRKIMO OBJEKTO DALIS. Tepalas turbininiams antgaliams</w:t>
            </w:r>
          </w:p>
        </w:tc>
        <w:tc>
          <w:tcPr>
            <w:tcW w:w="1616" w:type="dxa"/>
            <w:tcBorders>
              <w:top w:val="nil"/>
              <w:left w:val="nil"/>
              <w:bottom w:val="single" w:sz="4" w:space="0" w:color="auto"/>
              <w:right w:val="single" w:sz="4" w:space="0" w:color="auto"/>
            </w:tcBorders>
            <w:shd w:val="clear" w:color="C0C0C0" w:fill="D9D9D9"/>
            <w:vAlign w:val="center"/>
            <w:hideMark/>
          </w:tcPr>
          <w:p w14:paraId="079ADE41" w14:textId="77777777" w:rsidR="00344AC6" w:rsidRPr="00344AC6" w:rsidRDefault="00344AC6" w:rsidP="005F1605">
            <w:pPr>
              <w:spacing w:after="0" w:line="240" w:lineRule="auto"/>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 </w:t>
            </w:r>
          </w:p>
        </w:tc>
        <w:tc>
          <w:tcPr>
            <w:tcW w:w="2778" w:type="dxa"/>
            <w:tcBorders>
              <w:top w:val="nil"/>
              <w:left w:val="nil"/>
              <w:bottom w:val="single" w:sz="4" w:space="0" w:color="auto"/>
              <w:right w:val="single" w:sz="4" w:space="0" w:color="auto"/>
            </w:tcBorders>
            <w:shd w:val="clear" w:color="C0C0C0" w:fill="D9D9D9"/>
            <w:vAlign w:val="center"/>
            <w:hideMark/>
          </w:tcPr>
          <w:p w14:paraId="5B4D2387" w14:textId="77777777" w:rsidR="00344AC6" w:rsidRPr="00344AC6" w:rsidRDefault="00344AC6" w:rsidP="005F1605">
            <w:pPr>
              <w:spacing w:after="0" w:line="240" w:lineRule="auto"/>
              <w:rPr>
                <w:rFonts w:ascii="Times New Roman" w:eastAsia="Times New Roman" w:hAnsi="Times New Roman" w:cs="Times New Roman"/>
                <w:b/>
                <w:bCs/>
                <w:color w:val="000000"/>
                <w:sz w:val="18"/>
                <w:szCs w:val="18"/>
              </w:rPr>
            </w:pPr>
            <w:r w:rsidRPr="00344AC6">
              <w:rPr>
                <w:rFonts w:ascii="Times New Roman" w:eastAsia="Times New Roman" w:hAnsi="Times New Roman" w:cs="Times New Roman"/>
                <w:b/>
                <w:bCs/>
                <w:color w:val="000000"/>
                <w:sz w:val="18"/>
                <w:szCs w:val="18"/>
              </w:rPr>
              <w:t xml:space="preserve"> Priemonės odontologiniams antgaliams</w:t>
            </w:r>
          </w:p>
        </w:tc>
        <w:tc>
          <w:tcPr>
            <w:tcW w:w="1134" w:type="dxa"/>
            <w:tcBorders>
              <w:top w:val="nil"/>
              <w:left w:val="nil"/>
              <w:bottom w:val="single" w:sz="4" w:space="0" w:color="auto"/>
              <w:right w:val="single" w:sz="4" w:space="0" w:color="auto"/>
            </w:tcBorders>
            <w:shd w:val="clear" w:color="C0C0C0" w:fill="D9D9D9"/>
            <w:noWrap/>
            <w:vAlign w:val="center"/>
            <w:hideMark/>
          </w:tcPr>
          <w:p w14:paraId="3958C98F"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 </w:t>
            </w:r>
          </w:p>
        </w:tc>
        <w:tc>
          <w:tcPr>
            <w:tcW w:w="880" w:type="dxa"/>
            <w:tcBorders>
              <w:top w:val="nil"/>
              <w:left w:val="nil"/>
              <w:bottom w:val="single" w:sz="4" w:space="0" w:color="auto"/>
              <w:right w:val="single" w:sz="4" w:space="0" w:color="auto"/>
            </w:tcBorders>
            <w:shd w:val="clear" w:color="C0C0C0" w:fill="D9D9D9"/>
            <w:noWrap/>
            <w:vAlign w:val="center"/>
            <w:hideMark/>
          </w:tcPr>
          <w:p w14:paraId="1E3952C9"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 </w:t>
            </w:r>
          </w:p>
        </w:tc>
        <w:tc>
          <w:tcPr>
            <w:tcW w:w="980" w:type="dxa"/>
            <w:tcBorders>
              <w:top w:val="nil"/>
              <w:left w:val="nil"/>
              <w:bottom w:val="single" w:sz="4" w:space="0" w:color="auto"/>
              <w:right w:val="single" w:sz="4" w:space="0" w:color="auto"/>
            </w:tcBorders>
            <w:shd w:val="clear" w:color="C0C0C0" w:fill="D9D9D9"/>
            <w:noWrap/>
            <w:vAlign w:val="center"/>
            <w:hideMark/>
          </w:tcPr>
          <w:p w14:paraId="1829A8B6"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 </w:t>
            </w:r>
          </w:p>
        </w:tc>
        <w:tc>
          <w:tcPr>
            <w:tcW w:w="680" w:type="dxa"/>
            <w:tcBorders>
              <w:top w:val="nil"/>
              <w:left w:val="nil"/>
              <w:bottom w:val="single" w:sz="4" w:space="0" w:color="auto"/>
              <w:right w:val="single" w:sz="4" w:space="0" w:color="auto"/>
            </w:tcBorders>
            <w:shd w:val="clear" w:color="C0C0C0" w:fill="D9D9D9"/>
            <w:noWrap/>
            <w:vAlign w:val="center"/>
            <w:hideMark/>
          </w:tcPr>
          <w:p w14:paraId="113A10BB"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 </w:t>
            </w:r>
          </w:p>
        </w:tc>
        <w:tc>
          <w:tcPr>
            <w:tcW w:w="980" w:type="dxa"/>
            <w:tcBorders>
              <w:top w:val="nil"/>
              <w:left w:val="nil"/>
              <w:bottom w:val="single" w:sz="4" w:space="0" w:color="auto"/>
              <w:right w:val="single" w:sz="4" w:space="0" w:color="auto"/>
            </w:tcBorders>
            <w:shd w:val="clear" w:color="C0C0C0" w:fill="D9D9D9"/>
            <w:noWrap/>
            <w:vAlign w:val="center"/>
            <w:hideMark/>
          </w:tcPr>
          <w:p w14:paraId="7BA09BC3"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 </w:t>
            </w:r>
          </w:p>
        </w:tc>
        <w:tc>
          <w:tcPr>
            <w:tcW w:w="1020" w:type="dxa"/>
            <w:gridSpan w:val="2"/>
            <w:tcBorders>
              <w:top w:val="nil"/>
              <w:left w:val="nil"/>
              <w:bottom w:val="single" w:sz="4" w:space="0" w:color="auto"/>
              <w:right w:val="single" w:sz="4" w:space="0" w:color="auto"/>
            </w:tcBorders>
            <w:shd w:val="clear" w:color="C0C0C0" w:fill="D9D9D9"/>
            <w:noWrap/>
            <w:vAlign w:val="center"/>
            <w:hideMark/>
          </w:tcPr>
          <w:p w14:paraId="5B849321"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 </w:t>
            </w:r>
          </w:p>
        </w:tc>
        <w:tc>
          <w:tcPr>
            <w:tcW w:w="2920" w:type="dxa"/>
            <w:gridSpan w:val="2"/>
            <w:tcBorders>
              <w:top w:val="nil"/>
              <w:left w:val="nil"/>
              <w:bottom w:val="single" w:sz="4" w:space="0" w:color="auto"/>
              <w:right w:val="single" w:sz="4" w:space="0" w:color="auto"/>
            </w:tcBorders>
            <w:shd w:val="clear" w:color="C0C0C0" w:fill="D9D9D9"/>
            <w:vAlign w:val="center"/>
            <w:hideMark/>
          </w:tcPr>
          <w:p w14:paraId="080D4C9B" w14:textId="77777777" w:rsidR="00344AC6" w:rsidRPr="00344AC6" w:rsidRDefault="00344AC6" w:rsidP="005F1605">
            <w:pPr>
              <w:spacing w:after="0" w:line="240" w:lineRule="auto"/>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 </w:t>
            </w:r>
          </w:p>
        </w:tc>
      </w:tr>
      <w:tr w:rsidR="00344AC6" w:rsidRPr="00344AC6" w14:paraId="5B2FC96E" w14:textId="77777777" w:rsidTr="005F1605">
        <w:trPr>
          <w:trHeight w:val="2220"/>
        </w:trPr>
        <w:tc>
          <w:tcPr>
            <w:tcW w:w="1838" w:type="dxa"/>
            <w:tcBorders>
              <w:top w:val="nil"/>
              <w:left w:val="single" w:sz="4" w:space="0" w:color="auto"/>
              <w:bottom w:val="single" w:sz="4" w:space="0" w:color="auto"/>
              <w:right w:val="single" w:sz="4" w:space="0" w:color="auto"/>
            </w:tcBorders>
            <w:shd w:val="clear" w:color="auto" w:fill="auto"/>
            <w:noWrap/>
            <w:vAlign w:val="center"/>
            <w:hideMark/>
          </w:tcPr>
          <w:p w14:paraId="258243B8" w14:textId="77777777" w:rsidR="00344AC6" w:rsidRPr="00344AC6" w:rsidRDefault="00344AC6" w:rsidP="005F1605">
            <w:pPr>
              <w:spacing w:after="0" w:line="240" w:lineRule="auto"/>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7.1.</w:t>
            </w:r>
          </w:p>
        </w:tc>
        <w:tc>
          <w:tcPr>
            <w:tcW w:w="1616" w:type="dxa"/>
            <w:tcBorders>
              <w:top w:val="nil"/>
              <w:left w:val="nil"/>
              <w:bottom w:val="single" w:sz="4" w:space="0" w:color="auto"/>
              <w:right w:val="single" w:sz="4" w:space="0" w:color="auto"/>
            </w:tcBorders>
            <w:shd w:val="clear" w:color="auto" w:fill="auto"/>
            <w:vAlign w:val="center"/>
            <w:hideMark/>
          </w:tcPr>
          <w:p w14:paraId="116C9F7F" w14:textId="77777777" w:rsidR="00344AC6" w:rsidRPr="00344AC6" w:rsidRDefault="00344AC6" w:rsidP="005F1605">
            <w:pPr>
              <w:spacing w:after="0" w:line="240" w:lineRule="auto"/>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Priemonės odontologiniams antgaliams</w:t>
            </w:r>
          </w:p>
        </w:tc>
        <w:tc>
          <w:tcPr>
            <w:tcW w:w="2778" w:type="dxa"/>
            <w:tcBorders>
              <w:top w:val="nil"/>
              <w:left w:val="nil"/>
              <w:bottom w:val="single" w:sz="4" w:space="0" w:color="auto"/>
              <w:right w:val="single" w:sz="4" w:space="0" w:color="auto"/>
            </w:tcBorders>
            <w:shd w:val="clear" w:color="auto" w:fill="auto"/>
            <w:vAlign w:val="center"/>
            <w:hideMark/>
          </w:tcPr>
          <w:p w14:paraId="0F2F8C37" w14:textId="77777777" w:rsidR="00344AC6" w:rsidRPr="00344AC6" w:rsidRDefault="00344AC6" w:rsidP="005F1605">
            <w:pPr>
              <w:spacing w:after="0" w:line="240" w:lineRule="auto"/>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 xml:space="preserve">Alyvos ir praploviklio rinkinys turbininių, kampinių ir tiesių antgalių priežiūrai. Alyva – aerozolinė, buteliukas 500 ml talpos (+/- 10%), Sudėtyje alyva 25-50% ribose, butanas 10-25% ribose, propanas 10-25% ribose. Su kiekvienu alyvos flakonėliu pateikiamos tepimo jungtys: kampiniams/tiesiams antgaliams, prisukumai turbinai, turbinai ant Unifix greitos jungties, turbinai ant Multiflex greitos </w:t>
            </w:r>
            <w:proofErr w:type="gramStart"/>
            <w:r w:rsidRPr="00344AC6">
              <w:rPr>
                <w:rFonts w:ascii="Times New Roman" w:eastAsia="Times New Roman" w:hAnsi="Times New Roman" w:cs="Times New Roman"/>
                <w:color w:val="000000"/>
                <w:sz w:val="18"/>
                <w:szCs w:val="18"/>
              </w:rPr>
              <w:t>jungties .</w:t>
            </w:r>
            <w:proofErr w:type="gramEnd"/>
            <w:r w:rsidRPr="00344AC6">
              <w:rPr>
                <w:rFonts w:ascii="Times New Roman" w:eastAsia="Times New Roman" w:hAnsi="Times New Roman" w:cs="Times New Roman"/>
                <w:color w:val="000000"/>
                <w:sz w:val="18"/>
                <w:szCs w:val="18"/>
              </w:rPr>
              <w:t xml:space="preserve"> </w:t>
            </w:r>
            <w:r w:rsidRPr="00344AC6">
              <w:rPr>
                <w:rFonts w:ascii="Times New Roman" w:eastAsia="Times New Roman" w:hAnsi="Times New Roman" w:cs="Times New Roman"/>
                <w:color w:val="000000"/>
                <w:sz w:val="18"/>
                <w:szCs w:val="18"/>
              </w:rPr>
              <w:lastRenderedPageBreak/>
              <w:t>Praploviklis – aerozolinis, buteliukas 500 ml talpos (+/- 10%), sudėtyje etanolio kiekis 50-70% ribose, butanas  5-15% ribose,  propano 5-15% ribose. Su kiekvienu flakonėliu pateikiamos tepimo jungtys: kampiniams/tiesiams antgaliams, prisukumai turbinai</w:t>
            </w:r>
          </w:p>
        </w:tc>
        <w:tc>
          <w:tcPr>
            <w:tcW w:w="1134" w:type="dxa"/>
            <w:tcBorders>
              <w:top w:val="nil"/>
              <w:left w:val="nil"/>
              <w:bottom w:val="single" w:sz="4" w:space="0" w:color="auto"/>
              <w:right w:val="single" w:sz="4" w:space="0" w:color="auto"/>
            </w:tcBorders>
            <w:shd w:val="clear" w:color="auto" w:fill="auto"/>
            <w:noWrap/>
            <w:vAlign w:val="center"/>
            <w:hideMark/>
          </w:tcPr>
          <w:p w14:paraId="2E22D73C"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proofErr w:type="gramStart"/>
            <w:r w:rsidRPr="00344AC6">
              <w:rPr>
                <w:rFonts w:ascii="Times New Roman" w:eastAsia="Times New Roman" w:hAnsi="Times New Roman" w:cs="Times New Roman"/>
                <w:color w:val="000000"/>
                <w:sz w:val="18"/>
                <w:szCs w:val="18"/>
              </w:rPr>
              <w:lastRenderedPageBreak/>
              <w:t>rink</w:t>
            </w:r>
            <w:proofErr w:type="gramEnd"/>
            <w:r w:rsidRPr="00344AC6">
              <w:rPr>
                <w:rFonts w:ascii="Times New Roman" w:eastAsia="Times New Roman" w:hAnsi="Times New Roman" w:cs="Times New Roman"/>
                <w:color w:val="000000"/>
                <w:sz w:val="18"/>
                <w:szCs w:val="18"/>
              </w:rPr>
              <w:t>.</w:t>
            </w:r>
          </w:p>
        </w:tc>
        <w:tc>
          <w:tcPr>
            <w:tcW w:w="880" w:type="dxa"/>
            <w:tcBorders>
              <w:top w:val="nil"/>
              <w:left w:val="nil"/>
              <w:bottom w:val="single" w:sz="4" w:space="0" w:color="auto"/>
              <w:right w:val="single" w:sz="4" w:space="0" w:color="auto"/>
            </w:tcBorders>
            <w:shd w:val="clear" w:color="auto" w:fill="auto"/>
            <w:noWrap/>
            <w:vAlign w:val="center"/>
            <w:hideMark/>
          </w:tcPr>
          <w:p w14:paraId="09A7F24D"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16</w:t>
            </w:r>
          </w:p>
        </w:tc>
        <w:tc>
          <w:tcPr>
            <w:tcW w:w="980" w:type="dxa"/>
            <w:tcBorders>
              <w:top w:val="nil"/>
              <w:left w:val="nil"/>
              <w:bottom w:val="single" w:sz="4" w:space="0" w:color="auto"/>
              <w:right w:val="single" w:sz="4" w:space="0" w:color="auto"/>
            </w:tcBorders>
            <w:shd w:val="clear" w:color="auto" w:fill="auto"/>
            <w:noWrap/>
            <w:vAlign w:val="center"/>
            <w:hideMark/>
          </w:tcPr>
          <w:p w14:paraId="0B073979"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49,59</w:t>
            </w:r>
          </w:p>
        </w:tc>
        <w:tc>
          <w:tcPr>
            <w:tcW w:w="680" w:type="dxa"/>
            <w:tcBorders>
              <w:top w:val="nil"/>
              <w:left w:val="nil"/>
              <w:bottom w:val="single" w:sz="4" w:space="0" w:color="auto"/>
              <w:right w:val="single" w:sz="4" w:space="0" w:color="auto"/>
            </w:tcBorders>
            <w:shd w:val="clear" w:color="auto" w:fill="auto"/>
            <w:noWrap/>
            <w:vAlign w:val="center"/>
            <w:hideMark/>
          </w:tcPr>
          <w:p w14:paraId="2F348959"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21 %</w:t>
            </w:r>
          </w:p>
        </w:tc>
        <w:tc>
          <w:tcPr>
            <w:tcW w:w="980" w:type="dxa"/>
            <w:tcBorders>
              <w:top w:val="nil"/>
              <w:left w:val="nil"/>
              <w:bottom w:val="single" w:sz="4" w:space="0" w:color="auto"/>
              <w:right w:val="single" w:sz="4" w:space="0" w:color="auto"/>
            </w:tcBorders>
            <w:shd w:val="clear" w:color="auto" w:fill="auto"/>
            <w:noWrap/>
            <w:vAlign w:val="center"/>
            <w:hideMark/>
          </w:tcPr>
          <w:p w14:paraId="0D85E7E0"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60,00</w:t>
            </w:r>
          </w:p>
        </w:tc>
        <w:tc>
          <w:tcPr>
            <w:tcW w:w="1020" w:type="dxa"/>
            <w:gridSpan w:val="2"/>
            <w:tcBorders>
              <w:top w:val="nil"/>
              <w:left w:val="nil"/>
              <w:bottom w:val="single" w:sz="4" w:space="0" w:color="auto"/>
              <w:right w:val="single" w:sz="4" w:space="0" w:color="auto"/>
            </w:tcBorders>
            <w:shd w:val="clear" w:color="auto" w:fill="auto"/>
            <w:noWrap/>
            <w:vAlign w:val="center"/>
            <w:hideMark/>
          </w:tcPr>
          <w:p w14:paraId="651D319C"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960,00</w:t>
            </w:r>
          </w:p>
        </w:tc>
        <w:tc>
          <w:tcPr>
            <w:tcW w:w="2920" w:type="dxa"/>
            <w:gridSpan w:val="2"/>
            <w:tcBorders>
              <w:top w:val="nil"/>
              <w:left w:val="nil"/>
              <w:bottom w:val="single" w:sz="4" w:space="0" w:color="auto"/>
              <w:right w:val="single" w:sz="4" w:space="0" w:color="auto"/>
            </w:tcBorders>
            <w:shd w:val="clear" w:color="auto" w:fill="auto"/>
            <w:vAlign w:val="center"/>
            <w:hideMark/>
          </w:tcPr>
          <w:p w14:paraId="2C051CD4" w14:textId="77777777" w:rsidR="00344AC6" w:rsidRPr="00344AC6" w:rsidRDefault="00344AC6" w:rsidP="005F1605">
            <w:pPr>
              <w:spacing w:after="0" w:line="240" w:lineRule="auto"/>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Lubrifluid-tepalas, Spraynet-praploviklis, gamintojas Bien Air, pakuotėje po 500 ml. Katalogo nuotrauka 7 pirkimo dalis</w:t>
            </w:r>
          </w:p>
        </w:tc>
      </w:tr>
      <w:tr w:rsidR="00344AC6" w:rsidRPr="00344AC6" w14:paraId="2C6E5607" w14:textId="77777777" w:rsidTr="005F1605">
        <w:trPr>
          <w:gridAfter w:val="1"/>
          <w:wAfter w:w="2888" w:type="dxa"/>
          <w:trHeight w:val="289"/>
        </w:trPr>
        <w:tc>
          <w:tcPr>
            <w:tcW w:w="10918"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534F67B0" w14:textId="77777777" w:rsidR="00344AC6" w:rsidRPr="00344AC6" w:rsidRDefault="00344AC6" w:rsidP="005F1605">
            <w:pPr>
              <w:spacing w:after="0" w:line="240" w:lineRule="auto"/>
              <w:jc w:val="right"/>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lastRenderedPageBreak/>
              <w:t>Iš viso pirkimo dalies suma EUR, su PVM</w:t>
            </w:r>
          </w:p>
        </w:tc>
        <w:tc>
          <w:tcPr>
            <w:tcW w:w="1020" w:type="dxa"/>
            <w:gridSpan w:val="2"/>
            <w:tcBorders>
              <w:top w:val="nil"/>
              <w:left w:val="nil"/>
              <w:bottom w:val="single" w:sz="4" w:space="0" w:color="auto"/>
              <w:right w:val="single" w:sz="4" w:space="0" w:color="auto"/>
            </w:tcBorders>
            <w:shd w:val="clear" w:color="auto" w:fill="auto"/>
            <w:noWrap/>
            <w:vAlign w:val="center"/>
            <w:hideMark/>
          </w:tcPr>
          <w:p w14:paraId="2849A5E7" w14:textId="77777777" w:rsidR="00344AC6" w:rsidRPr="00344AC6" w:rsidRDefault="00344AC6" w:rsidP="005F1605">
            <w:pPr>
              <w:spacing w:after="0" w:line="240" w:lineRule="auto"/>
              <w:jc w:val="center"/>
              <w:rPr>
                <w:rFonts w:ascii="Times New Roman" w:eastAsia="Times New Roman" w:hAnsi="Times New Roman" w:cs="Times New Roman"/>
                <w:b/>
                <w:bCs/>
                <w:color w:val="000000"/>
                <w:sz w:val="18"/>
                <w:szCs w:val="18"/>
              </w:rPr>
            </w:pPr>
            <w:r w:rsidRPr="00344AC6">
              <w:rPr>
                <w:rFonts w:ascii="Times New Roman" w:eastAsia="Times New Roman" w:hAnsi="Times New Roman" w:cs="Times New Roman"/>
                <w:b/>
                <w:bCs/>
                <w:color w:val="000000"/>
                <w:sz w:val="18"/>
                <w:szCs w:val="18"/>
              </w:rPr>
              <w:t>960,00</w:t>
            </w:r>
          </w:p>
        </w:tc>
      </w:tr>
    </w:tbl>
    <w:p w14:paraId="415F64BB" w14:textId="77777777" w:rsidR="00344AC6" w:rsidRPr="00344AC6" w:rsidRDefault="00344AC6">
      <w:pPr>
        <w:rPr>
          <w:rFonts w:ascii="Times New Roman" w:hAnsi="Times New Roman" w:cs="Times New Roman"/>
          <w:sz w:val="18"/>
          <w:szCs w:val="18"/>
        </w:rPr>
      </w:pPr>
    </w:p>
    <w:p w14:paraId="61A55C3B" w14:textId="77777777" w:rsidR="00344AC6" w:rsidRDefault="00344AC6">
      <w:pPr>
        <w:rPr>
          <w:rFonts w:ascii="Times New Roman" w:hAnsi="Times New Roman" w:cs="Times New Roman"/>
        </w:rPr>
      </w:pPr>
    </w:p>
    <w:tbl>
      <w:tblPr>
        <w:tblW w:w="9787" w:type="dxa"/>
        <w:tblLook w:val="04A0" w:firstRow="1" w:lastRow="0" w:firstColumn="1" w:lastColumn="0" w:noHBand="0" w:noVBand="1"/>
      </w:tblPr>
      <w:tblGrid>
        <w:gridCol w:w="4819"/>
        <w:gridCol w:w="4968"/>
      </w:tblGrid>
      <w:tr w:rsidR="00344AC6" w:rsidRPr="00D3089D" w14:paraId="6BEB9C53" w14:textId="77777777" w:rsidTr="005F1605">
        <w:tc>
          <w:tcPr>
            <w:tcW w:w="4819" w:type="dxa"/>
          </w:tcPr>
          <w:p w14:paraId="1D51A425" w14:textId="77777777" w:rsidR="00344AC6" w:rsidRDefault="00344AC6" w:rsidP="005F1605">
            <w:pPr>
              <w:tabs>
                <w:tab w:val="left" w:pos="1800"/>
              </w:tabs>
              <w:spacing w:after="0" w:line="240" w:lineRule="auto"/>
              <w:contextualSpacing/>
              <w:jc w:val="both"/>
              <w:rPr>
                <w:rFonts w:ascii="Times New Roman" w:eastAsia="Times New Roman" w:hAnsi="Times New Roman" w:cs="Times New Roman"/>
                <w:lang w:val="lt-LT"/>
              </w:rPr>
            </w:pPr>
            <w:r>
              <w:rPr>
                <w:rFonts w:ascii="Times New Roman" w:eastAsia="Times New Roman" w:hAnsi="Times New Roman" w:cs="Times New Roman"/>
                <w:lang w:val="lt-LT"/>
              </w:rPr>
              <w:t>Direktorius</w:t>
            </w:r>
          </w:p>
          <w:p w14:paraId="6012D6A9" w14:textId="77777777" w:rsidR="00344AC6" w:rsidRPr="00D3089D" w:rsidRDefault="00344AC6" w:rsidP="005F1605">
            <w:pPr>
              <w:tabs>
                <w:tab w:val="left" w:pos="1800"/>
              </w:tabs>
              <w:spacing w:after="0" w:line="240" w:lineRule="auto"/>
              <w:contextualSpacing/>
              <w:jc w:val="both"/>
              <w:rPr>
                <w:rFonts w:ascii="Times New Roman" w:eastAsia="Times New Roman" w:hAnsi="Times New Roman" w:cs="Times New Roman"/>
                <w:lang w:val="lt-LT"/>
              </w:rPr>
            </w:pPr>
            <w:r>
              <w:rPr>
                <w:rFonts w:ascii="Times New Roman" w:eastAsia="Times New Roman" w:hAnsi="Times New Roman" w:cs="Times New Roman"/>
                <w:lang w:val="lt-LT"/>
              </w:rPr>
              <w:t>Linas Stankevičius</w:t>
            </w:r>
          </w:p>
        </w:tc>
        <w:tc>
          <w:tcPr>
            <w:tcW w:w="4968" w:type="dxa"/>
          </w:tcPr>
          <w:p w14:paraId="4DC20C93" w14:textId="77777777" w:rsidR="00344AC6" w:rsidRPr="00D3089D" w:rsidRDefault="00344AC6" w:rsidP="005F1605">
            <w:pPr>
              <w:tabs>
                <w:tab w:val="left" w:pos="1800"/>
              </w:tabs>
              <w:spacing w:after="0" w:line="240" w:lineRule="auto"/>
              <w:contextualSpacing/>
              <w:jc w:val="both"/>
              <w:rPr>
                <w:rFonts w:ascii="Times New Roman" w:eastAsia="Times New Roman" w:hAnsi="Times New Roman" w:cs="Times New Roman"/>
                <w:lang w:val="lt-LT"/>
              </w:rPr>
            </w:pPr>
            <w:r w:rsidRPr="00D3089D">
              <w:rPr>
                <w:rFonts w:ascii="Times New Roman" w:eastAsia="Times New Roman" w:hAnsi="Times New Roman" w:cs="Times New Roman"/>
                <w:lang w:val="lt-LT"/>
              </w:rPr>
              <w:t xml:space="preserve">Direktorė </w:t>
            </w:r>
          </w:p>
          <w:p w14:paraId="286954EC" w14:textId="77777777" w:rsidR="00344AC6" w:rsidRPr="00D3089D" w:rsidRDefault="00344AC6" w:rsidP="005F1605">
            <w:pPr>
              <w:tabs>
                <w:tab w:val="left" w:pos="1800"/>
              </w:tabs>
              <w:spacing w:after="0" w:line="240" w:lineRule="auto"/>
              <w:contextualSpacing/>
              <w:jc w:val="both"/>
              <w:rPr>
                <w:rFonts w:ascii="Times New Roman" w:eastAsia="Times New Roman" w:hAnsi="Times New Roman" w:cs="Times New Roman"/>
                <w:lang w:val="lt-LT"/>
              </w:rPr>
            </w:pPr>
            <w:r w:rsidRPr="00D3089D">
              <w:rPr>
                <w:rFonts w:ascii="Times New Roman" w:eastAsia="Times New Roman" w:hAnsi="Times New Roman" w:cs="Times New Roman"/>
                <w:lang w:val="lt-LT"/>
              </w:rPr>
              <w:t>Aurika Koncienė</w:t>
            </w:r>
          </w:p>
        </w:tc>
      </w:tr>
    </w:tbl>
    <w:p w14:paraId="4B506E27" w14:textId="77777777" w:rsidR="00344AC6" w:rsidRDefault="00344AC6">
      <w:pPr>
        <w:rPr>
          <w:rFonts w:ascii="Times New Roman" w:hAnsi="Times New Roman" w:cs="Times New Roman"/>
        </w:rPr>
      </w:pPr>
    </w:p>
    <w:p w14:paraId="1076BFF5" w14:textId="77777777" w:rsidR="001128C1" w:rsidRDefault="001128C1">
      <w:pPr>
        <w:rPr>
          <w:rFonts w:ascii="Times New Roman" w:hAnsi="Times New Roman" w:cs="Times New Roman"/>
        </w:rPr>
      </w:pPr>
    </w:p>
    <w:p w14:paraId="36AECC48" w14:textId="77777777" w:rsidR="001128C1" w:rsidRDefault="001128C1">
      <w:pPr>
        <w:rPr>
          <w:rFonts w:ascii="Times New Roman" w:hAnsi="Times New Roman" w:cs="Times New Roman"/>
        </w:rPr>
      </w:pPr>
    </w:p>
    <w:p w14:paraId="2E462294" w14:textId="77777777" w:rsidR="00D62D6F" w:rsidRPr="00D3089D" w:rsidRDefault="00D62D6F" w:rsidP="001128C1">
      <w:pPr>
        <w:rPr>
          <w:rFonts w:ascii="Times New Roman" w:hAnsi="Times New Roman" w:cs="Times New Roman"/>
        </w:rPr>
      </w:pPr>
    </w:p>
    <w:sectPr w:rsidR="00D62D6F" w:rsidRPr="00D3089D" w:rsidSect="001128C1">
      <w:pgSz w:w="16838" w:h="11906" w:orient="landscape" w:code="9"/>
      <w:pgMar w:top="1701" w:right="993" w:bottom="567" w:left="1134" w:header="425" w:footer="567"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FB5A2A" w14:textId="77777777" w:rsidR="00E42C3E" w:rsidRDefault="00E42C3E" w:rsidP="00D3089D">
      <w:pPr>
        <w:spacing w:after="0" w:line="240" w:lineRule="auto"/>
      </w:pPr>
      <w:r>
        <w:separator/>
      </w:r>
    </w:p>
  </w:endnote>
  <w:endnote w:type="continuationSeparator" w:id="0">
    <w:p w14:paraId="19CCFA8E" w14:textId="77777777" w:rsidR="00E42C3E" w:rsidRDefault="00E42C3E" w:rsidP="00D30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9FE835" w14:textId="77777777" w:rsidR="00E42C3E" w:rsidRDefault="00E42C3E" w:rsidP="00D3089D">
      <w:pPr>
        <w:spacing w:after="0" w:line="240" w:lineRule="auto"/>
      </w:pPr>
      <w:r>
        <w:separator/>
      </w:r>
    </w:p>
  </w:footnote>
  <w:footnote w:type="continuationSeparator" w:id="0">
    <w:p w14:paraId="5D1A64FD" w14:textId="77777777" w:rsidR="00E42C3E" w:rsidRDefault="00E42C3E" w:rsidP="00D3089D">
      <w:pPr>
        <w:spacing w:after="0" w:line="240" w:lineRule="auto"/>
      </w:pPr>
      <w:r>
        <w:continuationSeparator/>
      </w:r>
    </w:p>
  </w:footnote>
  <w:footnote w:id="1">
    <w:p w14:paraId="692C7CD7" w14:textId="77777777" w:rsidR="00D3089D" w:rsidRDefault="00D3089D" w:rsidP="00D3089D">
      <w:pPr>
        <w:pStyle w:val="Puslapioinaostekstas"/>
        <w:jc w:val="both"/>
        <w:rPr>
          <w:rFonts w:ascii="Calibri" w:hAnsi="Calibri"/>
        </w:rPr>
      </w:pPr>
      <w:r>
        <w:rPr>
          <w:rStyle w:val="Puslapioinaosnuoroda"/>
        </w:rPr>
        <w:footnoteRef/>
      </w:r>
      <w:r>
        <w:t xml:space="preserve"> </w:t>
      </w:r>
      <w:r>
        <w:rPr>
          <w:sz w:val="18"/>
          <w:szCs w:val="18"/>
        </w:rPr>
        <w:t xml:space="preserve">Ši sutarties sąlyga taikoma tuomet, jei pasiūlyme Tiekėjas nurodo, kad ketina pasitelkti subtiekėjus/subteikėjus. Jeigu Tiekėjas pasiūlyme nenurodo, kad ketina pasitelkti subtiekėjus/subteikėjus, tuomet sutartyje bus nurodyta: </w:t>
      </w:r>
      <w:r>
        <w:rPr>
          <w:i/>
          <w:sz w:val="18"/>
          <w:szCs w:val="18"/>
        </w:rPr>
        <w:t>„Nei viena Šalis neturi teisės perleisti visų arba dalies teisių ir pareigų pagal šią Sutartį jokiai trečiajai šaliai“.</w:t>
      </w:r>
    </w:p>
    <w:p w14:paraId="6ABE20F0" w14:textId="77777777" w:rsidR="00D3089D" w:rsidRDefault="00D3089D" w:rsidP="00D3089D">
      <w:pPr>
        <w:pStyle w:val="Puslapioinaostekstas"/>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1505863"/>
      <w:docPartObj>
        <w:docPartGallery w:val="Page Numbers (Top of Page)"/>
        <w:docPartUnique/>
      </w:docPartObj>
    </w:sdtPr>
    <w:sdtEndPr/>
    <w:sdtContent>
      <w:p w14:paraId="1B02996A" w14:textId="77777777" w:rsidR="00112778" w:rsidRDefault="00302D6F">
        <w:pPr>
          <w:pStyle w:val="Antrats"/>
          <w:jc w:val="center"/>
        </w:pPr>
        <w:r>
          <w:rPr>
            <w:noProof/>
          </w:rPr>
          <w:fldChar w:fldCharType="begin"/>
        </w:r>
        <w:r>
          <w:rPr>
            <w:noProof/>
          </w:rPr>
          <w:instrText>PAGE   \* MERGEFORMAT</w:instrText>
        </w:r>
        <w:r>
          <w:rPr>
            <w:noProof/>
          </w:rPr>
          <w:fldChar w:fldCharType="separate"/>
        </w:r>
        <w:r w:rsidR="0002498F">
          <w:rPr>
            <w:noProof/>
          </w:rPr>
          <w:t>7</w:t>
        </w:r>
        <w:r>
          <w:rPr>
            <w:noProof/>
          </w:rPr>
          <w:fldChar w:fldCharType="end"/>
        </w:r>
      </w:p>
    </w:sdtContent>
  </w:sdt>
  <w:p w14:paraId="4DC44582" w14:textId="77777777" w:rsidR="00112778" w:rsidRDefault="00E42C3E">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grammar="clean"/>
  <w:defaultTabStop w:val="720"/>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59A"/>
    <w:rsid w:val="0002498F"/>
    <w:rsid w:val="001128C1"/>
    <w:rsid w:val="00144F78"/>
    <w:rsid w:val="00216B77"/>
    <w:rsid w:val="00302D6F"/>
    <w:rsid w:val="00344AC6"/>
    <w:rsid w:val="00424BBC"/>
    <w:rsid w:val="0054159A"/>
    <w:rsid w:val="00741270"/>
    <w:rsid w:val="007A1515"/>
    <w:rsid w:val="009321DD"/>
    <w:rsid w:val="00AF26BF"/>
    <w:rsid w:val="00CF1048"/>
    <w:rsid w:val="00D3089D"/>
    <w:rsid w:val="00D62D30"/>
    <w:rsid w:val="00D62D6F"/>
    <w:rsid w:val="00E42C3E"/>
    <w:rsid w:val="00EB6DAD"/>
    <w:rsid w:val="00FB5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A0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D3089D"/>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semiHidden/>
    <w:rsid w:val="00D3089D"/>
  </w:style>
  <w:style w:type="paragraph" w:styleId="Puslapioinaostekstas">
    <w:name w:val="footnote text"/>
    <w:basedOn w:val="prastasis"/>
    <w:link w:val="PuslapioinaostekstasDiagrama"/>
    <w:uiPriority w:val="99"/>
    <w:unhideWhenUsed/>
    <w:rsid w:val="00D3089D"/>
    <w:pPr>
      <w:spacing w:after="0" w:line="240" w:lineRule="auto"/>
    </w:pPr>
    <w:rPr>
      <w:rFonts w:ascii="Times New Roman" w:eastAsia="Times New Roman" w:hAnsi="Times New Roman" w:cs="Times New Roman"/>
      <w:sz w:val="20"/>
      <w:szCs w:val="20"/>
      <w:lang w:val="lt-LT"/>
    </w:rPr>
  </w:style>
  <w:style w:type="character" w:customStyle="1" w:styleId="PuslapioinaostekstasDiagrama">
    <w:name w:val="Puslapio išnašos tekstas Diagrama"/>
    <w:basedOn w:val="Numatytasispastraiposriftas"/>
    <w:link w:val="Puslapioinaostekstas"/>
    <w:uiPriority w:val="99"/>
    <w:rsid w:val="00D3089D"/>
    <w:rPr>
      <w:rFonts w:ascii="Times New Roman" w:eastAsia="Times New Roman" w:hAnsi="Times New Roman" w:cs="Times New Roman"/>
      <w:sz w:val="20"/>
      <w:szCs w:val="20"/>
      <w:lang w:val="lt-LT"/>
    </w:rPr>
  </w:style>
  <w:style w:type="character" w:styleId="Puslapioinaosnuoroda">
    <w:name w:val="footnote reference"/>
    <w:basedOn w:val="Numatytasispastraiposriftas"/>
    <w:uiPriority w:val="99"/>
    <w:unhideWhenUsed/>
    <w:rsid w:val="00D3089D"/>
    <w:rPr>
      <w:vertAlign w:val="superscript"/>
    </w:rPr>
  </w:style>
  <w:style w:type="character" w:styleId="Hipersaitas">
    <w:name w:val="Hyperlink"/>
    <w:basedOn w:val="Numatytasispastraiposriftas"/>
    <w:uiPriority w:val="99"/>
    <w:unhideWhenUsed/>
    <w:rsid w:val="00CF1048"/>
    <w:rPr>
      <w:color w:val="0563C1" w:themeColor="hyperlink"/>
      <w:u w:val="single"/>
    </w:rPr>
  </w:style>
  <w:style w:type="character" w:customStyle="1" w:styleId="UnresolvedMention">
    <w:name w:val="Unresolved Mention"/>
    <w:basedOn w:val="Numatytasispastraiposriftas"/>
    <w:uiPriority w:val="99"/>
    <w:semiHidden/>
    <w:unhideWhenUsed/>
    <w:rsid w:val="00CF1048"/>
    <w:rPr>
      <w:color w:val="605E5C"/>
      <w:shd w:val="clear" w:color="auto" w:fill="E1DFDD"/>
    </w:rPr>
  </w:style>
  <w:style w:type="paragraph" w:styleId="Debesliotekstas">
    <w:name w:val="Balloon Text"/>
    <w:basedOn w:val="prastasis"/>
    <w:link w:val="DebesliotekstasDiagrama"/>
    <w:uiPriority w:val="99"/>
    <w:semiHidden/>
    <w:unhideWhenUsed/>
    <w:rsid w:val="001128C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128C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D3089D"/>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semiHidden/>
    <w:rsid w:val="00D3089D"/>
  </w:style>
  <w:style w:type="paragraph" w:styleId="Puslapioinaostekstas">
    <w:name w:val="footnote text"/>
    <w:basedOn w:val="prastasis"/>
    <w:link w:val="PuslapioinaostekstasDiagrama"/>
    <w:uiPriority w:val="99"/>
    <w:unhideWhenUsed/>
    <w:rsid w:val="00D3089D"/>
    <w:pPr>
      <w:spacing w:after="0" w:line="240" w:lineRule="auto"/>
    </w:pPr>
    <w:rPr>
      <w:rFonts w:ascii="Times New Roman" w:eastAsia="Times New Roman" w:hAnsi="Times New Roman" w:cs="Times New Roman"/>
      <w:sz w:val="20"/>
      <w:szCs w:val="20"/>
      <w:lang w:val="lt-LT"/>
    </w:rPr>
  </w:style>
  <w:style w:type="character" w:customStyle="1" w:styleId="PuslapioinaostekstasDiagrama">
    <w:name w:val="Puslapio išnašos tekstas Diagrama"/>
    <w:basedOn w:val="Numatytasispastraiposriftas"/>
    <w:link w:val="Puslapioinaostekstas"/>
    <w:uiPriority w:val="99"/>
    <w:rsid w:val="00D3089D"/>
    <w:rPr>
      <w:rFonts w:ascii="Times New Roman" w:eastAsia="Times New Roman" w:hAnsi="Times New Roman" w:cs="Times New Roman"/>
      <w:sz w:val="20"/>
      <w:szCs w:val="20"/>
      <w:lang w:val="lt-LT"/>
    </w:rPr>
  </w:style>
  <w:style w:type="character" w:styleId="Puslapioinaosnuoroda">
    <w:name w:val="footnote reference"/>
    <w:basedOn w:val="Numatytasispastraiposriftas"/>
    <w:uiPriority w:val="99"/>
    <w:unhideWhenUsed/>
    <w:rsid w:val="00D3089D"/>
    <w:rPr>
      <w:vertAlign w:val="superscript"/>
    </w:rPr>
  </w:style>
  <w:style w:type="character" w:styleId="Hipersaitas">
    <w:name w:val="Hyperlink"/>
    <w:basedOn w:val="Numatytasispastraiposriftas"/>
    <w:uiPriority w:val="99"/>
    <w:unhideWhenUsed/>
    <w:rsid w:val="00CF1048"/>
    <w:rPr>
      <w:color w:val="0563C1" w:themeColor="hyperlink"/>
      <w:u w:val="single"/>
    </w:rPr>
  </w:style>
  <w:style w:type="character" w:customStyle="1" w:styleId="UnresolvedMention">
    <w:name w:val="Unresolved Mention"/>
    <w:basedOn w:val="Numatytasispastraiposriftas"/>
    <w:uiPriority w:val="99"/>
    <w:semiHidden/>
    <w:unhideWhenUsed/>
    <w:rsid w:val="00CF1048"/>
    <w:rPr>
      <w:color w:val="605E5C"/>
      <w:shd w:val="clear" w:color="auto" w:fill="E1DFDD"/>
    </w:rPr>
  </w:style>
  <w:style w:type="paragraph" w:styleId="Debesliotekstas">
    <w:name w:val="Balloon Text"/>
    <w:basedOn w:val="prastasis"/>
    <w:link w:val="DebesliotekstasDiagrama"/>
    <w:uiPriority w:val="99"/>
    <w:semiHidden/>
    <w:unhideWhenUsed/>
    <w:rsid w:val="001128C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128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urate@unidentas.l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5498</Words>
  <Characters>31339</Characters>
  <Application>Microsoft Office Word</Application>
  <DocSecurity>0</DocSecurity>
  <Lines>261</Lines>
  <Paragraphs>73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dc:creator>
  <cp:lastModifiedBy>Vilija</cp:lastModifiedBy>
  <cp:revision>3</cp:revision>
  <dcterms:created xsi:type="dcterms:W3CDTF">2023-06-06T07:19:00Z</dcterms:created>
  <dcterms:modified xsi:type="dcterms:W3CDTF">2023-06-06T07:27:00Z</dcterms:modified>
</cp:coreProperties>
</file>