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360" w:type="dxa"/>
        <w:tblLayout w:type="fixed"/>
        <w:tblLook w:val="04A0" w:firstRow="1" w:lastRow="0" w:firstColumn="1" w:lastColumn="0" w:noHBand="0" w:noVBand="1"/>
      </w:tblPr>
      <w:tblGrid>
        <w:gridCol w:w="709"/>
        <w:gridCol w:w="9214"/>
      </w:tblGrid>
      <w:tr w:rsidR="00594896" w14:paraId="0BF86579" w14:textId="77777777" w:rsidTr="00B54093">
        <w:tc>
          <w:tcPr>
            <w:tcW w:w="9923" w:type="dxa"/>
            <w:gridSpan w:val="2"/>
            <w:hideMark/>
          </w:tcPr>
          <w:p w14:paraId="58B75302" w14:textId="77777777" w:rsidR="00594896" w:rsidRDefault="00594896" w:rsidP="00B54093">
            <w:pPr>
              <w:overflowPunct w:val="0"/>
              <w:autoSpaceDE w:val="0"/>
              <w:autoSpaceDN w:val="0"/>
              <w:adjustRightInd w:val="0"/>
              <w:snapToGrid w:val="0"/>
              <w:spacing w:before="120" w:after="120"/>
              <w:ind w:right="186"/>
              <w:jc w:val="center"/>
              <w:textAlignment w:val="baseline"/>
              <w:rPr>
                <w:rFonts w:eastAsia="SimSun"/>
                <w:b/>
                <w:lang w:eastAsia="en-US"/>
              </w:rPr>
            </w:pPr>
            <w:r>
              <w:rPr>
                <w:rFonts w:eastAsia="SimSun"/>
                <w:b/>
                <w:lang w:eastAsia="en-US"/>
              </w:rPr>
              <w:t>VIEŠOJO PIRKIMO-PARDAVIMO S</w:t>
            </w:r>
            <w:r>
              <w:rPr>
                <w:rFonts w:eastAsia="SimSun"/>
                <w:b/>
                <w:bCs/>
                <w:lang w:eastAsia="en-US"/>
              </w:rPr>
              <w:t>UTARTIS</w:t>
            </w:r>
          </w:p>
        </w:tc>
      </w:tr>
      <w:tr w:rsidR="00594896" w14:paraId="653AF81D" w14:textId="77777777" w:rsidTr="00B54093">
        <w:tc>
          <w:tcPr>
            <w:tcW w:w="9923" w:type="dxa"/>
            <w:gridSpan w:val="2"/>
            <w:hideMark/>
          </w:tcPr>
          <w:p w14:paraId="53597C18" w14:textId="620024BE" w:rsidR="00594896" w:rsidRDefault="00594896" w:rsidP="00B54093">
            <w:pPr>
              <w:overflowPunct w:val="0"/>
              <w:autoSpaceDE w:val="0"/>
              <w:autoSpaceDN w:val="0"/>
              <w:adjustRightInd w:val="0"/>
              <w:snapToGrid w:val="0"/>
              <w:spacing w:before="120" w:after="120"/>
              <w:ind w:right="186"/>
              <w:jc w:val="center"/>
              <w:textAlignment w:val="baseline"/>
              <w:rPr>
                <w:rFonts w:eastAsia="SimSun"/>
                <w:lang w:eastAsia="en-US"/>
              </w:rPr>
            </w:pPr>
            <w:r w:rsidRPr="00B54093">
              <w:rPr>
                <w:rFonts w:eastAsia="SimSun"/>
                <w:lang w:eastAsia="en-US"/>
              </w:rPr>
              <w:t xml:space="preserve">2023 m. gegužės </w:t>
            </w:r>
            <w:r w:rsidR="00B54093" w:rsidRPr="00B54093">
              <w:rPr>
                <w:rFonts w:eastAsia="SimSun"/>
                <w:lang w:eastAsia="en-US"/>
              </w:rPr>
              <w:t xml:space="preserve"> </w:t>
            </w:r>
            <w:r w:rsidRPr="00B54093">
              <w:rPr>
                <w:rFonts w:eastAsia="SimSun"/>
                <w:lang w:eastAsia="en-US"/>
              </w:rPr>
              <w:t>d Nr.</w:t>
            </w:r>
            <w:r w:rsidR="00B54093" w:rsidRPr="00B54093">
              <w:rPr>
                <w:rFonts w:eastAsia="SimSun"/>
                <w:lang w:eastAsia="en-US"/>
              </w:rPr>
              <w:t xml:space="preserve"> GS-</w:t>
            </w:r>
          </w:p>
          <w:p w14:paraId="2AFA73D8" w14:textId="38B8E60B" w:rsidR="00594896" w:rsidRDefault="00AC1B80" w:rsidP="00B54093">
            <w:pPr>
              <w:overflowPunct w:val="0"/>
              <w:autoSpaceDE w:val="0"/>
              <w:autoSpaceDN w:val="0"/>
              <w:adjustRightInd w:val="0"/>
              <w:snapToGrid w:val="0"/>
              <w:spacing w:before="120" w:after="120"/>
              <w:ind w:right="186"/>
              <w:jc w:val="center"/>
              <w:textAlignment w:val="baseline"/>
              <w:rPr>
                <w:rFonts w:eastAsia="SimSun"/>
                <w:lang w:eastAsia="en-US"/>
              </w:rPr>
            </w:pPr>
            <w:r>
              <w:rPr>
                <w:rFonts w:eastAsia="SimSun"/>
                <w:lang w:eastAsia="en-US"/>
              </w:rPr>
              <w:t>Panevėžys</w:t>
            </w:r>
          </w:p>
        </w:tc>
      </w:tr>
      <w:tr w:rsidR="00594896" w14:paraId="0C2D9F67" w14:textId="77777777" w:rsidTr="00B54093">
        <w:tc>
          <w:tcPr>
            <w:tcW w:w="9923" w:type="dxa"/>
            <w:gridSpan w:val="2"/>
            <w:hideMark/>
          </w:tcPr>
          <w:p w14:paraId="224D57CA" w14:textId="085C538C" w:rsidR="00594896" w:rsidRDefault="00594896" w:rsidP="00B54093">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 xml:space="preserve">VšĮ Panevėžio miesto greitosios medicinos pagalbos stotis </w:t>
            </w:r>
            <w:r>
              <w:rPr>
                <w:rFonts w:eastAsia="Arial Unicode MS"/>
                <w:bdr w:val="none" w:sz="0" w:space="0" w:color="auto" w:frame="1"/>
                <w:lang w:eastAsia="en-US"/>
              </w:rPr>
              <w:t xml:space="preserve">(toliau – </w:t>
            </w:r>
            <w:r>
              <w:rPr>
                <w:rFonts w:eastAsia="Arial Unicode MS"/>
                <w:b/>
                <w:bdr w:val="none" w:sz="0" w:space="0" w:color="auto" w:frame="1"/>
                <w:lang w:eastAsia="en-US"/>
              </w:rPr>
              <w:t>Perkančioji organizacija</w:t>
            </w:r>
            <w:r>
              <w:rPr>
                <w:rFonts w:eastAsia="Arial Unicode MS"/>
                <w:bdr w:val="none" w:sz="0" w:space="0" w:color="auto" w:frame="1"/>
                <w:lang w:eastAsia="en-US"/>
              </w:rPr>
              <w:t xml:space="preserve">), juridinio asmens kodas: 190430344, buveinės adresas: Sietyno g. 5b, LT-35196 Panevėžys, Lietuvos Respublika, atstovaujama </w:t>
            </w:r>
            <w:r w:rsidR="00B54093">
              <w:rPr>
                <w:rFonts w:eastAsia="Arial Unicode MS"/>
                <w:bdr w:val="none" w:sz="0" w:space="0" w:color="auto" w:frame="1"/>
                <w:lang w:eastAsia="en-US"/>
              </w:rPr>
              <w:t>direktorės Rūtos Ramoškienės</w:t>
            </w:r>
            <w:r>
              <w:rPr>
                <w:rFonts w:eastAsia="Arial Unicode MS"/>
                <w:bdr w:val="none" w:sz="0" w:space="0" w:color="auto" w:frame="1"/>
                <w:lang w:eastAsia="en-US"/>
              </w:rPr>
              <w:t>, veikiančio</w:t>
            </w:r>
            <w:r w:rsidR="00B54093">
              <w:rPr>
                <w:rFonts w:eastAsia="Arial Unicode MS"/>
                <w:bdr w:val="none" w:sz="0" w:space="0" w:color="auto" w:frame="1"/>
                <w:lang w:eastAsia="en-US"/>
              </w:rPr>
              <w:t>s</w:t>
            </w:r>
            <w:r>
              <w:rPr>
                <w:rFonts w:eastAsia="Arial Unicode MS"/>
                <w:bdr w:val="none" w:sz="0" w:space="0" w:color="auto" w:frame="1"/>
                <w:lang w:eastAsia="en-US"/>
              </w:rPr>
              <w:t xml:space="preserve"> pagal</w:t>
            </w:r>
            <w:r w:rsidR="00B54093">
              <w:rPr>
                <w:rFonts w:eastAsia="Arial Unicode MS"/>
                <w:bdr w:val="none" w:sz="0" w:space="0" w:color="auto" w:frame="1"/>
                <w:lang w:eastAsia="en-US"/>
              </w:rPr>
              <w:t xml:space="preserve"> įstaigos įstatus</w:t>
            </w:r>
            <w:r>
              <w:rPr>
                <w:rFonts w:eastAsia="Arial Unicode MS"/>
                <w:bdr w:val="none" w:sz="0" w:space="0" w:color="auto" w:frame="1"/>
                <w:lang w:eastAsia="en-US"/>
              </w:rPr>
              <w:t>,</w:t>
            </w:r>
          </w:p>
        </w:tc>
      </w:tr>
      <w:tr w:rsidR="00594896" w14:paraId="7F46C3C4" w14:textId="77777777" w:rsidTr="00B54093">
        <w:tc>
          <w:tcPr>
            <w:tcW w:w="9923" w:type="dxa"/>
            <w:gridSpan w:val="2"/>
            <w:hideMark/>
          </w:tcPr>
          <w:p w14:paraId="4D48DCAD" w14:textId="77777777" w:rsidR="00594896" w:rsidRDefault="00594896" w:rsidP="00B54093">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ir</w:t>
            </w:r>
            <w:bookmarkStart w:id="0" w:name="_GoBack"/>
            <w:bookmarkEnd w:id="0"/>
          </w:p>
        </w:tc>
      </w:tr>
      <w:tr w:rsidR="00594896" w14:paraId="6E491848" w14:textId="77777777" w:rsidTr="00B54093">
        <w:tc>
          <w:tcPr>
            <w:tcW w:w="9923" w:type="dxa"/>
            <w:gridSpan w:val="2"/>
            <w:hideMark/>
          </w:tcPr>
          <w:p w14:paraId="58D13E1F" w14:textId="6A13EB41" w:rsidR="00594896" w:rsidRPr="00852608" w:rsidRDefault="00594896" w:rsidP="00B54093">
            <w:pPr>
              <w:snapToGrid w:val="0"/>
              <w:spacing w:before="120"/>
              <w:jc w:val="both"/>
              <w:rPr>
                <w:rFonts w:eastAsia="Arial Unicode MS"/>
                <w:bdr w:val="none" w:sz="0" w:space="0" w:color="auto" w:frame="1"/>
                <w:lang w:eastAsia="en-US"/>
              </w:rPr>
            </w:pPr>
            <w:r w:rsidRPr="00B54093">
              <w:rPr>
                <w:rFonts w:eastAsia="Arial Unicode MS"/>
                <w:b/>
                <w:bdr w:val="none" w:sz="0" w:space="0" w:color="auto" w:frame="1"/>
                <w:lang w:eastAsia="en-US"/>
              </w:rPr>
              <w:t>UAB „Lidl Lietuva“</w:t>
            </w:r>
            <w:r w:rsidRPr="00852608">
              <w:rPr>
                <w:rFonts w:eastAsia="Arial Unicode MS"/>
                <w:bdr w:val="none" w:sz="0" w:space="0" w:color="auto" w:frame="1"/>
                <w:lang w:eastAsia="en-US"/>
              </w:rPr>
              <w:t xml:space="preserve"> (toliau – </w:t>
            </w:r>
            <w:r w:rsidRPr="00852608">
              <w:rPr>
                <w:rFonts w:eastAsia="Arial Unicode MS"/>
                <w:b/>
                <w:bdr w:val="none" w:sz="0" w:space="0" w:color="auto" w:frame="1"/>
                <w:lang w:eastAsia="en-US"/>
              </w:rPr>
              <w:t>Tiekėjas</w:t>
            </w:r>
            <w:r w:rsidRPr="00852608">
              <w:rPr>
                <w:rFonts w:eastAsia="Arial Unicode MS"/>
                <w:bdr w:val="none" w:sz="0" w:space="0" w:color="auto" w:frame="1"/>
                <w:lang w:eastAsia="en-US"/>
              </w:rPr>
              <w:t xml:space="preserve">), juridinio asmens kodas: </w:t>
            </w:r>
            <w:r w:rsidRPr="00B54093">
              <w:rPr>
                <w:rFonts w:eastAsiaTheme="minorHAnsi"/>
                <w:lang w:eastAsia="en-US"/>
              </w:rPr>
              <w:t>111791015</w:t>
            </w:r>
            <w:r w:rsidRPr="00852608">
              <w:rPr>
                <w:rFonts w:eastAsia="Arial Unicode MS"/>
                <w:bdr w:val="none" w:sz="0" w:space="0" w:color="auto" w:frame="1"/>
                <w:lang w:eastAsia="en-US"/>
              </w:rPr>
              <w:t>,</w:t>
            </w:r>
            <w:r w:rsidR="00852608" w:rsidRPr="00852608">
              <w:rPr>
                <w:rFonts w:eastAsia="Arial Unicode MS"/>
                <w:bdr w:val="none" w:sz="0" w:space="0" w:color="auto" w:frame="1"/>
                <w:lang w:eastAsia="en-US"/>
              </w:rPr>
              <w:t xml:space="preserve"> </w:t>
            </w:r>
            <w:r w:rsidRPr="00852608">
              <w:rPr>
                <w:rFonts w:eastAsia="Arial Unicode MS"/>
                <w:bdr w:val="none" w:sz="0" w:space="0" w:color="auto" w:frame="1"/>
                <w:lang w:eastAsia="en-US"/>
              </w:rPr>
              <w:t>buveinės adresas: Viršuliškių skg. 34-1, LT-05132 Vilnius,</w:t>
            </w:r>
            <w:r w:rsidR="00852608" w:rsidRPr="00852608">
              <w:rPr>
                <w:rFonts w:eastAsia="Arial Unicode MS"/>
                <w:bdr w:val="none" w:sz="0" w:space="0" w:color="auto" w:frame="1"/>
                <w:lang w:eastAsia="en-US"/>
              </w:rPr>
              <w:t>Lietuvos Respublika</w:t>
            </w:r>
            <w:r w:rsidRPr="00852608">
              <w:rPr>
                <w:rFonts w:eastAsia="Arial Unicode MS"/>
                <w:bdr w:val="none" w:sz="0" w:space="0" w:color="auto" w:frame="1"/>
                <w:lang w:eastAsia="en-US"/>
              </w:rPr>
              <w:t xml:space="preserve">, atstovaujama </w:t>
            </w:r>
            <w:r w:rsidR="00A03CCF" w:rsidRPr="00852608">
              <w:rPr>
                <w:rFonts w:eastAsia="Arial Unicode MS"/>
                <w:bdr w:val="none" w:sz="0" w:space="0" w:color="auto" w:frame="1"/>
                <w:lang w:eastAsia="en-US"/>
              </w:rPr>
              <w:t xml:space="preserve">Finansų, apskaitos ir mokesčių departamento vadovės Jurgitos Maždžierės, veikiančios pagal įgaliojimą, ir Apskaitos skyriaus vadovės Ksenios Mikhalchuk, veikiančios pagal įgaliojimą,  </w:t>
            </w:r>
          </w:p>
        </w:tc>
      </w:tr>
      <w:tr w:rsidR="00594896" w14:paraId="6CBDA472" w14:textId="77777777" w:rsidTr="00B54093">
        <w:tc>
          <w:tcPr>
            <w:tcW w:w="9923" w:type="dxa"/>
            <w:gridSpan w:val="2"/>
            <w:hideMark/>
          </w:tcPr>
          <w:p w14:paraId="05356703" w14:textId="77777777" w:rsidR="00594896" w:rsidRDefault="00594896" w:rsidP="00B54093">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 xml:space="preserve">toliau abi šalys kartu yra vadinamos </w:t>
            </w:r>
            <w:r>
              <w:rPr>
                <w:rFonts w:eastAsia="SimSun"/>
                <w:b/>
                <w:lang w:eastAsia="en-US"/>
              </w:rPr>
              <w:t>Šalimis</w:t>
            </w:r>
            <w:r>
              <w:rPr>
                <w:rFonts w:eastAsia="SimSun"/>
                <w:lang w:eastAsia="en-US"/>
              </w:rPr>
              <w:t xml:space="preserve">, o kiekviena atskirai – </w:t>
            </w:r>
            <w:r>
              <w:rPr>
                <w:rFonts w:eastAsia="SimSun"/>
                <w:b/>
                <w:lang w:eastAsia="en-US"/>
              </w:rPr>
              <w:t>Šalimi</w:t>
            </w:r>
            <w:r>
              <w:rPr>
                <w:rFonts w:eastAsia="SimSun"/>
                <w:lang w:eastAsia="en-US"/>
              </w:rPr>
              <w:t>,</w:t>
            </w:r>
          </w:p>
        </w:tc>
      </w:tr>
      <w:tr w:rsidR="00594896" w14:paraId="28A32152" w14:textId="77777777" w:rsidTr="00B54093">
        <w:tc>
          <w:tcPr>
            <w:tcW w:w="9923" w:type="dxa"/>
            <w:gridSpan w:val="2"/>
            <w:hideMark/>
          </w:tcPr>
          <w:p w14:paraId="425A98C2" w14:textId="77777777" w:rsidR="00594896" w:rsidRDefault="00594896" w:rsidP="00B54093">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atsižvelgiant į tai kad:</w:t>
            </w:r>
          </w:p>
        </w:tc>
      </w:tr>
      <w:tr w:rsidR="00594896" w14:paraId="329FE511" w14:textId="77777777" w:rsidTr="00B54093">
        <w:tc>
          <w:tcPr>
            <w:tcW w:w="9923" w:type="dxa"/>
            <w:gridSpan w:val="2"/>
          </w:tcPr>
          <w:p w14:paraId="15420E46" w14:textId="37157A05" w:rsidR="00594896" w:rsidRDefault="00594896" w:rsidP="00594896">
            <w:pPr>
              <w:numPr>
                <w:ilvl w:val="0"/>
                <w:numId w:val="1"/>
              </w:numPr>
              <w:tabs>
                <w:tab w:val="left" w:pos="601"/>
              </w:tabs>
              <w:overflowPunct w:val="0"/>
              <w:autoSpaceDE w:val="0"/>
              <w:autoSpaceDN w:val="0"/>
              <w:adjustRightInd w:val="0"/>
              <w:snapToGrid w:val="0"/>
              <w:spacing w:before="120"/>
              <w:ind w:left="34" w:right="186" w:firstLine="0"/>
              <w:jc w:val="both"/>
              <w:textAlignment w:val="baseline"/>
              <w:rPr>
                <w:rFonts w:eastAsia="SimSun"/>
                <w:lang w:eastAsia="en-US"/>
              </w:rPr>
            </w:pPr>
            <w:r>
              <w:rPr>
                <w:rFonts w:eastAsia="SimSun"/>
                <w:lang w:eastAsia="en-US"/>
              </w:rPr>
              <w:t>įvykdytas mažos vertės viešasis pirkimas „</w:t>
            </w:r>
            <w:r w:rsidRPr="00594896">
              <w:rPr>
                <w:rFonts w:eastAsia="SimSun"/>
                <w:lang w:eastAsia="en-US"/>
              </w:rPr>
              <w:t>Dovanų kortelių pirkimas“</w:t>
            </w:r>
            <w:r w:rsidRPr="00594896" w:rsidDel="00594896">
              <w:rPr>
                <w:rFonts w:eastAsia="SimSun"/>
                <w:lang w:eastAsia="en-US"/>
              </w:rPr>
              <w:t xml:space="preserve"> </w:t>
            </w:r>
            <w:r>
              <w:rPr>
                <w:rFonts w:eastAsia="SimSun"/>
                <w:lang w:eastAsia="en-US"/>
              </w:rPr>
              <w:t xml:space="preserve"> (pirkimo Nr.</w:t>
            </w:r>
            <w:r>
              <w:t xml:space="preserve"> 665017</w:t>
            </w:r>
            <w:r w:rsidR="00852608">
              <w:t>)</w:t>
            </w:r>
            <w:r>
              <w:rPr>
                <w:rFonts w:eastAsia="SimSun"/>
                <w:lang w:eastAsia="en-US"/>
              </w:rPr>
              <w:t xml:space="preserve">  (toliau – </w:t>
            </w:r>
            <w:r>
              <w:rPr>
                <w:rFonts w:eastAsia="SimSun"/>
                <w:b/>
                <w:lang w:eastAsia="en-US"/>
              </w:rPr>
              <w:t>Pirkimas</w:t>
            </w:r>
            <w:r>
              <w:rPr>
                <w:rFonts w:eastAsia="SimSun"/>
                <w:lang w:eastAsia="en-US"/>
              </w:rPr>
              <w:t>);</w:t>
            </w:r>
          </w:p>
          <w:p w14:paraId="222A51D9" w14:textId="42CE3F59" w:rsidR="00594896" w:rsidRDefault="00594896" w:rsidP="00594896">
            <w:pPr>
              <w:numPr>
                <w:ilvl w:val="0"/>
                <w:numId w:val="1"/>
              </w:numPr>
              <w:tabs>
                <w:tab w:val="left" w:pos="601"/>
              </w:tabs>
              <w:overflowPunct w:val="0"/>
              <w:autoSpaceDE w:val="0"/>
              <w:autoSpaceDN w:val="0"/>
              <w:adjustRightInd w:val="0"/>
              <w:snapToGrid w:val="0"/>
              <w:spacing w:before="120"/>
              <w:ind w:left="34" w:right="186" w:firstLine="0"/>
              <w:jc w:val="both"/>
              <w:textAlignment w:val="baseline"/>
              <w:rPr>
                <w:rFonts w:eastAsia="SimSun"/>
                <w:lang w:eastAsia="en-US"/>
              </w:rPr>
            </w:pPr>
            <w:r>
              <w:rPr>
                <w:rFonts w:eastAsia="SimSun"/>
                <w:lang w:eastAsia="en-US"/>
              </w:rPr>
              <w:t xml:space="preserve">vadovaujantis Lietuvos Respublikos viešųjų pirkimų įstatymu bei Pirkimo sąlygomis, </w:t>
            </w:r>
            <w:r w:rsidRPr="00B54093">
              <w:rPr>
                <w:rFonts w:eastAsia="SimSun"/>
                <w:lang w:eastAsia="en-US"/>
              </w:rPr>
              <w:t>2023</w:t>
            </w:r>
            <w:r>
              <w:rPr>
                <w:rFonts w:eastAsia="SimSun"/>
                <w:lang w:eastAsia="en-US"/>
              </w:rPr>
              <w:t xml:space="preserve"> m. gegužės 16 d. Viešojo pirkimo komisijos posėdžio sprendimu (protokolo Nr. </w:t>
            </w:r>
            <w:r w:rsidR="00B54093">
              <w:rPr>
                <w:rFonts w:eastAsia="SimSun"/>
                <w:lang w:eastAsia="en-US"/>
              </w:rPr>
              <w:t>13</w:t>
            </w:r>
            <w:r>
              <w:rPr>
                <w:rFonts w:eastAsia="SimSun"/>
                <w:lang w:eastAsia="en-US"/>
              </w:rPr>
              <w:t>) komisijos sprendimu Tiekėjas buvo pripažintas Pirkimo laimėtoju;</w:t>
            </w:r>
          </w:p>
          <w:p w14:paraId="4C92B112" w14:textId="77777777" w:rsidR="00594896" w:rsidRDefault="00594896" w:rsidP="00B54093">
            <w:pPr>
              <w:tabs>
                <w:tab w:val="left" w:pos="601"/>
              </w:tabs>
              <w:overflowPunct w:val="0"/>
              <w:autoSpaceDE w:val="0"/>
              <w:autoSpaceDN w:val="0"/>
              <w:adjustRightInd w:val="0"/>
              <w:snapToGrid w:val="0"/>
              <w:spacing w:before="120"/>
              <w:ind w:left="34" w:right="186"/>
              <w:jc w:val="both"/>
              <w:textAlignment w:val="baseline"/>
              <w:rPr>
                <w:rFonts w:eastAsia="SimSun"/>
                <w:lang w:eastAsia="en-US"/>
              </w:rPr>
            </w:pPr>
          </w:p>
        </w:tc>
      </w:tr>
      <w:tr w:rsidR="00594896" w14:paraId="601A5DFA" w14:textId="77777777" w:rsidTr="00B54093">
        <w:tc>
          <w:tcPr>
            <w:tcW w:w="9923" w:type="dxa"/>
            <w:gridSpan w:val="2"/>
            <w:hideMark/>
          </w:tcPr>
          <w:p w14:paraId="3B239BBC" w14:textId="7D612347" w:rsidR="00594896" w:rsidRDefault="00594896" w:rsidP="00B54093">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 xml:space="preserve">Šalys susitarė ir sudarė šią </w:t>
            </w:r>
            <w:r w:rsidR="00413051">
              <w:rPr>
                <w:rFonts w:eastAsia="SimSun"/>
                <w:lang w:eastAsia="en-US"/>
              </w:rPr>
              <w:t xml:space="preserve">Viešojo </w:t>
            </w:r>
            <w:r>
              <w:rPr>
                <w:rFonts w:eastAsia="SimSun"/>
                <w:lang w:eastAsia="en-US"/>
              </w:rPr>
              <w:t>pirkimo</w:t>
            </w:r>
            <w:r w:rsidR="00413051">
              <w:rPr>
                <w:rFonts w:eastAsia="SimSun"/>
                <w:lang w:eastAsia="en-US"/>
              </w:rPr>
              <w:t>-pardavimo</w:t>
            </w:r>
            <w:r>
              <w:rPr>
                <w:rFonts w:eastAsia="SimSun"/>
                <w:lang w:eastAsia="en-US"/>
              </w:rPr>
              <w:t xml:space="preserve"> sutartį (toliau – </w:t>
            </w:r>
            <w:r>
              <w:rPr>
                <w:rFonts w:eastAsia="SimSun"/>
                <w:b/>
                <w:lang w:eastAsia="en-US"/>
              </w:rPr>
              <w:t>Sutartis</w:t>
            </w:r>
            <w:r>
              <w:rPr>
                <w:rFonts w:eastAsia="SimSun"/>
                <w:lang w:eastAsia="en-US"/>
              </w:rPr>
              <w:t>).</w:t>
            </w:r>
          </w:p>
        </w:tc>
      </w:tr>
      <w:tr w:rsidR="00594896" w14:paraId="1E3A354A" w14:textId="77777777" w:rsidTr="00B54093">
        <w:tc>
          <w:tcPr>
            <w:tcW w:w="709" w:type="dxa"/>
          </w:tcPr>
          <w:p w14:paraId="6E942220" w14:textId="77777777" w:rsidR="00594896" w:rsidRDefault="00594896" w:rsidP="00594896">
            <w:pPr>
              <w:numPr>
                <w:ilvl w:val="0"/>
                <w:numId w:val="2"/>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43EE0B74" w14:textId="77777777" w:rsidR="00594896" w:rsidRDefault="00594896" w:rsidP="00B54093">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OBJEKTAS</w:t>
            </w:r>
          </w:p>
        </w:tc>
      </w:tr>
      <w:tr w:rsidR="00594896" w14:paraId="519DAB17" w14:textId="77777777" w:rsidTr="00B54093">
        <w:tc>
          <w:tcPr>
            <w:tcW w:w="709" w:type="dxa"/>
          </w:tcPr>
          <w:p w14:paraId="3A1B0AAF" w14:textId="77777777" w:rsidR="00594896" w:rsidRDefault="00594896" w:rsidP="00594896">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A75BB42" w14:textId="426B36ED"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Pirkimo sutarties objektas – </w:t>
            </w:r>
            <w:r w:rsidR="00C6007D">
              <w:rPr>
                <w:rFonts w:eastAsia="Arial Unicode MS"/>
                <w:bdr w:val="none" w:sz="0" w:space="0" w:color="auto" w:frame="1"/>
                <w:lang w:eastAsia="en-US"/>
              </w:rPr>
              <w:t>plastikinės d</w:t>
            </w:r>
            <w:r>
              <w:rPr>
                <w:rFonts w:eastAsia="Arial Unicode MS"/>
                <w:bdr w:val="none" w:sz="0" w:space="0" w:color="auto" w:frame="1"/>
                <w:lang w:eastAsia="en-US"/>
              </w:rPr>
              <w:t>ovanų kortelės.</w:t>
            </w:r>
          </w:p>
        </w:tc>
      </w:tr>
      <w:tr w:rsidR="00594896" w14:paraId="0DACAF06" w14:textId="77777777" w:rsidTr="00B54093">
        <w:tc>
          <w:tcPr>
            <w:tcW w:w="709" w:type="dxa"/>
          </w:tcPr>
          <w:p w14:paraId="28B98293" w14:textId="77777777" w:rsidR="00594896" w:rsidRDefault="00594896" w:rsidP="00594896">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FD3067C" w14:textId="0C61D164"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Tiekėjas įsipareigoja </w:t>
            </w:r>
            <w:r w:rsidR="00C6007D">
              <w:rPr>
                <w:rFonts w:eastAsia="Arial Unicode MS"/>
                <w:bdr w:val="none" w:sz="0" w:space="0" w:color="auto" w:frame="1"/>
                <w:lang w:eastAsia="en-US"/>
              </w:rPr>
              <w:t xml:space="preserve"> perduoti nuosavybės teise</w:t>
            </w:r>
            <w:r>
              <w:rPr>
                <w:rFonts w:eastAsia="Arial Unicode MS"/>
                <w:bdr w:val="none" w:sz="0" w:space="0" w:color="auto" w:frame="1"/>
                <w:lang w:eastAsia="en-US"/>
              </w:rPr>
              <w:t xml:space="preserve"> Perkančiajai organizacijai plastikines Dovanų korteles (toliau – </w:t>
            </w:r>
            <w:r w:rsidRPr="00B54093">
              <w:rPr>
                <w:rFonts w:eastAsia="Arial Unicode MS"/>
                <w:b/>
                <w:bCs/>
                <w:bdr w:val="none" w:sz="0" w:space="0" w:color="auto" w:frame="1"/>
                <w:lang w:eastAsia="en-US"/>
              </w:rPr>
              <w:t>Prekės</w:t>
            </w:r>
            <w:r>
              <w:rPr>
                <w:rFonts w:eastAsia="Arial Unicode MS"/>
                <w:bdr w:val="none" w:sz="0" w:space="0" w:color="auto" w:frame="1"/>
                <w:lang w:eastAsia="en-US"/>
              </w:rPr>
              <w:t>), o Perkančioji organizacija įsipareigoja priimti kokybiškas Prekes ir už jas atsiskaityti šios Sutarties 3 skyriuje nustatyta tvarka.</w:t>
            </w:r>
          </w:p>
        </w:tc>
      </w:tr>
      <w:tr w:rsidR="00594896" w14:paraId="74A0DEFE" w14:textId="77777777" w:rsidTr="00B54093">
        <w:tc>
          <w:tcPr>
            <w:tcW w:w="709" w:type="dxa"/>
          </w:tcPr>
          <w:p w14:paraId="34C322EA" w14:textId="77777777" w:rsidR="00594896" w:rsidRDefault="00594896" w:rsidP="00594896">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D1F4B84" w14:textId="7273384B"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Perkamų Prekių savybės (jų teikimo Perkančiajai organizacijai tvarka, sąlygos ir įkainiai) pateikta Sutarties  </w:t>
            </w:r>
            <w:r w:rsidR="002A3FA6">
              <w:rPr>
                <w:rFonts w:eastAsia="Arial Unicode MS"/>
                <w:bdr w:val="none" w:sz="0" w:space="0" w:color="auto" w:frame="1"/>
                <w:lang w:eastAsia="en-US"/>
              </w:rPr>
              <w:t>P</w:t>
            </w:r>
            <w:r>
              <w:rPr>
                <w:rFonts w:eastAsia="Arial Unicode MS"/>
                <w:bdr w:val="none" w:sz="0" w:space="0" w:color="auto" w:frame="1"/>
                <w:lang w:eastAsia="en-US"/>
              </w:rPr>
              <w:t>riede</w:t>
            </w:r>
            <w:r w:rsidR="002A3FA6">
              <w:rPr>
                <w:rFonts w:eastAsia="Arial Unicode MS"/>
                <w:bdr w:val="none" w:sz="0" w:space="0" w:color="auto" w:frame="1"/>
                <w:lang w:eastAsia="en-US"/>
              </w:rPr>
              <w:t xml:space="preserve"> Nr. 1</w:t>
            </w:r>
            <w:r>
              <w:rPr>
                <w:rFonts w:eastAsia="Arial Unicode MS"/>
                <w:bdr w:val="none" w:sz="0" w:space="0" w:color="auto" w:frame="1"/>
                <w:lang w:eastAsia="en-US"/>
              </w:rPr>
              <w:t xml:space="preserve"> „Techninė specifikacija ir įkainiai</w:t>
            </w:r>
            <w:r w:rsidR="00451389">
              <w:rPr>
                <w:rFonts w:eastAsia="Arial Unicode MS"/>
                <w:bdr w:val="none" w:sz="0" w:space="0" w:color="auto" w:frame="1"/>
                <w:lang w:eastAsia="en-US"/>
              </w:rPr>
              <w:t>“</w:t>
            </w:r>
            <w:r>
              <w:rPr>
                <w:rFonts w:eastAsia="Arial Unicode MS"/>
                <w:bdr w:val="none" w:sz="0" w:space="0" w:color="auto" w:frame="1"/>
                <w:lang w:eastAsia="en-US"/>
              </w:rPr>
              <w:t>.</w:t>
            </w:r>
          </w:p>
        </w:tc>
      </w:tr>
      <w:tr w:rsidR="00594896" w14:paraId="491F7271" w14:textId="77777777" w:rsidTr="00B54093">
        <w:tc>
          <w:tcPr>
            <w:tcW w:w="709" w:type="dxa"/>
          </w:tcPr>
          <w:p w14:paraId="5A97A085" w14:textId="77777777" w:rsidR="00594896" w:rsidRDefault="00594896" w:rsidP="00594896">
            <w:pPr>
              <w:numPr>
                <w:ilvl w:val="0"/>
                <w:numId w:val="2"/>
              </w:numPr>
              <w:overflowPunct w:val="0"/>
              <w:autoSpaceDE w:val="0"/>
              <w:autoSpaceDN w:val="0"/>
              <w:adjustRightInd w:val="0"/>
              <w:snapToGrid w:val="0"/>
              <w:spacing w:before="120"/>
              <w:ind w:right="186"/>
              <w:jc w:val="both"/>
              <w:textAlignment w:val="baseline"/>
              <w:rPr>
                <w:rFonts w:eastAsia="SimSun"/>
                <w:lang w:eastAsia="en-US"/>
              </w:rPr>
            </w:pPr>
            <w:bookmarkStart w:id="1" w:name="_Ref244532237" w:colFirst="0" w:colLast="0"/>
          </w:p>
        </w:tc>
        <w:tc>
          <w:tcPr>
            <w:tcW w:w="9214" w:type="dxa"/>
            <w:hideMark/>
          </w:tcPr>
          <w:p w14:paraId="05F5FE0A" w14:textId="77777777" w:rsidR="00594896" w:rsidRDefault="00594896" w:rsidP="00B54093">
            <w:pPr>
              <w:tabs>
                <w:tab w:val="left" w:pos="0"/>
              </w:tabs>
              <w:overflowPunct w:val="0"/>
              <w:autoSpaceDE w:val="0"/>
              <w:autoSpaceDN w:val="0"/>
              <w:adjustRightInd w:val="0"/>
              <w:snapToGrid w:val="0"/>
              <w:spacing w:before="120"/>
              <w:ind w:right="186"/>
              <w:jc w:val="both"/>
              <w:textAlignment w:val="baseline"/>
              <w:rPr>
                <w:rFonts w:eastAsia="MS Mincho"/>
                <w:b/>
                <w:lang w:eastAsia="en-US"/>
              </w:rPr>
            </w:pPr>
            <w:r>
              <w:rPr>
                <w:rFonts w:eastAsia="MS Mincho"/>
                <w:b/>
                <w:lang w:eastAsia="en-US"/>
              </w:rPr>
              <w:t>ŠALIŲ ĮSIPAREIGOJIMAI IR TEISĖS</w:t>
            </w:r>
          </w:p>
        </w:tc>
      </w:tr>
      <w:tr w:rsidR="00594896" w14:paraId="56F4971A" w14:textId="77777777" w:rsidTr="00B54093">
        <w:tc>
          <w:tcPr>
            <w:tcW w:w="709" w:type="dxa"/>
          </w:tcPr>
          <w:p w14:paraId="5676245A" w14:textId="77777777" w:rsidR="00594896" w:rsidRDefault="00594896" w:rsidP="00594896">
            <w:pPr>
              <w:numPr>
                <w:ilvl w:val="1"/>
                <w:numId w:val="2"/>
              </w:numPr>
              <w:overflowPunct w:val="0"/>
              <w:autoSpaceDE w:val="0"/>
              <w:autoSpaceDN w:val="0"/>
              <w:adjustRightInd w:val="0"/>
              <w:snapToGrid w:val="0"/>
              <w:spacing w:before="120"/>
              <w:ind w:right="186" w:hanging="350"/>
              <w:jc w:val="both"/>
              <w:textAlignment w:val="baseline"/>
              <w:rPr>
                <w:rFonts w:eastAsia="SimSun"/>
                <w:lang w:eastAsia="en-US"/>
              </w:rPr>
            </w:pPr>
            <w:bookmarkStart w:id="2" w:name="_Ref244530708" w:colFirst="0" w:colLast="0"/>
            <w:bookmarkEnd w:id="1"/>
          </w:p>
        </w:tc>
        <w:tc>
          <w:tcPr>
            <w:tcW w:w="9214" w:type="dxa"/>
            <w:hideMark/>
          </w:tcPr>
          <w:p w14:paraId="0D5D7F98"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įsipareigoja:</w:t>
            </w:r>
          </w:p>
        </w:tc>
      </w:tr>
      <w:bookmarkEnd w:id="2"/>
      <w:tr w:rsidR="00594896" w14:paraId="0171B0F0" w14:textId="77777777" w:rsidTr="00B54093">
        <w:tc>
          <w:tcPr>
            <w:tcW w:w="709" w:type="dxa"/>
          </w:tcPr>
          <w:p w14:paraId="005592B9" w14:textId="77777777" w:rsidR="00594896" w:rsidRDefault="00594896" w:rsidP="00594896">
            <w:pPr>
              <w:numPr>
                <w:ilvl w:val="2"/>
                <w:numId w:val="2"/>
              </w:numPr>
              <w:overflowPunct w:val="0"/>
              <w:autoSpaceDE w:val="0"/>
              <w:autoSpaceDN w:val="0"/>
              <w:adjustRightInd w:val="0"/>
              <w:snapToGrid w:val="0"/>
              <w:spacing w:before="120"/>
              <w:ind w:right="186" w:hanging="350"/>
              <w:jc w:val="both"/>
              <w:textAlignment w:val="baseline"/>
              <w:rPr>
                <w:rFonts w:eastAsia="SimSun"/>
                <w:lang w:eastAsia="en-US"/>
              </w:rPr>
            </w:pPr>
          </w:p>
          <w:p w14:paraId="6DEA6140" w14:textId="77777777" w:rsidR="00594896" w:rsidRDefault="00594896" w:rsidP="00B54093">
            <w:pPr>
              <w:ind w:right="-210"/>
              <w:rPr>
                <w:rFonts w:eastAsia="Arial Unicode MS"/>
                <w:bdr w:val="none" w:sz="0" w:space="0" w:color="auto" w:frame="1"/>
                <w:lang w:eastAsia="en-US"/>
              </w:rPr>
            </w:pPr>
          </w:p>
        </w:tc>
        <w:tc>
          <w:tcPr>
            <w:tcW w:w="9214" w:type="dxa"/>
            <w:hideMark/>
          </w:tcPr>
          <w:p w14:paraId="53A1CE3C" w14:textId="3063A411" w:rsidR="00594896" w:rsidRDefault="00594896" w:rsidP="00B54093">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t xml:space="preserve">laiku ir tinkamai </w:t>
            </w:r>
            <w:r w:rsidR="00D910E3">
              <w:rPr>
                <w:rFonts w:eastAsia="Arial Unicode MS"/>
                <w:color w:val="000000"/>
                <w:bdr w:val="none" w:sz="0" w:space="0" w:color="auto" w:frame="1"/>
                <w:lang w:eastAsia="en-US"/>
              </w:rPr>
              <w:t xml:space="preserve">išsiųsti ir perduoti nuosavybės teise </w:t>
            </w:r>
            <w:r>
              <w:rPr>
                <w:rFonts w:eastAsia="Arial Unicode MS"/>
                <w:color w:val="000000"/>
                <w:bdr w:val="none" w:sz="0" w:space="0" w:color="auto" w:frame="1"/>
                <w:lang w:eastAsia="en-US"/>
              </w:rPr>
              <w:t xml:space="preserve">Perkančiajai organizacijai kokybiškas Prekes </w:t>
            </w:r>
            <w:r>
              <w:rPr>
                <w:rFonts w:eastAsia="Arial Unicode MS"/>
                <w:bdr w:val="none" w:sz="0" w:space="0" w:color="auto" w:frame="1"/>
                <w:lang w:eastAsia="en-US"/>
              </w:rPr>
              <w:t xml:space="preserve">pagal Perkančiosios organizacijos poreikius, vadovaudamasis Sutarties </w:t>
            </w:r>
            <w:r w:rsidR="002A3FA6">
              <w:rPr>
                <w:rFonts w:eastAsia="Arial Unicode MS"/>
                <w:bdr w:val="none" w:sz="0" w:space="0" w:color="auto" w:frame="1"/>
                <w:lang w:eastAsia="en-US"/>
              </w:rPr>
              <w:t>P</w:t>
            </w:r>
            <w:r>
              <w:rPr>
                <w:rFonts w:eastAsia="Arial Unicode MS"/>
                <w:bdr w:val="none" w:sz="0" w:space="0" w:color="auto" w:frame="1"/>
                <w:lang w:eastAsia="en-US"/>
              </w:rPr>
              <w:t>riedu</w:t>
            </w:r>
            <w:r w:rsidR="002A3FA6">
              <w:rPr>
                <w:rFonts w:eastAsia="Arial Unicode MS"/>
                <w:bdr w:val="none" w:sz="0" w:space="0" w:color="auto" w:frame="1"/>
                <w:lang w:eastAsia="en-US"/>
              </w:rPr>
              <w:t xml:space="preserve"> Nr. 1</w:t>
            </w:r>
            <w:r>
              <w:rPr>
                <w:rFonts w:eastAsia="Arial Unicode MS"/>
                <w:bdr w:val="none" w:sz="0" w:space="0" w:color="auto" w:frame="1"/>
                <w:lang w:eastAsia="en-US"/>
              </w:rPr>
              <w:t>, Pirkimo sąlygomis bei kitais Pirkimo dokumentais;</w:t>
            </w:r>
          </w:p>
        </w:tc>
      </w:tr>
      <w:tr w:rsidR="00594896" w14:paraId="7F83CC33" w14:textId="77777777" w:rsidTr="00B54093">
        <w:tc>
          <w:tcPr>
            <w:tcW w:w="709" w:type="dxa"/>
          </w:tcPr>
          <w:p w14:paraId="019D9233"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4FE6C0C" w14:textId="77777777" w:rsidR="00594896" w:rsidRDefault="00594896" w:rsidP="00B54093">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konkrečiai nurodyti, kokia informacija reikalinga iš Perkančiosios organizacijos laiku ir tinkamai teikti Perkančiajai organizacijai Prekes. Parengtą paklausimą perduoti Perkančiosios organizacijos asmeniui, atsakingam už sutarties vykdymą bei kontrolę;</w:t>
            </w:r>
          </w:p>
        </w:tc>
      </w:tr>
      <w:tr w:rsidR="00594896" w14:paraId="6A13FEA9" w14:textId="77777777" w:rsidTr="00B54093">
        <w:tc>
          <w:tcPr>
            <w:tcW w:w="709" w:type="dxa"/>
          </w:tcPr>
          <w:p w14:paraId="7E3DCF26"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440EEC0" w14:textId="77777777" w:rsidR="00594896" w:rsidRDefault="00594896" w:rsidP="00B54093">
            <w:pPr>
              <w:snapToGrid w:val="0"/>
              <w:spacing w:before="120"/>
              <w:jc w:val="both"/>
              <w:rPr>
                <w:rFonts w:eastAsia="Arial Unicode MS"/>
                <w:color w:val="000000"/>
                <w:bdr w:val="none" w:sz="0" w:space="0" w:color="auto" w:frame="1"/>
                <w:lang w:eastAsia="en-US"/>
              </w:rPr>
            </w:pPr>
            <w:r w:rsidRPr="00413051">
              <w:rPr>
                <w:rFonts w:eastAsia="Arial Unicode MS"/>
                <w:bdr w:val="none" w:sz="0" w:space="0" w:color="auto" w:frame="1"/>
                <w:lang w:eastAsia="ko-KR"/>
              </w:rPr>
              <w:t>Perkančiajai organizacijai</w:t>
            </w:r>
            <w:r w:rsidRPr="00413051">
              <w:rPr>
                <w:rFonts w:eastAsia="Arial Unicode MS"/>
                <w:i/>
                <w:bdr w:val="none" w:sz="0" w:space="0" w:color="auto" w:frame="1"/>
                <w:lang w:eastAsia="ko-KR"/>
              </w:rPr>
              <w:t xml:space="preserve"> </w:t>
            </w:r>
            <w:r w:rsidRPr="00413051">
              <w:rPr>
                <w:rFonts w:eastAsia="Arial Unicode MS"/>
                <w:bdr w:val="none" w:sz="0" w:space="0" w:color="auto" w:frame="1"/>
                <w:lang w:eastAsia="ko-KR"/>
              </w:rPr>
              <w:t>pareiškus pretenzijas (pastabas) Teikėjui</w:t>
            </w:r>
            <w:r w:rsidRPr="00413051">
              <w:rPr>
                <w:rFonts w:eastAsia="Arial Unicode MS"/>
                <w:i/>
                <w:bdr w:val="none" w:sz="0" w:space="0" w:color="auto" w:frame="1"/>
                <w:lang w:eastAsia="ko-KR"/>
              </w:rPr>
              <w:t xml:space="preserve"> </w:t>
            </w:r>
            <w:r w:rsidRPr="00413051">
              <w:rPr>
                <w:rFonts w:eastAsia="Arial Unicode MS"/>
                <w:bdr w:val="none" w:sz="0" w:space="0" w:color="auto" w:frame="1"/>
                <w:lang w:eastAsia="ko-KR"/>
              </w:rPr>
              <w:t xml:space="preserve">dėl Prekių kokybės, pagal pateiktas pretenzijas (pastabas) neatlygintinai </w:t>
            </w:r>
            <w:r w:rsidRPr="00413051">
              <w:rPr>
                <w:rFonts w:eastAsia="Arial Unicode MS"/>
                <w:bdr w:val="none" w:sz="0" w:space="0" w:color="auto" w:frame="1"/>
                <w:lang w:eastAsia="en-US"/>
              </w:rPr>
              <w:t xml:space="preserve">ištaisyti klaidas ir (ar) trūkumus per </w:t>
            </w:r>
            <w:r w:rsidRPr="00413051">
              <w:rPr>
                <w:rFonts w:eastAsia="Arial Unicode MS"/>
                <w:color w:val="000000"/>
                <w:bdr w:val="none" w:sz="0" w:space="0" w:color="auto" w:frame="1"/>
                <w:lang w:eastAsia="en-US"/>
              </w:rPr>
              <w:t>Perkančiosios organizacijos</w:t>
            </w:r>
            <w:r w:rsidRPr="00413051">
              <w:rPr>
                <w:rFonts w:eastAsia="Arial Unicode MS"/>
                <w:bdr w:val="none" w:sz="0" w:space="0" w:color="auto" w:frame="1"/>
                <w:lang w:eastAsia="en-US"/>
              </w:rPr>
              <w:t xml:space="preserve"> nustatytą terminą</w:t>
            </w:r>
            <w:r>
              <w:rPr>
                <w:rFonts w:eastAsia="Arial Unicode MS"/>
                <w:bdr w:val="none" w:sz="0" w:space="0" w:color="auto" w:frame="1"/>
                <w:lang w:eastAsia="en-US"/>
              </w:rPr>
              <w:t>;</w:t>
            </w:r>
          </w:p>
        </w:tc>
      </w:tr>
      <w:tr w:rsidR="00594896" w14:paraId="07ACC182" w14:textId="77777777" w:rsidTr="00B54093">
        <w:tc>
          <w:tcPr>
            <w:tcW w:w="709" w:type="dxa"/>
          </w:tcPr>
          <w:p w14:paraId="1C1D7B1B"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20868E4" w14:textId="77777777" w:rsidR="00594896" w:rsidRDefault="00594896" w:rsidP="00B54093">
            <w:pPr>
              <w:snapToGrid w:val="0"/>
              <w:spacing w:before="120"/>
              <w:jc w:val="both"/>
              <w:rPr>
                <w:rFonts w:eastAsia="Arial Unicode MS"/>
                <w:bdr w:val="none" w:sz="0" w:space="0" w:color="auto" w:frame="1"/>
                <w:lang w:eastAsia="ko-KR"/>
              </w:rPr>
            </w:pPr>
            <w:r>
              <w:rPr>
                <w:rFonts w:eastAsia="Arial Unicode MS"/>
                <w:color w:val="000000"/>
                <w:bdr w:val="none" w:sz="0" w:space="0" w:color="auto" w:frame="1"/>
                <w:lang w:eastAsia="en-US"/>
              </w:rPr>
              <w:t>laikytis konfidencialumo reikalavimų;</w:t>
            </w:r>
          </w:p>
        </w:tc>
      </w:tr>
      <w:tr w:rsidR="00594896" w14:paraId="45F924BA" w14:textId="77777777" w:rsidTr="00B54093">
        <w:tc>
          <w:tcPr>
            <w:tcW w:w="709" w:type="dxa"/>
          </w:tcPr>
          <w:p w14:paraId="09884111"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B34DC6D"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tiekiant</w:t>
            </w:r>
            <w:r>
              <w:rPr>
                <w:rFonts w:eastAsia="Arial Unicode MS"/>
                <w:bdr w:val="none" w:sz="0" w:space="0" w:color="auto" w:frame="1"/>
                <w:lang w:eastAsia="ko-KR"/>
              </w:rPr>
              <w:t xml:space="preserve"> Prekes bendradarbiauti ir konsultuotis su Perkančiąja organizacija;</w:t>
            </w:r>
          </w:p>
        </w:tc>
      </w:tr>
      <w:tr w:rsidR="00594896" w14:paraId="47C11DEF" w14:textId="77777777" w:rsidTr="00B54093">
        <w:tc>
          <w:tcPr>
            <w:tcW w:w="709" w:type="dxa"/>
          </w:tcPr>
          <w:p w14:paraId="0202D954"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2581241" w14:textId="2CE5B471"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nedelsiant </w:t>
            </w:r>
            <w:r w:rsidR="00AB09C4">
              <w:rPr>
                <w:rFonts w:eastAsia="Arial Unicode MS"/>
                <w:bdr w:val="none" w:sz="0" w:space="0" w:color="auto" w:frame="1"/>
                <w:lang w:eastAsia="en-US"/>
              </w:rPr>
              <w:t xml:space="preserve">raštu </w:t>
            </w:r>
            <w:r>
              <w:rPr>
                <w:rFonts w:eastAsia="Arial Unicode MS"/>
                <w:bdr w:val="none" w:sz="0" w:space="0" w:color="auto" w:frame="1"/>
                <w:lang w:eastAsia="en-US"/>
              </w:rPr>
              <w:t xml:space="preserve">informuoti </w:t>
            </w:r>
            <w:r>
              <w:rPr>
                <w:rFonts w:eastAsia="Arial Unicode MS"/>
                <w:bdr w:val="none" w:sz="0" w:space="0" w:color="auto" w:frame="1"/>
                <w:lang w:eastAsia="ko-KR"/>
              </w:rPr>
              <w:t>Perkančiąją organizaciją</w:t>
            </w:r>
            <w:r>
              <w:rPr>
                <w:rFonts w:eastAsia="Arial Unicode MS"/>
                <w:bdr w:val="none" w:sz="0" w:space="0" w:color="auto" w:frame="1"/>
                <w:lang w:eastAsia="en-US"/>
              </w:rPr>
              <w:t xml:space="preserve"> apie bet kurias aplinkybes, kurios trukdo ar gali sutrukdyti Tiekėjui tinkamai ir laiku </w:t>
            </w:r>
            <w:r w:rsidR="00413051">
              <w:rPr>
                <w:rFonts w:eastAsia="Arial Unicode MS"/>
                <w:bdr w:val="none" w:sz="0" w:space="0" w:color="auto" w:frame="1"/>
                <w:lang w:eastAsia="en-US"/>
              </w:rPr>
              <w:t xml:space="preserve">išsiųsti ir </w:t>
            </w:r>
            <w:r>
              <w:rPr>
                <w:rFonts w:eastAsia="Arial Unicode MS"/>
                <w:bdr w:val="none" w:sz="0" w:space="0" w:color="auto" w:frame="1"/>
                <w:lang w:eastAsia="en-US"/>
              </w:rPr>
              <w:t xml:space="preserve">perduoti </w:t>
            </w:r>
            <w:r w:rsidR="00AB09C4">
              <w:rPr>
                <w:rFonts w:eastAsia="Arial Unicode MS"/>
                <w:bdr w:val="none" w:sz="0" w:space="0" w:color="auto" w:frame="1"/>
                <w:lang w:eastAsia="en-US"/>
              </w:rPr>
              <w:t xml:space="preserve">nuosavybės teise </w:t>
            </w:r>
            <w:r>
              <w:rPr>
                <w:rFonts w:eastAsia="Arial Unicode MS"/>
                <w:bdr w:val="none" w:sz="0" w:space="0" w:color="auto" w:frame="1"/>
                <w:lang w:eastAsia="en-US"/>
              </w:rPr>
              <w:t>Prekes;</w:t>
            </w:r>
          </w:p>
        </w:tc>
      </w:tr>
      <w:tr w:rsidR="00594896" w14:paraId="451FC5C5" w14:textId="77777777" w:rsidTr="00B54093">
        <w:tc>
          <w:tcPr>
            <w:tcW w:w="709" w:type="dxa"/>
          </w:tcPr>
          <w:p w14:paraId="56A62DE5"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03B7C63"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vykdyti kitas Sutartyje nustatytas pareigas;</w:t>
            </w:r>
          </w:p>
        </w:tc>
      </w:tr>
      <w:tr w:rsidR="00594896" w14:paraId="23F481BE" w14:textId="77777777" w:rsidTr="00B54093">
        <w:tc>
          <w:tcPr>
            <w:tcW w:w="709" w:type="dxa"/>
          </w:tcPr>
          <w:p w14:paraId="6EF2EE4E"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8AD1B12"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įsipareigoja:</w:t>
            </w:r>
          </w:p>
        </w:tc>
      </w:tr>
      <w:tr w:rsidR="00594896" w14:paraId="55309E5A" w14:textId="77777777" w:rsidTr="00B54093">
        <w:tc>
          <w:tcPr>
            <w:tcW w:w="709" w:type="dxa"/>
          </w:tcPr>
          <w:p w14:paraId="762227C4"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75C90ED" w14:textId="77777777" w:rsidR="00594896" w:rsidRDefault="00594896" w:rsidP="00B54093">
            <w:pPr>
              <w:snapToGrid w:val="0"/>
              <w:spacing w:before="120"/>
              <w:ind w:right="186"/>
              <w:jc w:val="both"/>
              <w:rPr>
                <w:rFonts w:eastAsia="Arial Unicode MS"/>
                <w:highlight w:val="lightGray"/>
                <w:bdr w:val="none" w:sz="0" w:space="0" w:color="auto" w:frame="1"/>
                <w:lang w:eastAsia="en-US"/>
              </w:rPr>
            </w:pPr>
            <w:r>
              <w:rPr>
                <w:rFonts w:eastAsia="Arial Unicode MS"/>
                <w:bdr w:val="none" w:sz="0" w:space="0" w:color="auto" w:frame="1"/>
                <w:lang w:eastAsia="en-US"/>
              </w:rPr>
              <w:t>bendradarbiauti su Tiekėju;</w:t>
            </w:r>
          </w:p>
        </w:tc>
      </w:tr>
      <w:tr w:rsidR="00594896" w14:paraId="76D2F71C" w14:textId="77777777" w:rsidTr="00B54093">
        <w:tc>
          <w:tcPr>
            <w:tcW w:w="709" w:type="dxa"/>
          </w:tcPr>
          <w:p w14:paraId="4537BCC2"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651450F"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tinkamas Prekes atlyginti Tiekėjui šios sutarties 3 skyriuje numatyta tvarka;</w:t>
            </w:r>
          </w:p>
        </w:tc>
      </w:tr>
      <w:tr w:rsidR="00594896" w14:paraId="27BDC46E" w14:textId="77777777" w:rsidTr="00B54093">
        <w:tc>
          <w:tcPr>
            <w:tcW w:w="709" w:type="dxa"/>
          </w:tcPr>
          <w:p w14:paraId="165EE2E3"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132DFBA" w14:textId="60EFA644" w:rsidR="00594896" w:rsidRDefault="00AB09C4"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tinkamai </w:t>
            </w:r>
            <w:r w:rsidR="00594896">
              <w:rPr>
                <w:rFonts w:eastAsia="Arial Unicode MS"/>
                <w:bdr w:val="none" w:sz="0" w:space="0" w:color="auto" w:frame="1"/>
                <w:lang w:eastAsia="en-US"/>
              </w:rPr>
              <w:t>priimti laiku ir kokybiškai perduotas Prekes kaip numatyta Sutarties 3.4.3. punkte ir už jas atsiskaityti;</w:t>
            </w:r>
          </w:p>
        </w:tc>
      </w:tr>
      <w:tr w:rsidR="00594896" w14:paraId="6F847758" w14:textId="77777777" w:rsidTr="00B54093">
        <w:tc>
          <w:tcPr>
            <w:tcW w:w="709" w:type="dxa"/>
          </w:tcPr>
          <w:p w14:paraId="36256BFB"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4AC429E" w14:textId="304A8C05" w:rsidR="00594896" w:rsidRDefault="00AB09C4"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nedelsiant raštu </w:t>
            </w:r>
            <w:r w:rsidR="00594896">
              <w:rPr>
                <w:rFonts w:eastAsia="Arial Unicode MS"/>
                <w:bdr w:val="none" w:sz="0" w:space="0" w:color="auto" w:frame="1"/>
                <w:lang w:eastAsia="en-US"/>
              </w:rPr>
              <w:t>informuoti Ti</w:t>
            </w:r>
            <w:r>
              <w:rPr>
                <w:rFonts w:eastAsia="Arial Unicode MS"/>
                <w:bdr w:val="none" w:sz="0" w:space="0" w:color="auto" w:frame="1"/>
                <w:lang w:eastAsia="en-US"/>
              </w:rPr>
              <w:t>e</w:t>
            </w:r>
            <w:r w:rsidR="00594896">
              <w:rPr>
                <w:rFonts w:eastAsia="Arial Unicode MS"/>
                <w:bdr w:val="none" w:sz="0" w:space="0" w:color="auto" w:frame="1"/>
                <w:lang w:eastAsia="en-US"/>
              </w:rPr>
              <w:t xml:space="preserve">kėją apie </w:t>
            </w:r>
            <w:r>
              <w:rPr>
                <w:rFonts w:eastAsia="Arial Unicode MS"/>
                <w:bdr w:val="none" w:sz="0" w:space="0" w:color="auto" w:frame="1"/>
                <w:lang w:eastAsia="en-US"/>
              </w:rPr>
              <w:t>bet kurias aplinkybes, kurios trukdo ar gali sutrukdyti Perkančiajai organizacijai tinkamai ir laiku nuosavybės teise perimti Prekes ar vykdyti kitus įsipareigojimus pagal Sutartį;</w:t>
            </w:r>
          </w:p>
        </w:tc>
      </w:tr>
      <w:tr w:rsidR="00413051" w14:paraId="553033BD" w14:textId="77777777" w:rsidTr="00B54093">
        <w:tc>
          <w:tcPr>
            <w:tcW w:w="709" w:type="dxa"/>
          </w:tcPr>
          <w:p w14:paraId="6B080E72" w14:textId="77777777" w:rsidR="00413051" w:rsidRPr="00AB09C4" w:rsidRDefault="00413051"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2F1F0C86" w14:textId="36EA6E50" w:rsidR="00413051" w:rsidRPr="00AB09C4" w:rsidRDefault="00413051" w:rsidP="00B54093">
            <w:pPr>
              <w:snapToGrid w:val="0"/>
              <w:spacing w:before="120"/>
              <w:jc w:val="both"/>
              <w:rPr>
                <w:rFonts w:eastAsia="Arial Unicode MS"/>
                <w:bdr w:val="none" w:sz="0" w:space="0" w:color="auto" w:frame="1"/>
                <w:lang w:eastAsia="en-US"/>
              </w:rPr>
            </w:pPr>
            <w:r w:rsidRPr="00AB09C4">
              <w:t xml:space="preserve">Įsigydama dovanų korteles Perkančioji bendrovė įsipareigoja </w:t>
            </w:r>
            <w:r w:rsidRPr="00AB09C4">
              <w:rPr>
                <w:noProof/>
              </w:rPr>
              <w:t>laikytis profesinių standartų, geros verslo praktikos, Elgesio kodekso (Sutarties Priedas Nr.</w:t>
            </w:r>
            <w:r w:rsidRPr="00AB09C4">
              <w:t xml:space="preserve"> </w:t>
            </w:r>
            <w:r w:rsidRPr="00AB09C4">
              <w:rPr>
                <w:noProof/>
              </w:rPr>
              <w:t>2), Sutikimo dėl atitikties nuostatų (Sutarties Priedas Nr. 3), Sutartyje ir kituose dokumentuose, Šalių pasirašytuose esant ikisutartiniams santykiams ar vykdant Sutartį, nustatytų konfidencialumo (Sutarties Priedas Nr. 4) ir kitų įsipareigojimų</w:t>
            </w:r>
            <w:r w:rsidR="00AB09C4" w:rsidRPr="00AB09C4">
              <w:rPr>
                <w:noProof/>
              </w:rPr>
              <w:t>;</w:t>
            </w:r>
          </w:p>
        </w:tc>
      </w:tr>
      <w:tr w:rsidR="00AB09C4" w14:paraId="3E2ABCFE" w14:textId="77777777" w:rsidTr="00B54093">
        <w:tc>
          <w:tcPr>
            <w:tcW w:w="709" w:type="dxa"/>
          </w:tcPr>
          <w:p w14:paraId="1AC00B6C" w14:textId="77777777" w:rsidR="00AB09C4" w:rsidRPr="00AB09C4" w:rsidRDefault="00AB09C4"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5482EF7F" w14:textId="503DC7EE" w:rsidR="00AB09C4" w:rsidRPr="00AB09C4" w:rsidRDefault="00AB09C4" w:rsidP="00B54093">
            <w:pPr>
              <w:snapToGrid w:val="0"/>
              <w:spacing w:before="120"/>
              <w:jc w:val="both"/>
            </w:pPr>
            <w:r w:rsidRPr="00AB09C4">
              <w:rPr>
                <w:noProof/>
              </w:rPr>
              <w:t>Perkančioji organizacija negali siūlyti, perduoti, teikti ar žadėti suteikti turtinę ir/ar neturtinę naudą, taip pat kvietimų, dovanų ar kitų paskatinimų Tiekėjo ar Schwarz įmonių grupės, kuriai priklauso Tiekėjas, darbuotojams.</w:t>
            </w:r>
          </w:p>
        </w:tc>
      </w:tr>
      <w:tr w:rsidR="00594896" w14:paraId="36AECEC5" w14:textId="77777777" w:rsidTr="00B54093">
        <w:tc>
          <w:tcPr>
            <w:tcW w:w="709" w:type="dxa"/>
          </w:tcPr>
          <w:p w14:paraId="47E363E7"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97C7559"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Šalių teisės:</w:t>
            </w:r>
          </w:p>
        </w:tc>
      </w:tr>
      <w:tr w:rsidR="00594896" w14:paraId="6C91A57B" w14:textId="77777777" w:rsidTr="00B54093">
        <w:tc>
          <w:tcPr>
            <w:tcW w:w="709" w:type="dxa"/>
          </w:tcPr>
          <w:p w14:paraId="6B3F23B8"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04A46F9"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turi teisę nepriimti nekokybiškai bei ne laiku perduotų Prekių ir reikalauti Teikėjo pašalinti trūkumus;</w:t>
            </w:r>
          </w:p>
        </w:tc>
      </w:tr>
      <w:tr w:rsidR="00594896" w14:paraId="7D650288" w14:textId="77777777" w:rsidTr="00B54093">
        <w:tc>
          <w:tcPr>
            <w:tcW w:w="709" w:type="dxa"/>
          </w:tcPr>
          <w:p w14:paraId="2A865699"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EB4E93F" w14:textId="5A96CC60"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Perkančioji organizacija turi teisę reikalauti, kad Tiekėjas atlygintų nuostolius dėl netinkamo </w:t>
            </w:r>
            <w:r w:rsidR="002A3FA6">
              <w:rPr>
                <w:rFonts w:eastAsia="Arial Unicode MS"/>
                <w:bdr w:val="none" w:sz="0" w:space="0" w:color="auto" w:frame="1"/>
                <w:lang w:eastAsia="en-US"/>
              </w:rPr>
              <w:t>P</w:t>
            </w:r>
            <w:r>
              <w:rPr>
                <w:rFonts w:eastAsia="Arial Unicode MS"/>
                <w:bdr w:val="none" w:sz="0" w:space="0" w:color="auto" w:frame="1"/>
                <w:lang w:eastAsia="en-US"/>
              </w:rPr>
              <w:t>rekių ar jų nepateikimo;</w:t>
            </w:r>
          </w:p>
        </w:tc>
      </w:tr>
      <w:tr w:rsidR="00594896" w14:paraId="0B1F90C8" w14:textId="77777777" w:rsidTr="00B54093">
        <w:tc>
          <w:tcPr>
            <w:tcW w:w="709" w:type="dxa"/>
          </w:tcPr>
          <w:p w14:paraId="271F03EF"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BE6AA49"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turi teisę reikalauti, kad už tinkamai ir kokybiškai perduotas Prekes būtų apmokėta šioje Sutartyje nustatyta tvarka.</w:t>
            </w:r>
          </w:p>
        </w:tc>
      </w:tr>
      <w:tr w:rsidR="00594896" w14:paraId="526A2924" w14:textId="77777777" w:rsidTr="00B54093">
        <w:tc>
          <w:tcPr>
            <w:tcW w:w="709" w:type="dxa"/>
          </w:tcPr>
          <w:p w14:paraId="55020F9D"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B1DD466"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viena kitai įsipareigoja:</w:t>
            </w:r>
          </w:p>
        </w:tc>
      </w:tr>
      <w:tr w:rsidR="00594896" w14:paraId="0E534C29" w14:textId="77777777" w:rsidTr="00B54093">
        <w:tc>
          <w:tcPr>
            <w:tcW w:w="709" w:type="dxa"/>
          </w:tcPr>
          <w:p w14:paraId="4DB92CFC"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3FF9065"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nei viena Šalis neturi teisės perleisti trečiajai šaliai visų arba dalies teisių ir pareigų pagal šią Sutartį be išankstinio raštiško kitos Šalies sutikimo;</w:t>
            </w:r>
          </w:p>
        </w:tc>
      </w:tr>
      <w:tr w:rsidR="00594896" w14:paraId="1532693F" w14:textId="77777777" w:rsidTr="00B54093">
        <w:tc>
          <w:tcPr>
            <w:tcW w:w="709" w:type="dxa"/>
          </w:tcPr>
          <w:p w14:paraId="2C9D6FBA"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ED3FA34"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abi Šalys įsipareigoja neatskleisti jokios konfidencialios informacijos trečioms šalims nei Sutarties vykdymo metu, išskyrus Lietuvos Respublikos įstatymuose numatytas išimtis.</w:t>
            </w:r>
          </w:p>
        </w:tc>
      </w:tr>
      <w:tr w:rsidR="00594896" w14:paraId="7B6440C0" w14:textId="77777777" w:rsidTr="00B54093">
        <w:tc>
          <w:tcPr>
            <w:tcW w:w="709" w:type="dxa"/>
          </w:tcPr>
          <w:p w14:paraId="49FC4CE2"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F1E6060"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ir Perkančioji organizacija susitaria, kad Prekių užsakymai pateikiami tik esant poreikiui.</w:t>
            </w:r>
          </w:p>
        </w:tc>
      </w:tr>
      <w:tr w:rsidR="00594896" w14:paraId="66CB5493" w14:textId="77777777" w:rsidTr="00B54093">
        <w:tc>
          <w:tcPr>
            <w:tcW w:w="709" w:type="dxa"/>
          </w:tcPr>
          <w:p w14:paraId="50150BF2" w14:textId="77777777"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5278290A" w14:textId="77777777" w:rsidR="00594896" w:rsidRDefault="00594896" w:rsidP="00B54093">
            <w:pPr>
              <w:snapToGrid w:val="0"/>
              <w:spacing w:before="120"/>
              <w:ind w:right="186"/>
              <w:jc w:val="both"/>
              <w:rPr>
                <w:rFonts w:eastAsia="Arial Unicode MS"/>
                <w:highlight w:val="lightGray"/>
                <w:bdr w:val="none" w:sz="0" w:space="0" w:color="auto" w:frame="1"/>
                <w:lang w:eastAsia="en-US"/>
              </w:rPr>
            </w:pPr>
            <w:r>
              <w:rPr>
                <w:rFonts w:eastAsia="Arial Unicode MS"/>
                <w:b/>
                <w:bdr w:val="none" w:sz="0" w:space="0" w:color="auto" w:frame="1"/>
                <w:lang w:eastAsia="en-US"/>
              </w:rPr>
              <w:t>SUTARTIES KAINA IR ATSISKAITYMO TVARKA</w:t>
            </w:r>
          </w:p>
        </w:tc>
      </w:tr>
      <w:tr w:rsidR="00594896" w14:paraId="179F67C8" w14:textId="77777777" w:rsidTr="00B54093">
        <w:tc>
          <w:tcPr>
            <w:tcW w:w="709" w:type="dxa"/>
          </w:tcPr>
          <w:p w14:paraId="2178737B"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4F2F4A0" w14:textId="6AA77683" w:rsidR="00594896" w:rsidRDefault="00594896" w:rsidP="00B54093">
            <w:pPr>
              <w:snapToGrid w:val="0"/>
              <w:spacing w:before="120"/>
              <w:jc w:val="both"/>
              <w:rPr>
                <w:rFonts w:eastAsia="Arial Unicode MS"/>
                <w:b/>
                <w:bdr w:val="none" w:sz="0" w:space="0" w:color="auto" w:frame="1"/>
                <w:lang w:eastAsia="en-US"/>
              </w:rPr>
            </w:pPr>
            <w:r>
              <w:rPr>
                <w:rFonts w:eastAsia="Arial Unicode MS"/>
                <w:b/>
                <w:bdr w:val="none" w:sz="0" w:space="0" w:color="auto" w:frame="1"/>
                <w:lang w:eastAsia="en-US"/>
              </w:rPr>
              <w:t xml:space="preserve">Maksimali Sutarties kaina yra </w:t>
            </w:r>
            <w:r w:rsidR="00451389">
              <w:rPr>
                <w:rFonts w:eastAsia="Arial Unicode MS"/>
                <w:b/>
                <w:bdr w:val="none" w:sz="0" w:space="0" w:color="auto" w:frame="1"/>
                <w:lang w:eastAsia="en-US"/>
              </w:rPr>
              <w:t>28.845,00</w:t>
            </w:r>
            <w:r>
              <w:rPr>
                <w:rFonts w:eastAsia="Arial Unicode MS"/>
                <w:b/>
                <w:bdr w:val="none" w:sz="0" w:space="0" w:color="auto" w:frame="1"/>
                <w:lang w:eastAsia="en-US"/>
              </w:rPr>
              <w:t xml:space="preserve"> EUR (</w:t>
            </w:r>
            <w:r w:rsidR="00213407">
              <w:rPr>
                <w:b/>
              </w:rPr>
              <w:t>dvidešimt aštuoni tūkstančiai aštuoni šimtai keturiasdešimt penki eurai</w:t>
            </w:r>
            <w:r>
              <w:rPr>
                <w:rFonts w:eastAsia="Arial Unicode MS"/>
                <w:b/>
                <w:bdr w:val="none" w:sz="0" w:space="0" w:color="auto" w:frame="1"/>
                <w:lang w:eastAsia="en-US"/>
              </w:rPr>
              <w:t xml:space="preserve">) be PVM. PVM tarifas yra </w:t>
            </w:r>
            <w:r w:rsidR="00213407">
              <w:rPr>
                <w:rFonts w:eastAsia="Arial Unicode MS"/>
                <w:b/>
                <w:bdr w:val="none" w:sz="0" w:space="0" w:color="auto" w:frame="1"/>
                <w:lang w:eastAsia="en-US"/>
              </w:rPr>
              <w:t>0</w:t>
            </w:r>
            <w:r>
              <w:rPr>
                <w:rFonts w:eastAsia="Arial Unicode MS"/>
                <w:b/>
                <w:bdr w:val="none" w:sz="0" w:space="0" w:color="auto" w:frame="1"/>
                <w:lang w:eastAsia="en-US"/>
              </w:rPr>
              <w:t xml:space="preserve"> proc., bendra maksimali Sutarties kaina su PVM yra </w:t>
            </w:r>
            <w:r w:rsidR="00213407">
              <w:rPr>
                <w:rFonts w:eastAsia="Arial Unicode MS"/>
                <w:b/>
                <w:bdr w:val="none" w:sz="0" w:space="0" w:color="auto" w:frame="1"/>
                <w:lang w:eastAsia="en-US"/>
              </w:rPr>
              <w:t>28.845,00</w:t>
            </w:r>
            <w:r>
              <w:rPr>
                <w:rFonts w:eastAsia="Arial Unicode MS"/>
                <w:b/>
                <w:bdr w:val="none" w:sz="0" w:space="0" w:color="auto" w:frame="1"/>
                <w:lang w:eastAsia="en-US"/>
              </w:rPr>
              <w:t xml:space="preserve"> EUR (</w:t>
            </w:r>
            <w:r w:rsidR="00213407">
              <w:rPr>
                <w:b/>
              </w:rPr>
              <w:t>dvidešimt aštuoni tūkstančiai aštuoni šimtai keturiasdešimt penki eurai</w:t>
            </w:r>
            <w:r>
              <w:rPr>
                <w:rFonts w:eastAsia="Arial Unicode MS"/>
                <w:b/>
                <w:bdr w:val="none" w:sz="0" w:space="0" w:color="auto" w:frame="1"/>
                <w:lang w:eastAsia="en-US"/>
              </w:rPr>
              <w:t>)</w:t>
            </w:r>
            <w:r>
              <w:rPr>
                <w:rFonts w:eastAsia="Arial Unicode MS"/>
                <w:bdr w:val="none" w:sz="0" w:space="0" w:color="auto" w:frame="1"/>
                <w:lang w:eastAsia="en-US"/>
              </w:rPr>
              <w:t xml:space="preserve">, jeigu PVM taikomas. Nurodyta maksimali Sutarties kaina neįpareigoja Perkančiosios organizacijos Sutarties galiojimo laikotarpiu įsigyti Prekių už šią sumą – Perkančioji organizacija iš Tiekėjo Prekes pirks tik esant poreikiui ir minimali šios Sutarties vertė nebus nustatyta. </w:t>
            </w:r>
          </w:p>
        </w:tc>
      </w:tr>
      <w:tr w:rsidR="00594896" w14:paraId="0E34DFA1" w14:textId="77777777" w:rsidTr="00B54093">
        <w:tc>
          <w:tcPr>
            <w:tcW w:w="709" w:type="dxa"/>
          </w:tcPr>
          <w:p w14:paraId="595D2C56"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67AC06C" w14:textId="357A79B9" w:rsidR="00594896" w:rsidRDefault="00594896" w:rsidP="00B54093">
            <w:pPr>
              <w:snapToGrid w:val="0"/>
              <w:spacing w:before="120"/>
              <w:ind w:right="186"/>
              <w:jc w:val="both"/>
              <w:rPr>
                <w:rFonts w:eastAsia="Arial Unicode MS"/>
                <w:b/>
                <w:bdr w:val="none" w:sz="0" w:space="0" w:color="auto" w:frame="1"/>
                <w:lang w:eastAsia="en-US"/>
              </w:rPr>
            </w:pPr>
            <w:r>
              <w:rPr>
                <w:rFonts w:eastAsia="Arial Unicode MS"/>
                <w:bdr w:val="none" w:sz="0" w:space="0" w:color="auto" w:frame="1"/>
                <w:lang w:eastAsia="en-US"/>
              </w:rPr>
              <w:t xml:space="preserve">Prekių įkainiai nurodyti Sutarties </w:t>
            </w:r>
            <w:r w:rsidR="002A3FA6">
              <w:rPr>
                <w:rFonts w:eastAsia="Arial Unicode MS"/>
                <w:bdr w:val="none" w:sz="0" w:space="0" w:color="auto" w:frame="1"/>
                <w:lang w:eastAsia="en-US"/>
              </w:rPr>
              <w:t>P</w:t>
            </w:r>
            <w:r>
              <w:rPr>
                <w:rFonts w:eastAsia="Arial Unicode MS"/>
                <w:bdr w:val="none" w:sz="0" w:space="0" w:color="auto" w:frame="1"/>
                <w:lang w:eastAsia="en-US"/>
              </w:rPr>
              <w:t>riede</w:t>
            </w:r>
            <w:r w:rsidR="002A3FA6">
              <w:rPr>
                <w:rFonts w:eastAsia="Arial Unicode MS"/>
                <w:bdr w:val="none" w:sz="0" w:space="0" w:color="auto" w:frame="1"/>
                <w:lang w:eastAsia="en-US"/>
              </w:rPr>
              <w:t xml:space="preserve"> Nr. 1</w:t>
            </w:r>
            <w:r>
              <w:rPr>
                <w:rFonts w:eastAsia="Arial Unicode MS"/>
                <w:bdr w:val="none" w:sz="0" w:space="0" w:color="auto" w:frame="1"/>
                <w:lang w:eastAsia="en-US"/>
              </w:rPr>
              <w:t>.</w:t>
            </w:r>
          </w:p>
        </w:tc>
      </w:tr>
      <w:tr w:rsidR="00594896" w14:paraId="59AF4E01" w14:textId="77777777" w:rsidTr="00B54093">
        <w:tc>
          <w:tcPr>
            <w:tcW w:w="709" w:type="dxa"/>
          </w:tcPr>
          <w:p w14:paraId="1D73E8A6"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2B0F4E3" w14:textId="77777777" w:rsidR="00594896" w:rsidRDefault="00594896" w:rsidP="00B54093">
            <w:pPr>
              <w:snapToGrid w:val="0"/>
              <w:spacing w:before="120"/>
              <w:ind w:right="186"/>
              <w:jc w:val="both"/>
              <w:rPr>
                <w:rFonts w:eastAsia="Arial Unicode MS"/>
                <w:bdr w:val="none" w:sz="0" w:space="0" w:color="auto" w:frame="1"/>
                <w:lang w:eastAsia="en-US"/>
              </w:rPr>
            </w:pPr>
            <w:r>
              <w:rPr>
                <w:rFonts w:eastAsia="Arial Unicode MS"/>
                <w:bdr w:val="none" w:sz="0" w:space="0" w:color="auto" w:frame="1"/>
                <w:lang w:eastAsia="en-US"/>
              </w:rPr>
              <w:t>Kainodaros taisyklės:</w:t>
            </w:r>
          </w:p>
        </w:tc>
      </w:tr>
      <w:tr w:rsidR="00594896" w14:paraId="481181E4" w14:textId="77777777" w:rsidTr="00B54093">
        <w:tc>
          <w:tcPr>
            <w:tcW w:w="709" w:type="dxa"/>
          </w:tcPr>
          <w:p w14:paraId="35505648"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60AD16F" w14:textId="15633F4F"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Maksimali Sutarties kaina be PVM</w:t>
            </w:r>
            <w:r w:rsidR="002A3FA6">
              <w:rPr>
                <w:rFonts w:eastAsia="Arial Unicode MS"/>
                <w:bdr w:val="none" w:sz="0" w:space="0" w:color="auto" w:frame="1"/>
                <w:lang w:eastAsia="en-US"/>
              </w:rPr>
              <w:t xml:space="preserve">, į kurią yra įskaičiuotos bet kokios </w:t>
            </w:r>
            <w:r w:rsidR="00A73D3C">
              <w:rPr>
                <w:rFonts w:eastAsia="Arial Unicode MS"/>
                <w:bdr w:val="none" w:sz="0" w:space="0" w:color="auto" w:frame="1"/>
                <w:lang w:eastAsia="en-US"/>
              </w:rPr>
              <w:t>ir visos su Prekėmis susijusios išlaidos/mokesčiai, yra galutinė ir</w:t>
            </w:r>
            <w:r>
              <w:rPr>
                <w:rFonts w:eastAsia="Arial Unicode MS"/>
                <w:bdr w:val="none" w:sz="0" w:space="0" w:color="auto" w:frame="1"/>
                <w:lang w:eastAsia="en-US"/>
              </w:rPr>
              <w:t xml:space="preserve"> Sutarties galiojimo metu nebus keičiama.</w:t>
            </w:r>
          </w:p>
        </w:tc>
      </w:tr>
      <w:tr w:rsidR="00594896" w14:paraId="3EAA7C55" w14:textId="77777777" w:rsidTr="00B54093">
        <w:tc>
          <w:tcPr>
            <w:tcW w:w="709" w:type="dxa"/>
          </w:tcPr>
          <w:p w14:paraId="62B0D740"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53EA0C5"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Prekių įkainiams įtakos negali turėti terminų pažeidimas, transporto, darbo užmokesčio ir kitų panašių išlaidų augimas;</w:t>
            </w:r>
          </w:p>
        </w:tc>
      </w:tr>
      <w:tr w:rsidR="00594896" w14:paraId="1E8A2052" w14:textId="77777777" w:rsidTr="00B54093">
        <w:tc>
          <w:tcPr>
            <w:tcW w:w="709" w:type="dxa"/>
          </w:tcPr>
          <w:p w14:paraId="2D70AFC2"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7136803"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Prekių įkainiai dėl bendro kainų lygio kitimo nebus perskaičiuojami, visą riziką dėl kainų padidėjimo prisiima Tiekėjas;</w:t>
            </w:r>
          </w:p>
        </w:tc>
      </w:tr>
      <w:tr w:rsidR="00594896" w14:paraId="2CB33312" w14:textId="77777777" w:rsidTr="00B54093">
        <w:tc>
          <w:tcPr>
            <w:tcW w:w="709" w:type="dxa"/>
          </w:tcPr>
          <w:p w14:paraId="3406AC7A"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F13911E"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susitaria, kad kilus teisminiam ginčui dėl atsiskaitymo už perduotas Prekes, Tiekėjas gali reikalauti priteisti ne didesnes kaip 5 (penkių) procentų metines palūkanas nuo nesumokėtos sumos, kaip tai numatyta LR CK 6.210 str. 1 d.;</w:t>
            </w:r>
          </w:p>
        </w:tc>
      </w:tr>
      <w:tr w:rsidR="00594896" w14:paraId="74488B1D" w14:textId="77777777" w:rsidTr="00B54093">
        <w:tc>
          <w:tcPr>
            <w:tcW w:w="709" w:type="dxa"/>
          </w:tcPr>
          <w:p w14:paraId="71BB0716"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F0BD71F" w14:textId="094773FE"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Bendra Sutarties kaina per visą Sutarties galiojimo laikotarpį yra nekeičiama (Tiekėjas teikdamas pasiūlymus turi įvertinti galimus mokesčių ir rinkos pokyčius), išskyrus PVM pasikeitimo atvejį. Jeigu Sutarties vykdymo metu pasikeičia (padidėja arba sumažėja) PVM tarifas, prekių kaina (įkainiai) atitinkamai didinami arba mažinami. Perskaičiavimas atliekamas per 2 darbo dienas bei įforminamas Sutarties pakeitimu, kuris tampa neatskiriama Sutarties dalimi. Perskaičiuota Prekių kaina (įkainiai) taikomi už tas prekes, už kurias PVM sąskaita faktūra ar lygiavertis dokumentas išrašomi galiojant naujam PVM. Jeigu prekių kainos (įkainių) perskaičiavimą dėl pasikeitusio (padidėjusio ar sumažėjusio) PVM inicijuoja Tiekėjas, jis turi raštu kreiptis į Perkančiąją organizaciją ir pateikti konkrečius skaičiavimus dėl pasikeitusio PVM įtakos Prekių kainos (įkainių) daliai. Perkančioji organizacija taip pat turi teisę inicijuoti Prekių kainos (įkainių) per</w:t>
            </w:r>
            <w:r w:rsidR="00B54093">
              <w:rPr>
                <w:rFonts w:eastAsia="Arial Unicode MS"/>
                <w:bdr w:val="none" w:sz="0" w:space="0" w:color="auto" w:frame="1"/>
                <w:lang w:eastAsia="en-US"/>
              </w:rPr>
              <w:t>skaičiavimą dėl pasikeitusio PVM.</w:t>
            </w:r>
          </w:p>
        </w:tc>
      </w:tr>
      <w:tr w:rsidR="00594896" w14:paraId="7BD1A54B" w14:textId="77777777" w:rsidTr="00B54093">
        <w:tc>
          <w:tcPr>
            <w:tcW w:w="709" w:type="dxa"/>
          </w:tcPr>
          <w:p w14:paraId="1E0DC2FC"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0FE034F"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Atsiskaitymų ir mokėjimų tvarka:</w:t>
            </w:r>
          </w:p>
        </w:tc>
      </w:tr>
      <w:tr w:rsidR="00594896" w14:paraId="30AFA481" w14:textId="77777777" w:rsidTr="00B54093">
        <w:tc>
          <w:tcPr>
            <w:tcW w:w="709" w:type="dxa"/>
          </w:tcPr>
          <w:p w14:paraId="34BF25E8"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41E1245" w14:textId="2E89411E" w:rsidR="00594896" w:rsidRDefault="00A73D3C" w:rsidP="00B54093">
            <w:pPr>
              <w:snapToGrid w:val="0"/>
              <w:spacing w:before="120"/>
              <w:jc w:val="both"/>
              <w:rPr>
                <w:rFonts w:eastAsia="Arial Unicode MS"/>
                <w:bdr w:val="none" w:sz="0" w:space="0" w:color="auto" w:frame="1"/>
                <w:lang w:eastAsia="en-US"/>
              </w:rPr>
            </w:pPr>
            <w:r w:rsidRPr="00A73D3C">
              <w:rPr>
                <w:noProof/>
              </w:rPr>
              <w:t xml:space="preserve">Perkančioji bendrovė įsipareigoja atsiskaityti su Tiekėju už </w:t>
            </w:r>
            <w:r>
              <w:rPr>
                <w:noProof/>
              </w:rPr>
              <w:t>Prekes</w:t>
            </w:r>
            <w:r w:rsidRPr="00A73D3C">
              <w:rPr>
                <w:noProof/>
              </w:rPr>
              <w:t xml:space="preserve"> ne vėliau kaip per 30 (trisdešimt) dienų nuo Prekių perdavimo-priėmimo akto pasirašymo dienos atliekant mokėjimą nurodytai sumai</w:t>
            </w:r>
            <w:r>
              <w:rPr>
                <w:noProof/>
              </w:rPr>
              <w:t>;</w:t>
            </w:r>
          </w:p>
        </w:tc>
      </w:tr>
      <w:tr w:rsidR="00A73D3C" w14:paraId="021CB467" w14:textId="77777777" w:rsidTr="00B54093">
        <w:tc>
          <w:tcPr>
            <w:tcW w:w="709" w:type="dxa"/>
          </w:tcPr>
          <w:p w14:paraId="1F5130D8" w14:textId="77777777" w:rsidR="00A73D3C" w:rsidRPr="00A73D3C" w:rsidRDefault="00A73D3C"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08CB80E6" w14:textId="7E1CE17C" w:rsidR="00A73D3C" w:rsidRPr="00A73D3C" w:rsidRDefault="00A73D3C" w:rsidP="00B54093">
            <w:pPr>
              <w:snapToGrid w:val="0"/>
              <w:spacing w:before="120"/>
              <w:jc w:val="both"/>
              <w:rPr>
                <w:noProof/>
              </w:rPr>
            </w:pPr>
            <w:r w:rsidRPr="00A73D3C">
              <w:rPr>
                <w:noProof/>
              </w:rPr>
              <w:t>Vadovaujantis Lietuvos Respublikos pridėtinės vertės mokesčio įstatymo 3 ir 14 straipsnių nuostatomis ir 2017 m. sausio 31 d. Valstybinės mokesčių inspekcijos prie LR finansų ministerijos išaiškinimu Nr. (18.2-31-2 E) RM-890, Tiekėjo parduodami daugiafunkciniai kuponai nėra laikomi PVM objektu, todėl PVM sąskaitos faktūros įsigyjant dovanų korteles nėra išrašomos;</w:t>
            </w:r>
          </w:p>
        </w:tc>
      </w:tr>
      <w:tr w:rsidR="00594896" w14:paraId="5F9118A1" w14:textId="77777777" w:rsidTr="00B54093">
        <w:tc>
          <w:tcPr>
            <w:tcW w:w="709" w:type="dxa"/>
          </w:tcPr>
          <w:p w14:paraId="5D46AE9F"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BA5E7B8" w14:textId="6293F224"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Tiekėjas įsipareigoja PVM sąskaitą-faktūrą ar lygiavertį dokumentą už praėjusį mėnesį perduotas Prekes Perkančiajai organizacijai pateikti iki sekančio mėnesio 10 dienos naudojantis tik informacinės sistemos „E. sąskaita“ priemonėmis. </w:t>
            </w:r>
          </w:p>
          <w:p w14:paraId="26B77582" w14:textId="77777777" w:rsidR="00594896" w:rsidRDefault="00594896" w:rsidP="002B2104">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Teikiant PVM sąskaitą faktūrą informacinės sistemos „E. sąskaita“ priemonėmis PVM sąskaitoje faktūroje pastabų dalyje  privaloma nurodyti Prekes priėmusio asmens vardą, pavardę ir pareigas. Papildomai informacinės sistemos „E. sąskaita“ priemonėmis pateikiamas abiejų šalių pasirašytas Prekių perdavimo – priėmimo aktas, kurio  pagrindu išrašyta  sąskaita  faktūra.</w:t>
            </w:r>
          </w:p>
          <w:p w14:paraId="6723B2D9"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PVM sąskaitos faktūros pateikimo informacinės sistemos „E. sąskaita“ priemonėmis išlaidos yra įskaičiuotos į Sutarties kainą;</w:t>
            </w:r>
          </w:p>
        </w:tc>
      </w:tr>
      <w:tr w:rsidR="00594896" w14:paraId="770B8225" w14:textId="77777777" w:rsidTr="00B54093">
        <w:tc>
          <w:tcPr>
            <w:tcW w:w="709" w:type="dxa"/>
          </w:tcPr>
          <w:p w14:paraId="5C6AC49C"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70572A3" w14:textId="25C0FAEA" w:rsidR="00594896" w:rsidRDefault="00594896" w:rsidP="00D53122">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 Tiekėju atsiskaitoma per 30 (trisdešimt) kalendorinių dienų nuo PVM sąskaitos faktūros ar lygiaverčių dokumentų gavimo</w:t>
            </w:r>
            <w:r w:rsidR="00D53122">
              <w:rPr>
                <w:rFonts w:eastAsia="Arial Unicode MS"/>
                <w:bdr w:val="none" w:sz="0" w:space="0" w:color="auto" w:frame="1"/>
                <w:lang w:eastAsia="en-US"/>
              </w:rPr>
              <w:t>.</w:t>
            </w:r>
            <w:r>
              <w:rPr>
                <w:rFonts w:eastAsia="Arial Unicode MS"/>
                <w:bdr w:val="none" w:sz="0" w:space="0" w:color="auto" w:frame="1"/>
                <w:lang w:eastAsia="en-US"/>
              </w:rPr>
              <w:t xml:space="preserve"> Sumokėjimo diena – tai diena, kai lėšos pervedamos (nuskaitomos) iš Perkančiosios organizacijos sąskaitos;</w:t>
            </w:r>
          </w:p>
        </w:tc>
      </w:tr>
      <w:tr w:rsidR="00594896" w14:paraId="51A881F1" w14:textId="77777777" w:rsidTr="00B54093">
        <w:tc>
          <w:tcPr>
            <w:tcW w:w="709" w:type="dxa"/>
          </w:tcPr>
          <w:p w14:paraId="0F8CC8B8"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6FCF750"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Prekes, kurias Tiekėjas perduoda savo nuožiūra be Perkančiosios organizacijos pateikto užsakymo arba kurios nėra šios Sutarties objektas, neatlyginama;</w:t>
            </w:r>
          </w:p>
        </w:tc>
      </w:tr>
      <w:tr w:rsidR="00A73D3C" w14:paraId="59DBE6AE" w14:textId="77777777" w:rsidTr="00B54093">
        <w:tc>
          <w:tcPr>
            <w:tcW w:w="709" w:type="dxa"/>
          </w:tcPr>
          <w:p w14:paraId="39AED858" w14:textId="77777777" w:rsidR="00A73D3C" w:rsidRDefault="00A73D3C"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03AE8974" w14:textId="67D34FA9" w:rsidR="00A73D3C" w:rsidRPr="00A73D3C" w:rsidRDefault="00A73D3C" w:rsidP="00B54093">
            <w:pPr>
              <w:snapToGrid w:val="0"/>
              <w:spacing w:before="120"/>
              <w:jc w:val="both"/>
              <w:rPr>
                <w:rFonts w:eastAsia="Arial Unicode MS"/>
                <w:bdr w:val="none" w:sz="0" w:space="0" w:color="auto" w:frame="1"/>
                <w:lang w:eastAsia="en-US"/>
              </w:rPr>
            </w:pPr>
            <w:r w:rsidRPr="00A73D3C">
              <w:t xml:space="preserve">Perkančiajai </w:t>
            </w:r>
            <w:r>
              <w:t>organizacijai</w:t>
            </w:r>
            <w:r w:rsidRPr="00A73D3C">
              <w:rPr>
                <w:noProof/>
              </w:rPr>
              <w:t xml:space="preserve"> vėluojant atsiskaityti už įsigytas Prekes, Tiekėjas turi teisę skaičiuoti 0,02 (dvi šimtąsias) procento dydžio delspinigius nuo laiku neapmokėtos sumos</w:t>
            </w:r>
            <w:r w:rsidR="0075344D">
              <w:rPr>
                <w:noProof/>
              </w:rPr>
              <w:t>;</w:t>
            </w:r>
          </w:p>
        </w:tc>
      </w:tr>
      <w:tr w:rsidR="00594896" w14:paraId="775AD1EB" w14:textId="77777777" w:rsidTr="00B54093">
        <w:tc>
          <w:tcPr>
            <w:tcW w:w="709" w:type="dxa"/>
          </w:tcPr>
          <w:p w14:paraId="488DD823"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4A98B8A"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Delspinigių sumokėjimas neatleidžia nuo Sutarties įsipareigojimų vykdymo;</w:t>
            </w:r>
          </w:p>
        </w:tc>
      </w:tr>
      <w:tr w:rsidR="00594896" w14:paraId="1499D6B9" w14:textId="77777777" w:rsidTr="00B54093">
        <w:tc>
          <w:tcPr>
            <w:tcW w:w="709" w:type="dxa"/>
          </w:tcPr>
          <w:p w14:paraId="72342BB0"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67D00F0"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594896" w14:paraId="7FE89838" w14:textId="77777777" w:rsidTr="00B54093">
        <w:tc>
          <w:tcPr>
            <w:tcW w:w="709" w:type="dxa"/>
          </w:tcPr>
          <w:p w14:paraId="6CCF4162" w14:textId="580D879B"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660C460F" w14:textId="77777777" w:rsidR="00594896" w:rsidRDefault="00594896" w:rsidP="00B54093">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PREKIŲ PERDAVIMO IR PRIĖMIMO TVARKA</w:t>
            </w:r>
          </w:p>
        </w:tc>
      </w:tr>
      <w:tr w:rsidR="00594896" w14:paraId="62C67DDE" w14:textId="77777777" w:rsidTr="00B54093">
        <w:tc>
          <w:tcPr>
            <w:tcW w:w="709" w:type="dxa"/>
          </w:tcPr>
          <w:p w14:paraId="19249654"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BA7E344" w14:textId="2384A690"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 xml:space="preserve">Tiekėjas perduoda, o Perkančioji organizacija priima tinkamas Prekes ar jų dalį pagal Prekių </w:t>
            </w:r>
            <w:r w:rsidR="002B2104">
              <w:rPr>
                <w:rFonts w:eastAsia="Arial Unicode MS"/>
                <w:bdr w:val="none" w:sz="0" w:space="0" w:color="auto" w:frame="1"/>
                <w:lang w:eastAsia="en-US"/>
              </w:rPr>
              <w:t>„</w:t>
            </w:r>
            <w:r>
              <w:rPr>
                <w:rFonts w:eastAsia="Arial Unicode MS"/>
                <w:bdr w:val="none" w:sz="0" w:space="0" w:color="auto" w:frame="1"/>
                <w:lang w:eastAsia="en-US"/>
              </w:rPr>
              <w:t>Techninės specifikacijos reikalavimus</w:t>
            </w:r>
            <w:r w:rsidR="002B2104">
              <w:rPr>
                <w:rFonts w:eastAsia="Arial Unicode MS"/>
                <w:bdr w:val="none" w:sz="0" w:space="0" w:color="auto" w:frame="1"/>
                <w:lang w:eastAsia="en-US"/>
              </w:rPr>
              <w:t>“</w:t>
            </w:r>
            <w:r>
              <w:rPr>
                <w:rFonts w:eastAsia="Arial Unicode MS"/>
                <w:bdr w:val="none" w:sz="0" w:space="0" w:color="auto" w:frame="1"/>
                <w:lang w:eastAsia="en-US"/>
              </w:rPr>
              <w:t xml:space="preserve">, nustatytus </w:t>
            </w:r>
            <w:r w:rsidR="002B2104">
              <w:rPr>
                <w:rFonts w:eastAsia="Arial Unicode MS"/>
                <w:bdr w:val="none" w:sz="0" w:space="0" w:color="auto" w:frame="1"/>
                <w:lang w:eastAsia="en-US"/>
              </w:rPr>
              <w:t>S</w:t>
            </w:r>
            <w:r>
              <w:rPr>
                <w:rFonts w:eastAsia="Arial Unicode MS"/>
                <w:bdr w:val="none" w:sz="0" w:space="0" w:color="auto" w:frame="1"/>
                <w:lang w:eastAsia="en-US"/>
              </w:rPr>
              <w:t xml:space="preserve">utarties </w:t>
            </w:r>
            <w:r w:rsidR="002B2104">
              <w:rPr>
                <w:rFonts w:eastAsia="Arial Unicode MS"/>
                <w:bdr w:val="none" w:sz="0" w:space="0" w:color="auto" w:frame="1"/>
                <w:lang w:eastAsia="en-US"/>
              </w:rPr>
              <w:t>P</w:t>
            </w:r>
            <w:r>
              <w:rPr>
                <w:rFonts w:eastAsia="Arial Unicode MS"/>
                <w:bdr w:val="none" w:sz="0" w:space="0" w:color="auto" w:frame="1"/>
                <w:lang w:eastAsia="en-US"/>
              </w:rPr>
              <w:t>riede</w:t>
            </w:r>
            <w:r w:rsidR="002B2104">
              <w:rPr>
                <w:rFonts w:eastAsia="Arial Unicode MS"/>
                <w:bdr w:val="none" w:sz="0" w:space="0" w:color="auto" w:frame="1"/>
                <w:lang w:eastAsia="en-US"/>
              </w:rPr>
              <w:t xml:space="preserve"> Nr. 1</w:t>
            </w:r>
            <w:r>
              <w:rPr>
                <w:rFonts w:eastAsia="Arial Unicode MS"/>
                <w:bdr w:val="none" w:sz="0" w:space="0" w:color="auto" w:frame="1"/>
                <w:lang w:eastAsia="en-US"/>
              </w:rPr>
              <w:t>.</w:t>
            </w:r>
          </w:p>
        </w:tc>
      </w:tr>
      <w:tr w:rsidR="00594896" w14:paraId="01380162" w14:textId="77777777" w:rsidTr="00B54093">
        <w:tc>
          <w:tcPr>
            <w:tcW w:w="709" w:type="dxa"/>
          </w:tcPr>
          <w:p w14:paraId="73D7A981" w14:textId="77777777"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338E9D5E" w14:textId="77777777" w:rsidR="00594896" w:rsidRDefault="00594896" w:rsidP="00B54093">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ŠALIŲ ATSAKOMYBĖ</w:t>
            </w:r>
          </w:p>
        </w:tc>
      </w:tr>
      <w:tr w:rsidR="00594896" w14:paraId="1CB4E2B8" w14:textId="77777777" w:rsidTr="00B54093">
        <w:tc>
          <w:tcPr>
            <w:tcW w:w="709" w:type="dxa"/>
          </w:tcPr>
          <w:p w14:paraId="5C99C519"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22B2847"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Šalys atsako už tai, kad Sutartyje nustatyti įsipareigojimai būtų vykdomi tinkamai ir laiku, Lietuvos Respublikos įstatymų nustatyta tvarka.</w:t>
            </w:r>
          </w:p>
        </w:tc>
      </w:tr>
      <w:tr w:rsidR="0075344D" w14:paraId="258A127D" w14:textId="77777777" w:rsidTr="00B54093">
        <w:tc>
          <w:tcPr>
            <w:tcW w:w="709" w:type="dxa"/>
          </w:tcPr>
          <w:p w14:paraId="2CDCC1E4" w14:textId="77777777" w:rsidR="0075344D" w:rsidRDefault="0075344D"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2C070CFD" w14:textId="61006B93" w:rsidR="0075344D" w:rsidRPr="0075344D" w:rsidRDefault="0075344D" w:rsidP="00B54093">
            <w:pPr>
              <w:snapToGrid w:val="0"/>
              <w:spacing w:before="120"/>
              <w:jc w:val="both"/>
              <w:rPr>
                <w:rFonts w:eastAsia="Arial Unicode MS"/>
                <w:bdr w:val="none" w:sz="0" w:space="0" w:color="auto" w:frame="1"/>
                <w:lang w:eastAsia="en-US"/>
              </w:rPr>
            </w:pPr>
            <w:r w:rsidRPr="0075344D">
              <w:rPr>
                <w:noProof/>
              </w:rPr>
              <w:t>Šalis, pažeidusi savo įsipareigojimus pagal šią Sutartį, privalo atlyginti kitai Šaliai pastarosios patirtus tiesioginius nuostolius (taip pat ir tais atvejais, kai Sutartis joje numatytomis sąlygomis ir tvarka nutraukiama).</w:t>
            </w:r>
          </w:p>
        </w:tc>
      </w:tr>
      <w:tr w:rsidR="00594896" w14:paraId="0DB8E947" w14:textId="77777777" w:rsidTr="00B54093">
        <w:tc>
          <w:tcPr>
            <w:tcW w:w="709" w:type="dxa"/>
          </w:tcPr>
          <w:p w14:paraId="626A65CA"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6CFD206" w14:textId="373C904A" w:rsidR="00594896" w:rsidRDefault="00594896" w:rsidP="00B54093">
            <w:pPr>
              <w:snapToGrid w:val="0"/>
              <w:spacing w:before="120"/>
              <w:jc w:val="both"/>
              <w:rPr>
                <w:rFonts w:eastAsia="Lucida Sans Unicode"/>
                <w:bdr w:val="none" w:sz="0" w:space="0" w:color="auto" w:frame="1"/>
                <w:lang w:eastAsia="en-US"/>
              </w:rPr>
            </w:pPr>
            <w:r>
              <w:rPr>
                <w:rFonts w:eastAsia="Arial Unicode MS"/>
                <w:bdr w:val="none" w:sz="0" w:space="0" w:color="auto" w:frame="1"/>
                <w:lang w:eastAsia="en-US"/>
              </w:rPr>
              <w:t xml:space="preserve">Tiekėjas, neįvykdęs šia Sutartimi prisiimtų įsipareigojimų, numatytų Sutarties 2.1. punkte, Perkančiajai organizacijai pareikalavus, besąlygiškai įsipareigoja atlyginti Perkančiosios organizacijos </w:t>
            </w:r>
            <w:r w:rsidR="0075344D">
              <w:rPr>
                <w:rFonts w:eastAsia="Arial Unicode MS"/>
                <w:bdr w:val="none" w:sz="0" w:space="0" w:color="auto" w:frame="1"/>
                <w:lang w:eastAsia="en-US"/>
              </w:rPr>
              <w:t>tiesioginius nuostolius</w:t>
            </w:r>
            <w:r>
              <w:rPr>
                <w:rFonts w:eastAsia="Arial Unicode MS"/>
                <w:bdr w:val="none" w:sz="0" w:space="0" w:color="auto" w:frame="1"/>
                <w:lang w:eastAsia="en-US"/>
              </w:rPr>
              <w:t xml:space="preserve">. Šalys susitaria, kad neįrodinėtinas Perkančiosios organizacijos dėl šios Sutarties pažeidimo patirtos žalos dydis yra 3 procentai (trys) nuo </w:t>
            </w:r>
            <w:r w:rsidR="0075344D">
              <w:rPr>
                <w:rFonts w:eastAsia="Arial Unicode MS"/>
                <w:bdr w:val="none" w:sz="0" w:space="0" w:color="auto" w:frame="1"/>
                <w:lang w:eastAsia="en-US"/>
              </w:rPr>
              <w:t>S</w:t>
            </w:r>
            <w:r>
              <w:rPr>
                <w:rFonts w:eastAsia="Arial Unicode MS"/>
                <w:bdr w:val="none" w:sz="0" w:space="0" w:color="auto" w:frame="1"/>
                <w:lang w:eastAsia="en-US"/>
              </w:rPr>
              <w:t>utarties sumos.</w:t>
            </w:r>
          </w:p>
        </w:tc>
      </w:tr>
      <w:tr w:rsidR="00594896" w14:paraId="07786D18" w14:textId="77777777" w:rsidTr="00B54093">
        <w:tc>
          <w:tcPr>
            <w:tcW w:w="709" w:type="dxa"/>
          </w:tcPr>
          <w:p w14:paraId="09DA0C02"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D0B5995"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nutraukęs Sutartį ne dėl Perkančiosios organizacijos kaltės, sumoka Perkančiajai organizacijai baudą, lygią 3 (trys) procentai Sutarties kainos, taip pat atlygina visus nuostolius, susijusius su Sutarties nutraukimu.</w:t>
            </w:r>
          </w:p>
        </w:tc>
      </w:tr>
      <w:tr w:rsidR="0075344D" w14:paraId="0DC79F42" w14:textId="77777777" w:rsidTr="00B54093">
        <w:tc>
          <w:tcPr>
            <w:tcW w:w="709" w:type="dxa"/>
          </w:tcPr>
          <w:p w14:paraId="032EDE43" w14:textId="77777777" w:rsidR="0075344D" w:rsidRDefault="0075344D"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3811611E" w14:textId="131BAA2F" w:rsidR="0075344D" w:rsidRDefault="0075344D"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nutraukusi Sutartį ne dėl Tiekėjo kaltės, sumoka Tiekėjui baudą, lygią 3 (trys) procentai Sutarties kainos, taip pat atlygina visus nuostolius, susijusius su Sutarties nutraukimu.</w:t>
            </w:r>
          </w:p>
        </w:tc>
      </w:tr>
      <w:tr w:rsidR="00594896" w14:paraId="71360F3C" w14:textId="77777777" w:rsidTr="00B54093">
        <w:tc>
          <w:tcPr>
            <w:tcW w:w="709" w:type="dxa"/>
          </w:tcPr>
          <w:p w14:paraId="31FDDB88"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2DBB184" w14:textId="77777777" w:rsidR="00594896" w:rsidRDefault="00594896" w:rsidP="00B54093">
            <w:pPr>
              <w:ind w:left="31"/>
              <w:jc w:val="both"/>
              <w:rPr>
                <w:rFonts w:eastAsia="Arial Unicode MS"/>
                <w:b/>
                <w:bdr w:val="none" w:sz="0" w:space="0" w:color="auto" w:frame="1"/>
                <w:lang w:eastAsia="en-US"/>
              </w:rPr>
            </w:pPr>
            <w:r>
              <w:rPr>
                <w:rFonts w:eastAsia="Arial Unicode MS"/>
                <w:bdr w:val="none" w:sz="0" w:space="0" w:color="auto" w:frame="1"/>
                <w:lang w:eastAsia="en-US"/>
              </w:rPr>
              <w:t>Perkančioji organizacija turi teisę nemokėti už nekokybiškas Prekes, jeigu Tiekėjas atsisako neatlygintinai pašalinti trūkumus.</w:t>
            </w:r>
          </w:p>
        </w:tc>
      </w:tr>
      <w:tr w:rsidR="00594896" w14:paraId="1831053C" w14:textId="77777777" w:rsidTr="00B54093">
        <w:tc>
          <w:tcPr>
            <w:tcW w:w="709" w:type="dxa"/>
          </w:tcPr>
          <w:p w14:paraId="41F35B6C"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00703FE"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color w:val="000000"/>
                <w:bdr w:val="none" w:sz="0" w:space="0" w:color="auto" w:frame="1"/>
                <w:lang w:eastAsia="en-US"/>
              </w:rPr>
              <w:t>Sutartį nutraukus dėl vienos Šalies kaltės, kita Šalis turi teisę į atlyginimą už iki nutraukimo momento (sužinojimo apie nutraukimą) suteiktas Prekes, taip pat į išlaidų ir tiesioginių nuostolių kompensavimą įstatymuose numatyta tvarka.</w:t>
            </w:r>
          </w:p>
        </w:tc>
      </w:tr>
      <w:tr w:rsidR="00594896" w14:paraId="144D2452" w14:textId="77777777" w:rsidTr="00B54093">
        <w:tc>
          <w:tcPr>
            <w:tcW w:w="709" w:type="dxa"/>
          </w:tcPr>
          <w:p w14:paraId="2BA2A018"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8E495A2" w14:textId="77777777" w:rsidR="00594896" w:rsidRDefault="00594896" w:rsidP="00B54093">
            <w:pPr>
              <w:snapToGrid w:val="0"/>
              <w:spacing w:before="120"/>
              <w:jc w:val="both"/>
              <w:rPr>
                <w:rFonts w:eastAsia="Arial Unicode MS"/>
                <w:color w:val="000000"/>
                <w:bdr w:val="none" w:sz="0" w:space="0" w:color="auto" w:frame="1"/>
                <w:lang w:eastAsia="en-US"/>
              </w:rPr>
            </w:pPr>
            <w:r>
              <w:rPr>
                <w:rFonts w:eastAsia="Arial Unicode MS"/>
                <w:bdr w:val="none" w:sz="0" w:space="0" w:color="auto" w:frame="1"/>
                <w:lang w:eastAsia="en-US"/>
              </w:rPr>
              <w:t>Šalių atsakomybė pagal šią Sutartį yra apribota tiesioginiais nuostoliais, nei viena iš Šalių neturi pareigos atlyginti netiesioginių nuostolių (negautų pajamų ir pan.).</w:t>
            </w:r>
          </w:p>
        </w:tc>
      </w:tr>
      <w:tr w:rsidR="00594896" w14:paraId="492E3E80" w14:textId="77777777" w:rsidTr="00B54093">
        <w:tc>
          <w:tcPr>
            <w:tcW w:w="709" w:type="dxa"/>
          </w:tcPr>
          <w:p w14:paraId="6E7727AA"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C39A8B4" w14:textId="77777777" w:rsidR="00594896" w:rsidRDefault="00594896" w:rsidP="00B54093">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Sutarties Šalys atleidžiamos nuo atsakomybės už savo įsipareigojimų pagal Sutartį nevykdymą, jeigu įsipareigojimų neįvykdė dėl nenugalimos jėgos aplinkybių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B09FCA5"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lastRenderedPageBreak/>
              <w:t xml:space="preserve">Jei Šalis neinformuoja ar per vėlai informuoja kitą Šalį apie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xml:space="preserve"> aplinkybių atsiradimą, tai praranda teisę remtis jomis kaip pagrindu atleidžiančiu nuo atsakomybės ir privalo atlyginti kitai Šaliai dėlto patirtus tiesioginius nuostolius</w:t>
            </w:r>
            <w:r>
              <w:rPr>
                <w:rFonts w:eastAsia="Arial Unicode MS"/>
                <w:bdr w:val="none" w:sz="0" w:space="0" w:color="auto" w:frame="1"/>
                <w:lang w:eastAsia="en-US"/>
              </w:rPr>
              <w:t>.</w:t>
            </w:r>
          </w:p>
        </w:tc>
      </w:tr>
      <w:tr w:rsidR="00594896" w14:paraId="153EF789" w14:textId="77777777" w:rsidTr="00B54093">
        <w:tc>
          <w:tcPr>
            <w:tcW w:w="709" w:type="dxa"/>
          </w:tcPr>
          <w:p w14:paraId="0E209862" w14:textId="77777777"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13829FF3" w14:textId="77777777" w:rsidR="00594896" w:rsidRDefault="00594896" w:rsidP="00B54093">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GALIOJIMAS IR NUTRAUKIMAS</w:t>
            </w:r>
          </w:p>
        </w:tc>
      </w:tr>
      <w:tr w:rsidR="00594896" w14:paraId="15B0A503" w14:textId="77777777" w:rsidTr="00B54093">
        <w:tc>
          <w:tcPr>
            <w:tcW w:w="709" w:type="dxa"/>
          </w:tcPr>
          <w:p w14:paraId="2BAAF679"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8BE402B"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įsigalioja nuo to momento kai ją pasirašo Šalys, ir galioja iki visiško Šalių sutartinių įsipareigojimų įvykdymo pagal Sutartį, bet ne ilgiau kaip 7 mėnesius nuo jos įsigaliojimo dienos. Prekės tiekiamos 6 mėnesius nuo Sutarties įsigaliojimo momento pagal Perkančiosios organizacijos poreikį. Sutartis pripažįstama pasibaigusia anksčiau, jeigu Šalys nesilaiko savo įsipareigojimų ir viena Šalis raštu praneša kitai Šaliai apie sutarties nutraukimą.</w:t>
            </w:r>
          </w:p>
        </w:tc>
      </w:tr>
      <w:tr w:rsidR="00594896" w14:paraId="0E7CFA0D" w14:textId="77777777" w:rsidTr="00B54093">
        <w:tc>
          <w:tcPr>
            <w:tcW w:w="709" w:type="dxa"/>
          </w:tcPr>
          <w:p w14:paraId="34B73371"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33D373C"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Sutartis nustoja galioti, jei Sutarties galiojimo metu įsigyjama Prekių už visą numatytą maksimalią Sutarties kainą arba pasibaigus jos galiojimo trukmei, nustatytai 6.1. punkte, nepaisant to, kad maksimali Sutarties vertė nėra panaudota.</w:t>
            </w:r>
          </w:p>
        </w:tc>
      </w:tr>
      <w:tr w:rsidR="00594896" w14:paraId="1898E555" w14:textId="77777777" w:rsidTr="00B54093">
        <w:tc>
          <w:tcPr>
            <w:tcW w:w="709" w:type="dxa"/>
          </w:tcPr>
          <w:p w14:paraId="6B9184EF"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8A5B837"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gali būti pakeista, papildyta ir (ar pratęsta) raštišku Šalių susitarimu.</w:t>
            </w:r>
          </w:p>
        </w:tc>
      </w:tr>
      <w:tr w:rsidR="00594896" w14:paraId="00E01E52" w14:textId="77777777" w:rsidTr="00B54093">
        <w:tc>
          <w:tcPr>
            <w:tcW w:w="709" w:type="dxa"/>
          </w:tcPr>
          <w:p w14:paraId="3CA2AF11"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822FA10" w14:textId="29783C9A"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prieš 14 (keturiolika) kalendorinių dienų raštu įspėjusi Ti</w:t>
            </w:r>
            <w:r w:rsidR="004C2FA2">
              <w:rPr>
                <w:rFonts w:eastAsia="Arial Unicode MS"/>
                <w:bdr w:val="none" w:sz="0" w:space="0" w:color="auto" w:frame="1"/>
                <w:lang w:eastAsia="en-US"/>
              </w:rPr>
              <w:t>e</w:t>
            </w:r>
            <w:r>
              <w:rPr>
                <w:rFonts w:eastAsia="Arial Unicode MS"/>
                <w:bdr w:val="none" w:sz="0" w:space="0" w:color="auto" w:frame="1"/>
                <w:lang w:eastAsia="en-US"/>
              </w:rPr>
              <w:t>kėją, gali nutraukti Sutartį ir reikalauti nuostolių atlyginimo, jeigu:</w:t>
            </w:r>
          </w:p>
        </w:tc>
      </w:tr>
      <w:tr w:rsidR="00594896" w14:paraId="765E09A1" w14:textId="77777777" w:rsidTr="00B54093">
        <w:tc>
          <w:tcPr>
            <w:tcW w:w="709" w:type="dxa"/>
          </w:tcPr>
          <w:p w14:paraId="30F7CF7C"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DDF9B85"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 xml:space="preserve">Sutartis buvo pakeista pažeidžiant Lietuvos Respublikos viešųjų pirkimų įstatymo 89 straipsnį; </w:t>
            </w:r>
          </w:p>
        </w:tc>
      </w:tr>
      <w:tr w:rsidR="00594896" w14:paraId="0AC5D2B9" w14:textId="77777777" w:rsidTr="00B54093">
        <w:tc>
          <w:tcPr>
            <w:tcW w:w="709" w:type="dxa"/>
          </w:tcPr>
          <w:p w14:paraId="10A4528D"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AFF9A0E"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 xml:space="preserve">paaiškėjo, kad Tiekėjas turėjo būti pašalintas iš Pirkimo procedūros pagal </w:t>
            </w:r>
            <w:r>
              <w:rPr>
                <w:rFonts w:eastAsia="Arial Unicode MS"/>
                <w:bdr w:val="none" w:sz="0" w:space="0" w:color="auto" w:frame="1"/>
                <w:lang w:eastAsia="en-US"/>
              </w:rPr>
              <w:t>Lietuvos Respublikos viešųjų pirkimų įstatymo</w:t>
            </w:r>
            <w:r>
              <w:rPr>
                <w:rFonts w:eastAsia="Arial Unicode MS"/>
                <w:color w:val="000000"/>
                <w:bdr w:val="none" w:sz="0" w:space="0" w:color="auto" w:frame="1"/>
                <w:lang w:eastAsia="en-US"/>
              </w:rPr>
              <w:t xml:space="preserve"> 46 straipsnio 1 dalį; </w:t>
            </w:r>
          </w:p>
        </w:tc>
      </w:tr>
      <w:tr w:rsidR="00594896" w14:paraId="50CABAF5" w14:textId="77777777" w:rsidTr="00B54093">
        <w:tc>
          <w:tcPr>
            <w:tcW w:w="709" w:type="dxa"/>
          </w:tcPr>
          <w:p w14:paraId="6231A932"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634C087"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594896" w14:paraId="79958DDB" w14:textId="77777777" w:rsidTr="00B54093">
        <w:tc>
          <w:tcPr>
            <w:tcW w:w="709" w:type="dxa"/>
          </w:tcPr>
          <w:p w14:paraId="0C732086"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7B36E27"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nevykdo savo įsipareigojimų nurodytų Sutarties 2.1. punkte;</w:t>
            </w:r>
          </w:p>
        </w:tc>
      </w:tr>
      <w:tr w:rsidR="00594896" w14:paraId="33FA9CD2" w14:textId="77777777" w:rsidTr="00B54093">
        <w:tc>
          <w:tcPr>
            <w:tcW w:w="709" w:type="dxa"/>
          </w:tcPr>
          <w:p w14:paraId="796FF388"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6DE94AD"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nesugeba perduoti Prekių Sutartyje nustatytu terminu (-ais) ar per Perkančiosios organizacijos suteiktą termino pratęsimą dėl savo kaltės, arba jeigu Prekės tampa nebereikalingos;</w:t>
            </w:r>
          </w:p>
        </w:tc>
      </w:tr>
      <w:tr w:rsidR="00594896" w14:paraId="439F421B" w14:textId="77777777" w:rsidTr="00B54093">
        <w:tc>
          <w:tcPr>
            <w:tcW w:w="709" w:type="dxa"/>
          </w:tcPr>
          <w:p w14:paraId="305EF450"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5CF7A9A" w14:textId="04B9B1FF"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nepristato Prekių laiku</w:t>
            </w:r>
            <w:r w:rsidR="004C2FA2">
              <w:rPr>
                <w:rFonts w:eastAsia="Arial Unicode MS"/>
                <w:bdr w:val="none" w:sz="0" w:space="0" w:color="auto" w:frame="1"/>
                <w:lang w:eastAsia="en-US"/>
              </w:rPr>
              <w:t>;</w:t>
            </w:r>
          </w:p>
        </w:tc>
      </w:tr>
      <w:tr w:rsidR="00594896" w14:paraId="770738CF" w14:textId="77777777" w:rsidTr="00B54093">
        <w:tc>
          <w:tcPr>
            <w:tcW w:w="709" w:type="dxa"/>
          </w:tcPr>
          <w:p w14:paraId="4FB7EFAE"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E72D94D"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nesilaiko bet kokio kito Sutartyje numatyto įsipareigojimo;</w:t>
            </w:r>
          </w:p>
        </w:tc>
      </w:tr>
      <w:tr w:rsidR="00594896" w14:paraId="6129977A" w14:textId="77777777" w:rsidTr="00B54093">
        <w:tc>
          <w:tcPr>
            <w:tcW w:w="709" w:type="dxa"/>
          </w:tcPr>
          <w:p w14:paraId="6B1B553B"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2A1B857"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perleidžia Sutartį be raštiško Perkančiosios organizacijos leidimo;</w:t>
            </w:r>
          </w:p>
        </w:tc>
      </w:tr>
      <w:tr w:rsidR="00594896" w14:paraId="7E4E937F" w14:textId="77777777" w:rsidTr="00B54093">
        <w:tc>
          <w:tcPr>
            <w:tcW w:w="709" w:type="dxa"/>
          </w:tcPr>
          <w:p w14:paraId="13A5142A"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F0357DD"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dėl kitokio pobūdžio Tiekėjo neveiksnumo, trukdančio vykdyti Sutartį;</w:t>
            </w:r>
          </w:p>
        </w:tc>
      </w:tr>
      <w:tr w:rsidR="00594896" w14:paraId="04878C1D" w14:textId="77777777" w:rsidTr="00B54093">
        <w:tc>
          <w:tcPr>
            <w:tcW w:w="709" w:type="dxa"/>
          </w:tcPr>
          <w:p w14:paraId="277D63A7"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064C288"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bankrutuoja arba kokiu nors kitu būdu tampa nemokus, neatlyginant Tiekėjui jo turėtų išlaidų.</w:t>
            </w:r>
          </w:p>
        </w:tc>
      </w:tr>
      <w:tr w:rsidR="00594896" w14:paraId="36B1FE83" w14:textId="77777777" w:rsidTr="00B54093">
        <w:tc>
          <w:tcPr>
            <w:tcW w:w="709" w:type="dxa"/>
          </w:tcPr>
          <w:p w14:paraId="5F16EA8F"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D31485E"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Tiekėjas, prieš 14 (keturiolika) kalendorinių dienų raštu įspėjęs Perkančiąją organizaciją, gali nutraukti Sutartį, jei:</w:t>
            </w:r>
          </w:p>
        </w:tc>
      </w:tr>
      <w:tr w:rsidR="00594896" w14:paraId="4A91D69A" w14:textId="77777777" w:rsidTr="00B54093">
        <w:tc>
          <w:tcPr>
            <w:tcW w:w="709" w:type="dxa"/>
          </w:tcPr>
          <w:p w14:paraId="657DC28D"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49D88B2"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Perkančioji organizacija nevykdo savo sutartinių įsipareigojimų, nurodytų Sutarties 2.2. punkte;</w:t>
            </w:r>
          </w:p>
        </w:tc>
      </w:tr>
      <w:tr w:rsidR="00594896" w14:paraId="5196BB70" w14:textId="77777777" w:rsidTr="00B54093">
        <w:tc>
          <w:tcPr>
            <w:tcW w:w="709" w:type="dxa"/>
          </w:tcPr>
          <w:p w14:paraId="57E2A5CA"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CFF1A0A"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kai Perkančioji organizacija galutiniu teismo sprendimu pripažinta kalta dėl sukčiavimo, korupcijos ar kitų panašaus pobūdžio veikų padarymo;</w:t>
            </w:r>
          </w:p>
        </w:tc>
      </w:tr>
      <w:tr w:rsidR="00594896" w14:paraId="5C05B192" w14:textId="77777777" w:rsidTr="00B54093">
        <w:tc>
          <w:tcPr>
            <w:tcW w:w="709" w:type="dxa"/>
          </w:tcPr>
          <w:p w14:paraId="1EA18E4F"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6DD1F47"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dėl kitokio pobūdžio Perkančiosios organizacijos neveiksnumo, trukdančio vykdyti Sutartį;</w:t>
            </w:r>
          </w:p>
        </w:tc>
      </w:tr>
      <w:tr w:rsidR="00594896" w14:paraId="67639602" w14:textId="77777777" w:rsidTr="00B54093">
        <w:tc>
          <w:tcPr>
            <w:tcW w:w="709" w:type="dxa"/>
          </w:tcPr>
          <w:p w14:paraId="617A1284"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325420C"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bankrutuoja arba kokiu nors kitu būdu tampa nemoki, neatlyginant Perkančiajai organizacijai jos turėtų išlaidų.</w:t>
            </w:r>
          </w:p>
        </w:tc>
      </w:tr>
      <w:tr w:rsidR="00594896" w14:paraId="5DC59918" w14:textId="77777777" w:rsidTr="00B54093">
        <w:tc>
          <w:tcPr>
            <w:tcW w:w="709" w:type="dxa"/>
          </w:tcPr>
          <w:p w14:paraId="727EA7C9"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FF7BAC8" w14:textId="62EE3324"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Sutartis taip pat gali būti nutraukta abipusiu raštišku </w:t>
            </w:r>
            <w:r w:rsidR="004C2FA2">
              <w:rPr>
                <w:rFonts w:eastAsia="Arial Unicode MS"/>
                <w:bdr w:val="none" w:sz="0" w:space="0" w:color="auto" w:frame="1"/>
                <w:lang w:eastAsia="en-US"/>
              </w:rPr>
              <w:t>Š</w:t>
            </w:r>
            <w:r>
              <w:rPr>
                <w:rFonts w:eastAsia="Arial Unicode MS"/>
                <w:bdr w:val="none" w:sz="0" w:space="0" w:color="auto" w:frame="1"/>
                <w:lang w:eastAsia="en-US"/>
              </w:rPr>
              <w:t>alių susitarimu.</w:t>
            </w:r>
          </w:p>
        </w:tc>
      </w:tr>
      <w:tr w:rsidR="00594896" w14:paraId="23C2C251" w14:textId="77777777" w:rsidTr="00B54093">
        <w:tc>
          <w:tcPr>
            <w:tcW w:w="709" w:type="dxa"/>
          </w:tcPr>
          <w:p w14:paraId="008F131A"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BDC76B5" w14:textId="672CCC0F"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Sutartį nutraukus prieš terminą, Sutartį pažeidusi Šalis kitai Šaliai privalo atlyginti visus dėl to patirtus tiesioginius nuostolius.</w:t>
            </w:r>
          </w:p>
        </w:tc>
      </w:tr>
      <w:tr w:rsidR="00594896" w14:paraId="0A41B634" w14:textId="77777777" w:rsidTr="00B54093">
        <w:tc>
          <w:tcPr>
            <w:tcW w:w="709" w:type="dxa"/>
          </w:tcPr>
          <w:p w14:paraId="01A56420"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0FECE6B"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Jei Sutartis nutraukiama be Tiekėjo kaltės, Perkančioji organizacija turi apmokėti už Prekes, perduotas iki Sutarties nutraukimo.</w:t>
            </w:r>
          </w:p>
        </w:tc>
      </w:tr>
      <w:tr w:rsidR="00594896" w14:paraId="18820695" w14:textId="77777777" w:rsidTr="00B54093">
        <w:tc>
          <w:tcPr>
            <w:tcW w:w="709" w:type="dxa"/>
          </w:tcPr>
          <w:p w14:paraId="15F7AFA0"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A195295" w14:textId="79FD5C6B"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Perkančioji organizacija vienašališkai nutraukusi Sutartį ne vėliau kaip per 30 </w:t>
            </w:r>
            <w:r w:rsidR="004C2FA2">
              <w:rPr>
                <w:rFonts w:eastAsia="Arial Unicode MS"/>
                <w:bdr w:val="none" w:sz="0" w:space="0" w:color="auto" w:frame="1"/>
                <w:lang w:eastAsia="en-US"/>
              </w:rPr>
              <w:t xml:space="preserve">(trisdešimt) </w:t>
            </w:r>
            <w:r w:rsidR="008C6D68">
              <w:rPr>
                <w:rFonts w:eastAsia="Arial Unicode MS"/>
                <w:bdr w:val="none" w:sz="0" w:space="0" w:color="auto" w:frame="1"/>
                <w:lang w:eastAsia="en-US"/>
              </w:rPr>
              <w:t xml:space="preserve">kalendorinių </w:t>
            </w:r>
            <w:r>
              <w:rPr>
                <w:rFonts w:eastAsia="Arial Unicode MS"/>
                <w:bdr w:val="none" w:sz="0" w:space="0" w:color="auto" w:frame="1"/>
                <w:lang w:eastAsia="en-US"/>
              </w:rPr>
              <w:t>dienų privalo atsiskaityti su Tiekėj</w:t>
            </w:r>
            <w:r w:rsidR="004C2FA2">
              <w:rPr>
                <w:rFonts w:eastAsia="Arial Unicode MS"/>
                <w:bdr w:val="none" w:sz="0" w:space="0" w:color="auto" w:frame="1"/>
                <w:lang w:eastAsia="en-US"/>
              </w:rPr>
              <w:t>u</w:t>
            </w:r>
            <w:r>
              <w:rPr>
                <w:rFonts w:eastAsia="Arial Unicode MS"/>
                <w:bdr w:val="none" w:sz="0" w:space="0" w:color="auto" w:frame="1"/>
                <w:lang w:eastAsia="en-US"/>
              </w:rPr>
              <w:t xml:space="preserve"> už jai iki Sutarties nutraukimo perduotas kokybiškas </w:t>
            </w:r>
            <w:r w:rsidR="004C2FA2">
              <w:rPr>
                <w:rFonts w:eastAsia="Arial Unicode MS"/>
                <w:bdr w:val="none" w:sz="0" w:space="0" w:color="auto" w:frame="1"/>
                <w:lang w:eastAsia="en-US"/>
              </w:rPr>
              <w:t>P</w:t>
            </w:r>
            <w:r>
              <w:rPr>
                <w:rFonts w:eastAsia="Arial Unicode MS"/>
                <w:bdr w:val="none" w:sz="0" w:space="0" w:color="auto" w:frame="1"/>
                <w:lang w:eastAsia="en-US"/>
              </w:rPr>
              <w:t>rekes.</w:t>
            </w:r>
          </w:p>
        </w:tc>
      </w:tr>
      <w:tr w:rsidR="00594896" w14:paraId="5EF9EAFB" w14:textId="77777777" w:rsidTr="00B54093">
        <w:tc>
          <w:tcPr>
            <w:tcW w:w="709" w:type="dxa"/>
          </w:tcPr>
          <w:p w14:paraId="4F433D8C" w14:textId="77777777"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619CFF45"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SUTARČIAI TAIKOMA TEISĖ IR GINČŲ SPRENDIMO TVARKA</w:t>
            </w:r>
          </w:p>
        </w:tc>
      </w:tr>
      <w:tr w:rsidR="00594896" w14:paraId="5EA41D95" w14:textId="77777777" w:rsidTr="00B54093">
        <w:tc>
          <w:tcPr>
            <w:tcW w:w="709" w:type="dxa"/>
          </w:tcPr>
          <w:p w14:paraId="34B8951F"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83D9C5B"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sudaryta, vykdoma ir aiškinama vadovaujantis Lietuvos Respublikoje galiojančiais teisės aktais.</w:t>
            </w:r>
          </w:p>
        </w:tc>
      </w:tr>
      <w:tr w:rsidR="00594896" w14:paraId="7AE46979" w14:textId="77777777" w:rsidTr="00B54093">
        <w:tc>
          <w:tcPr>
            <w:tcW w:w="709" w:type="dxa"/>
          </w:tcPr>
          <w:p w14:paraId="590FC4C1"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CFC01F8" w14:textId="17894E6B"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Bet kokie ginčai, nesutarimai ar reikalavimai, kylantys iš šios Sutarties ar susiję su ja, yra sprendžiami tiesioginių derybų būdu, o nepavykus susitarti per 30 </w:t>
            </w:r>
            <w:r w:rsidR="004C2FA2">
              <w:rPr>
                <w:rFonts w:eastAsia="Arial Unicode MS"/>
                <w:bdr w:val="none" w:sz="0" w:space="0" w:color="auto" w:frame="1"/>
                <w:lang w:eastAsia="en-US"/>
              </w:rPr>
              <w:t xml:space="preserve">(trisdešimt) </w:t>
            </w:r>
            <w:r w:rsidR="008C6D68">
              <w:rPr>
                <w:rFonts w:eastAsia="Arial Unicode MS"/>
                <w:bdr w:val="none" w:sz="0" w:space="0" w:color="auto" w:frame="1"/>
                <w:lang w:eastAsia="en-US"/>
              </w:rPr>
              <w:t xml:space="preserve">kalendorinių </w:t>
            </w:r>
            <w:r>
              <w:rPr>
                <w:rFonts w:eastAsia="Arial Unicode MS"/>
                <w:bdr w:val="none" w:sz="0" w:space="0" w:color="auto" w:frame="1"/>
                <w:lang w:eastAsia="en-US"/>
              </w:rPr>
              <w:t>dienų nuo derybų pradžios, – teisme Lietuvos Respublikos įstatymų nustatyta tvarka.</w:t>
            </w:r>
          </w:p>
        </w:tc>
      </w:tr>
      <w:tr w:rsidR="00594896" w14:paraId="39568F62" w14:textId="77777777" w:rsidTr="00B54093">
        <w:tc>
          <w:tcPr>
            <w:tcW w:w="709" w:type="dxa"/>
          </w:tcPr>
          <w:p w14:paraId="27AF33C1" w14:textId="5B7F820B"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07614311"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KONFIDENCIALUMAS</w:t>
            </w:r>
          </w:p>
        </w:tc>
      </w:tr>
      <w:tr w:rsidR="00594896" w14:paraId="5A4B4131" w14:textId="77777777" w:rsidTr="00B54093">
        <w:tc>
          <w:tcPr>
            <w:tcW w:w="709" w:type="dxa"/>
          </w:tcPr>
          <w:p w14:paraId="48C782E2"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8F5019A" w14:textId="77777777" w:rsidR="00594896" w:rsidRDefault="00594896" w:rsidP="00B5409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594896" w14:paraId="55959F92" w14:textId="77777777" w:rsidTr="00B54093">
        <w:tc>
          <w:tcPr>
            <w:tcW w:w="709" w:type="dxa"/>
          </w:tcPr>
          <w:p w14:paraId="1410E340"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6EAB7AF"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įskaitant visus savo darbuotojus ar kitus asmenis, su kuriais Šalys bendradarbiauja vykdydamos veiklą, atsako už konfidencialios informacijos atskleidimą, ir atlygina visus su tuo susijusius tiesioginius nuostolius.</w:t>
            </w:r>
          </w:p>
        </w:tc>
      </w:tr>
      <w:tr w:rsidR="00594896" w14:paraId="25FD921B" w14:textId="77777777" w:rsidTr="00B54093">
        <w:tc>
          <w:tcPr>
            <w:tcW w:w="709" w:type="dxa"/>
          </w:tcPr>
          <w:p w14:paraId="68178C90"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A78590F"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Sutarties turinys ir su jos vykdymu susijusi Šalių viena kitai suteikta informacija gali būti atskleista, jeigu to reikia šios Sutarties tikslui pasiekti arba privaloma pagal  Lietuvos Respublikos teisės aktus.</w:t>
            </w:r>
          </w:p>
        </w:tc>
      </w:tr>
      <w:tr w:rsidR="008C6D68" w14:paraId="147F00AC" w14:textId="77777777" w:rsidTr="00B54093">
        <w:tc>
          <w:tcPr>
            <w:tcW w:w="709" w:type="dxa"/>
          </w:tcPr>
          <w:p w14:paraId="2789D64F" w14:textId="77777777" w:rsidR="008C6D68" w:rsidRDefault="008C6D68"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tcPr>
          <w:p w14:paraId="6DEF683E" w14:textId="79E2E1D3" w:rsidR="008C6D68" w:rsidRPr="00701FDF" w:rsidRDefault="00701FDF" w:rsidP="00B54093">
            <w:pPr>
              <w:snapToGrid w:val="0"/>
              <w:spacing w:before="120"/>
              <w:jc w:val="both"/>
              <w:rPr>
                <w:rFonts w:eastAsia="Arial Unicode MS"/>
                <w:bdr w:val="none" w:sz="0" w:space="0" w:color="auto" w:frame="1"/>
                <w:lang w:eastAsia="en-US"/>
              </w:rPr>
            </w:pPr>
            <w:r w:rsidRPr="00701FDF">
              <w:t>Šalis</w:t>
            </w:r>
            <w:r w:rsidRPr="00701FDF">
              <w:rPr>
                <w:noProof/>
              </w:rPr>
              <w:t xml:space="preserve"> privalo nedelsiant pranešti kitai Šaliai, jei jai tapo žinoma ar ji pagrįstai įtarė, kad Konfidenciali informacija gali būti ar buvo atskleista asmenims, neturintiems teisės jos gauti ar žinoti.</w:t>
            </w:r>
          </w:p>
        </w:tc>
      </w:tr>
      <w:tr w:rsidR="00701FDF" w14:paraId="7A155ABB" w14:textId="77777777" w:rsidTr="00B54093">
        <w:tc>
          <w:tcPr>
            <w:tcW w:w="709" w:type="dxa"/>
          </w:tcPr>
          <w:p w14:paraId="5A06D142" w14:textId="5CC13697" w:rsidR="00701FDF" w:rsidRPr="00701FDF" w:rsidRDefault="00701FDF" w:rsidP="00701FDF">
            <w:pPr>
              <w:pStyle w:val="Sraopastraipa"/>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tcPr>
          <w:p w14:paraId="5296B11C" w14:textId="16FF4E09" w:rsidR="00701FDF" w:rsidRPr="00701FDF" w:rsidRDefault="00701FDF" w:rsidP="00B54093">
            <w:pPr>
              <w:snapToGrid w:val="0"/>
              <w:spacing w:before="120"/>
              <w:jc w:val="both"/>
              <w:rPr>
                <w:b/>
                <w:bCs/>
              </w:rPr>
            </w:pPr>
            <w:r w:rsidRPr="00701FDF">
              <w:rPr>
                <w:b/>
                <w:bCs/>
              </w:rPr>
              <w:t>ASMENS DUOMEŲ APSAUGA</w:t>
            </w:r>
          </w:p>
        </w:tc>
      </w:tr>
      <w:tr w:rsidR="00701FDF" w14:paraId="31D45A64" w14:textId="77777777" w:rsidTr="00B54093">
        <w:tc>
          <w:tcPr>
            <w:tcW w:w="709" w:type="dxa"/>
          </w:tcPr>
          <w:p w14:paraId="6DF18558" w14:textId="1566C0C4" w:rsidR="00701FDF" w:rsidRPr="00701FDF" w:rsidRDefault="00701FDF" w:rsidP="00701FDF">
            <w:pPr>
              <w:pStyle w:val="Sraopastraipa"/>
              <w:numPr>
                <w:ilvl w:val="1"/>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tcPr>
          <w:p w14:paraId="659575C8" w14:textId="34CFF366" w:rsidR="00701FDF" w:rsidRPr="00701FDF" w:rsidRDefault="00701FDF" w:rsidP="00B54093">
            <w:pPr>
              <w:snapToGrid w:val="0"/>
              <w:spacing w:before="120"/>
              <w:jc w:val="both"/>
              <w:rPr>
                <w:b/>
                <w:bCs/>
              </w:rPr>
            </w:pPr>
            <w:r w:rsidRPr="00701FDF">
              <w:t>Šalys yra atsakingos už tinkamą šios Sutarties ir teisės aktų, susijusių su asmens duomenų teisine apsauga, reikalavimų vykdymą.</w:t>
            </w:r>
          </w:p>
        </w:tc>
      </w:tr>
      <w:tr w:rsidR="00701FDF" w14:paraId="3311C641" w14:textId="77777777" w:rsidTr="00B54093">
        <w:tc>
          <w:tcPr>
            <w:tcW w:w="709" w:type="dxa"/>
          </w:tcPr>
          <w:p w14:paraId="00CBF68C" w14:textId="77777777" w:rsidR="00701FDF" w:rsidRPr="00701FDF" w:rsidRDefault="00701FDF" w:rsidP="00701FDF">
            <w:pPr>
              <w:pStyle w:val="Sraopastraipa"/>
              <w:numPr>
                <w:ilvl w:val="1"/>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tcPr>
          <w:p w14:paraId="2BBDFFF9" w14:textId="13F8A720" w:rsidR="00701FDF" w:rsidRPr="00701FDF" w:rsidRDefault="00701FDF" w:rsidP="00B54093">
            <w:pPr>
              <w:snapToGrid w:val="0"/>
              <w:spacing w:before="120"/>
              <w:jc w:val="both"/>
              <w:rPr>
                <w:b/>
                <w:bCs/>
              </w:rPr>
            </w:pPr>
            <w:r w:rsidRPr="00701FDF">
              <w:t xml:space="preserve">Šios Sutarties vykdymo tikslais Šalys tvarko viena kitos kontaktinių bei, esant poreikiui, kitų atsakingųjų darbuotojų, įtrauktų į Sutarties vykdymą, asmens duomenis, t. y. vardą, pavardę, pareigas, darbovietės pavadinimą, telefono numerį, el. pašto adresą. Šalys turi teisėtą interesą tvarkyti tokius kitos Šalies darbuotojų asmens duomenis, kad tinkamai bendradarbiautų ir įvykdytų šią Sutartį. Pagal Sutartį vienos Šalies iš kitos Šalies gauti darbuotojų asmens duomenys tvarkomi tiek laiko, kiek reikalinga šios Sutarties įvykdymui užtikrinti, taip pat duomenys gali būti tvarkomi Šalių komercinių santykių palaikymui. Tvarkydamos asmens duomenis Šalys užtikrina tinkamas organizacines ir technines duomenų apsaugos priemones. Kiekviena Šalis įsipareigoja informuoti atitinkamus savo darbuotojus apie jų asmens duomenų perdavimą kitai Šaliai bei paaiškinti perdavimo tikslą, teisinį pagrindą, perduodamų duomenų apimtį, taip pat informuoti darbuotojus apie jų teises. Savo teises vienos Šalies darbuotojai gali </w:t>
            </w:r>
            <w:r w:rsidRPr="00701FDF">
              <w:lastRenderedPageBreak/>
              <w:t>įgyvendinti susisiekdami su kita Šalimi šioje Sutartyje nurodytais buveinės adresais ar el. pašto adresais. Vienai Šaliai pareikalavus, kita Šalis pateiks įrodymus dėl šiame punkte nustatytų pareigų tinkamo vykdymo.</w:t>
            </w:r>
          </w:p>
        </w:tc>
      </w:tr>
      <w:tr w:rsidR="00701FDF" w14:paraId="0869BE91" w14:textId="77777777" w:rsidTr="00B54093">
        <w:tc>
          <w:tcPr>
            <w:tcW w:w="709" w:type="dxa"/>
          </w:tcPr>
          <w:p w14:paraId="505C9746" w14:textId="77777777" w:rsidR="00701FDF" w:rsidRPr="00701FDF" w:rsidRDefault="00701FDF" w:rsidP="00701FDF">
            <w:pPr>
              <w:pStyle w:val="Sraopastraipa"/>
              <w:numPr>
                <w:ilvl w:val="1"/>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tcPr>
          <w:p w14:paraId="0B243DF6" w14:textId="4CC7257C" w:rsidR="00701FDF" w:rsidRPr="00701FDF" w:rsidRDefault="00701FDF" w:rsidP="00B54093">
            <w:pPr>
              <w:snapToGrid w:val="0"/>
              <w:spacing w:before="120"/>
              <w:jc w:val="both"/>
              <w:rPr>
                <w:b/>
                <w:bCs/>
              </w:rPr>
            </w:pPr>
            <w:r w:rsidRPr="00701FDF">
              <w:t>Šalys privalo supažindinti savo darbuotojus, kuriems pavesta atlikti asmens duomenų tvarkymo veiksmus, su atitinkamomis asmens duomenų apsaugos nuostatomis ir raštu įpareigoti juos saugoti informacijos konfidencialumą pagal Šalims taikomas imperatyvias teisės aktų nuostatas. Šalys privalo instruktuoti ir supažindinti atitinkamus darbuotojus su asmens duomenų apsaugai keliamais reikalavimais, susijusiais su šios sutarties vykdymu. Pareiga saugoti asmens duomenų konfidencialumą Šalims galioja ir pasibaigus sutartyje numatytai veiklai.</w:t>
            </w:r>
          </w:p>
        </w:tc>
      </w:tr>
      <w:tr w:rsidR="00701FDF" w14:paraId="73949934" w14:textId="77777777" w:rsidTr="00B54093">
        <w:tc>
          <w:tcPr>
            <w:tcW w:w="709" w:type="dxa"/>
          </w:tcPr>
          <w:p w14:paraId="1B7E4ECD" w14:textId="77777777" w:rsidR="00701FDF" w:rsidRPr="00701FDF" w:rsidRDefault="00701FDF" w:rsidP="00701FDF">
            <w:pPr>
              <w:pStyle w:val="Sraopastraipa"/>
              <w:numPr>
                <w:ilvl w:val="1"/>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tcPr>
          <w:p w14:paraId="57A1C1CC" w14:textId="5F8B8E8E" w:rsidR="00701FDF" w:rsidRPr="00701FDF" w:rsidRDefault="00701FDF" w:rsidP="00B54093">
            <w:pPr>
              <w:snapToGrid w:val="0"/>
              <w:spacing w:before="120"/>
              <w:jc w:val="both"/>
              <w:rPr>
                <w:b/>
                <w:bCs/>
              </w:rPr>
            </w:pPr>
            <w:r w:rsidRPr="00701FDF">
              <w:t>Tuo atveju, kai Prekių įsigijimo metu tvarkomi asmens duomenys kitais nei pagrindinės sutarties administravimo, šalių tarpusavio komunikacijos vykdymo tikslais, Šalys sudaro papildomą susitarimą prie šios Sutarties dėl asmens duomenų tvarkymo / teikimo / gavimo.</w:t>
            </w:r>
          </w:p>
        </w:tc>
      </w:tr>
      <w:tr w:rsidR="00594896" w14:paraId="19C5F3F8" w14:textId="77777777" w:rsidTr="00B54093">
        <w:tc>
          <w:tcPr>
            <w:tcW w:w="709" w:type="dxa"/>
          </w:tcPr>
          <w:p w14:paraId="0BDAE0BE" w14:textId="77777777" w:rsidR="00594896" w:rsidRDefault="00594896" w:rsidP="00594896">
            <w:pPr>
              <w:numPr>
                <w:ilvl w:val="0"/>
                <w:numId w:val="3"/>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66EC7EB6" w14:textId="23B24FB9" w:rsidR="00594896" w:rsidRDefault="00594896" w:rsidP="00B54093">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KITOS NUOSTATOS</w:t>
            </w:r>
          </w:p>
        </w:tc>
      </w:tr>
      <w:tr w:rsidR="00594896" w14:paraId="605FB74D" w14:textId="77777777" w:rsidTr="00B54093">
        <w:tc>
          <w:tcPr>
            <w:tcW w:w="709" w:type="dxa"/>
          </w:tcPr>
          <w:p w14:paraId="5A2D417E"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53654CB" w14:textId="77777777" w:rsidR="00594896" w:rsidRDefault="00594896" w:rsidP="00B5409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Sutarties sąlygos Sutarties galiojimo laikotarpiu gali būti keičiamos tik Lietuvos Respublikos viešųjų pirkimų įstatymo 89 straipsnyje numatytais atvejais ir tvarka. </w:t>
            </w:r>
          </w:p>
        </w:tc>
      </w:tr>
      <w:tr w:rsidR="00594896" w14:paraId="176EEA0F" w14:textId="77777777" w:rsidTr="00B54093">
        <w:tc>
          <w:tcPr>
            <w:tcW w:w="709" w:type="dxa"/>
          </w:tcPr>
          <w:p w14:paraId="5307F0B8"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2AAA453"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594896" w14:paraId="5C1E7235" w14:textId="77777777" w:rsidTr="00B54093">
        <w:tc>
          <w:tcPr>
            <w:tcW w:w="709" w:type="dxa"/>
          </w:tcPr>
          <w:p w14:paraId="1515F620"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68FF7B4"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594896" w14:paraId="2F07EEEB" w14:textId="77777777" w:rsidTr="00B54093">
        <w:tc>
          <w:tcPr>
            <w:tcW w:w="709" w:type="dxa"/>
          </w:tcPr>
          <w:p w14:paraId="17102F7A"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2FA1517"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Šios Sutarties pakeitimai galimi tik sutarus abiem Šalims. Visi Sutarties pakeitimai ir papildymai galioja tik tuo atveju, jei jie padaryti raštu, Šalių pasirašyti ir patvirtinti antspaudais.</w:t>
            </w:r>
          </w:p>
        </w:tc>
      </w:tr>
      <w:tr w:rsidR="00594896" w14:paraId="3DEF6C15" w14:textId="77777777" w:rsidTr="00B54093">
        <w:tc>
          <w:tcPr>
            <w:tcW w:w="709" w:type="dxa"/>
          </w:tcPr>
          <w:p w14:paraId="5E6585DC"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7CD369D" w14:textId="77777777" w:rsidR="00594896" w:rsidRDefault="00594896" w:rsidP="00B54093">
            <w:pPr>
              <w:jc w:val="both"/>
              <w:rPr>
                <w:rFonts w:eastAsia="Arial Unicode MS"/>
                <w:bdr w:val="none" w:sz="0" w:space="0" w:color="auto" w:frame="1"/>
                <w:lang w:eastAsia="en-US"/>
              </w:rPr>
            </w:pPr>
            <w:r>
              <w:rPr>
                <w:rFonts w:eastAsia="Arial Unicode MS"/>
                <w:bdr w:val="none" w:sz="0" w:space="0" w:color="auto" w:frame="1"/>
                <w:lang w:eastAsia="en-US"/>
              </w:rPr>
              <w:t xml:space="preserve">Visi pranešimai, sutikimai, atsisakymai ir kita korespondencija pagal šią Sutartį arba susijusi su ja privalo būti įforminama raštu, ir laikoma įteikta tinkamai, jeigu ji išsiųsti registruotu laišku, elektroniniu paštu (patvirtinant gavimą) arba pristatyti tiesiogiai šioje Sutartyje nurodytais įprasto arba elektroninio pašto adresais, ar kitais kontaktais, dėl kurių Šalys susitarė. </w:t>
            </w:r>
          </w:p>
          <w:p w14:paraId="16B5223E"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Apie bet kokius adresų ar rekvizitų pasikeitimus Šalys viena kitą privalo informuoti per 5 (penkias) darbo dienas. Jei Šalis nepraneša apie savo adresų ar rekvizitų pasikeitimą, tai pranešimo siuntimas paskutiniu turimu adresu ar prievolės vykdymas vadovaujantis paskutiniais žinomais kitos Šalies rekvizitais yra laikomas tinkamu.</w:t>
            </w:r>
          </w:p>
        </w:tc>
      </w:tr>
      <w:tr w:rsidR="00594896" w14:paraId="047DE9F2" w14:textId="77777777" w:rsidTr="00B54093">
        <w:tc>
          <w:tcPr>
            <w:tcW w:w="709" w:type="dxa"/>
          </w:tcPr>
          <w:p w14:paraId="25122704"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46F7F92" w14:textId="77777777" w:rsidR="00594896" w:rsidRDefault="00594896" w:rsidP="00B54093">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priedai yra neatskiriama Sutarties dalimi.</w:t>
            </w:r>
          </w:p>
        </w:tc>
      </w:tr>
      <w:tr w:rsidR="00594896" w14:paraId="416BC9CA" w14:textId="77777777" w:rsidTr="00B54093">
        <w:tc>
          <w:tcPr>
            <w:tcW w:w="709" w:type="dxa"/>
          </w:tcPr>
          <w:p w14:paraId="6D849D96"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39E77EF" w14:textId="07CF61D2" w:rsidR="00594896" w:rsidRDefault="00594896" w:rsidP="00B54093">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prieduose naudojamos sąvokos atitinka jų apibrėžimus nurodytus Sutartyje.</w:t>
            </w:r>
          </w:p>
        </w:tc>
      </w:tr>
      <w:tr w:rsidR="00594896" w14:paraId="60EEFC7D" w14:textId="77777777" w:rsidTr="00B54093">
        <w:tc>
          <w:tcPr>
            <w:tcW w:w="709" w:type="dxa"/>
          </w:tcPr>
          <w:p w14:paraId="5F292C8A"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99E8206" w14:textId="77777777" w:rsidR="00594896" w:rsidRDefault="00594896" w:rsidP="00B54093">
            <w:pPr>
              <w:spacing w:before="120"/>
              <w:jc w:val="both"/>
              <w:rPr>
                <w:rFonts w:eastAsia="Arial Unicode MS"/>
                <w:bdr w:val="none" w:sz="0" w:space="0" w:color="auto" w:frame="1"/>
                <w:lang w:eastAsia="en-US"/>
              </w:rPr>
            </w:pPr>
            <w:r>
              <w:rPr>
                <w:rFonts w:eastAsia="Arial Unicode MS"/>
                <w:bdr w:val="none" w:sz="0" w:space="0" w:color="auto" w:frame="1"/>
                <w:lang w:eastAsia="en-US"/>
              </w:rPr>
              <w:t>Jei Sutarties priedų ir Sutarties sąlygos tuos pačius dalykus reglamentuoja skirtingai, aukštesnę galią turi Sutarties priedų sąlygos.</w:t>
            </w:r>
          </w:p>
        </w:tc>
      </w:tr>
      <w:tr w:rsidR="00594896" w14:paraId="29215C64" w14:textId="77777777" w:rsidTr="00B54093">
        <w:tc>
          <w:tcPr>
            <w:tcW w:w="709" w:type="dxa"/>
          </w:tcPr>
          <w:p w14:paraId="4B593F38"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9DB3231" w14:textId="77777777"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sutarties vykdymą ir kontrolę Šalys skiria atsakingais šiuos asmenis:</w:t>
            </w:r>
          </w:p>
        </w:tc>
      </w:tr>
      <w:tr w:rsidR="00594896" w14:paraId="0C9347E9" w14:textId="77777777" w:rsidTr="00B54093">
        <w:tc>
          <w:tcPr>
            <w:tcW w:w="709" w:type="dxa"/>
          </w:tcPr>
          <w:p w14:paraId="7FE232F4"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3C9B78C" w14:textId="02EED1DB"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Iš Perkančiosios organizacijos pusės: </w:t>
            </w:r>
            <w:r w:rsidR="00B54093">
              <w:rPr>
                <w:rFonts w:eastAsia="Arial Unicode MS"/>
                <w:bdr w:val="none" w:sz="0" w:space="0" w:color="auto" w:frame="1"/>
                <w:lang w:eastAsia="en-US"/>
              </w:rPr>
              <w:t>ūkio dalies vedėja Indra Ereksonienė</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tel. </w:t>
            </w:r>
            <w:r w:rsidR="00B54093">
              <w:rPr>
                <w:rFonts w:eastAsia="Arial Unicode MS"/>
                <w:bdr w:val="none" w:sz="0" w:space="0" w:color="auto" w:frame="1"/>
                <w:lang w:eastAsia="en-US"/>
              </w:rPr>
              <w:t>+370 672 50776</w:t>
            </w:r>
            <w:r>
              <w:rPr>
                <w:rFonts w:eastAsia="Arial Unicode MS"/>
                <w:bdr w:val="none" w:sz="0" w:space="0" w:color="auto" w:frame="1"/>
                <w:lang w:eastAsia="en-US"/>
              </w:rPr>
              <w:t xml:space="preserve">, elektroninis paštas </w:t>
            </w:r>
            <w:hyperlink r:id="rId8" w:history="1">
              <w:r w:rsidR="00B54093" w:rsidRPr="00A344FA">
                <w:rPr>
                  <w:rStyle w:val="Hipersaitas"/>
                  <w:rFonts w:eastAsia="Arial Unicode MS"/>
                  <w:bdr w:val="none" w:sz="0" w:space="0" w:color="auto" w:frame="1"/>
                  <w:lang w:eastAsia="en-US"/>
                </w:rPr>
                <w:t>indra.ereksoniene</w:t>
              </w:r>
              <w:r w:rsidR="00B54093" w:rsidRPr="00A344FA">
                <w:rPr>
                  <w:rStyle w:val="Hipersaitas"/>
                  <w:rFonts w:eastAsia="Arial Unicode MS"/>
                  <w:bdr w:val="none" w:sz="0" w:space="0" w:color="auto" w:frame="1"/>
                  <w:lang w:val="en-US" w:eastAsia="en-US"/>
                </w:rPr>
                <w:t>@pangreitoji.lt</w:t>
              </w:r>
            </w:hyperlink>
            <w:r>
              <w:rPr>
                <w:rFonts w:eastAsia="Arial Unicode MS"/>
                <w:bdr w:val="none" w:sz="0" w:space="0" w:color="auto" w:frame="1"/>
                <w:lang w:eastAsia="en-US"/>
              </w:rPr>
              <w:t>.</w:t>
            </w:r>
          </w:p>
        </w:tc>
      </w:tr>
      <w:tr w:rsidR="00594896" w14:paraId="68DA0D02" w14:textId="77777777" w:rsidTr="00B54093">
        <w:tc>
          <w:tcPr>
            <w:tcW w:w="709" w:type="dxa"/>
          </w:tcPr>
          <w:p w14:paraId="093A6527" w14:textId="77777777" w:rsidR="00594896" w:rsidRDefault="00594896" w:rsidP="00594896">
            <w:pPr>
              <w:numPr>
                <w:ilvl w:val="2"/>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04742CA" w14:textId="7324F153" w:rsidR="00594896" w:rsidRDefault="00594896" w:rsidP="00B5409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Iš Tiekėjo pusės: </w:t>
            </w:r>
            <w:r w:rsidR="00213407">
              <w:rPr>
                <w:rFonts w:eastAsia="Arial Unicode MS"/>
                <w:bdr w:val="none" w:sz="0" w:space="0" w:color="auto" w:frame="1"/>
                <w:lang w:eastAsia="en-US"/>
              </w:rPr>
              <w:t>Eglę Markūnaitę</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tel. </w:t>
            </w:r>
            <w:r w:rsidR="00267186">
              <w:rPr>
                <w:rFonts w:eastAsia="Arial Unicode MS"/>
                <w:bdr w:val="none" w:sz="0" w:space="0" w:color="auto" w:frame="1"/>
                <w:lang w:eastAsia="en-US"/>
              </w:rPr>
              <w:t>+370 612 20741,</w:t>
            </w:r>
            <w:r>
              <w:rPr>
                <w:rFonts w:eastAsia="Arial Unicode MS"/>
                <w:i/>
                <w:bdr w:val="none" w:sz="0" w:space="0" w:color="auto" w:frame="1"/>
                <w:lang w:eastAsia="en-US"/>
              </w:rPr>
              <w:t xml:space="preserve"> </w:t>
            </w:r>
            <w:r>
              <w:rPr>
                <w:rFonts w:eastAsia="Arial Unicode MS"/>
                <w:bdr w:val="none" w:sz="0" w:space="0" w:color="auto" w:frame="1"/>
                <w:lang w:eastAsia="en-US"/>
              </w:rPr>
              <w:t>elektroninis paštas</w:t>
            </w:r>
            <w:r w:rsidR="00213407">
              <w:rPr>
                <w:rFonts w:eastAsia="Arial Unicode MS"/>
                <w:bdr w:val="none" w:sz="0" w:space="0" w:color="auto" w:frame="1"/>
                <w:lang w:eastAsia="en-US"/>
              </w:rPr>
              <w:t xml:space="preserve"> egle.markunaite</w:t>
            </w:r>
            <w:r w:rsidR="00213407" w:rsidRPr="00B54093">
              <w:rPr>
                <w:rFonts w:eastAsia="Arial Unicode MS"/>
                <w:bdr w:val="none" w:sz="0" w:space="0" w:color="auto" w:frame="1"/>
                <w:lang w:val="de-DE" w:eastAsia="en-US"/>
              </w:rPr>
              <w:t>@lidl.lt</w:t>
            </w:r>
            <w:r>
              <w:rPr>
                <w:rFonts w:eastAsia="Arial Unicode MS"/>
                <w:bdr w:val="none" w:sz="0" w:space="0" w:color="auto" w:frame="1"/>
                <w:lang w:eastAsia="en-US"/>
              </w:rPr>
              <w:t>.</w:t>
            </w:r>
          </w:p>
        </w:tc>
      </w:tr>
      <w:tr w:rsidR="00594896" w14:paraId="228830AA" w14:textId="77777777" w:rsidTr="00B54093">
        <w:tc>
          <w:tcPr>
            <w:tcW w:w="709" w:type="dxa"/>
          </w:tcPr>
          <w:p w14:paraId="1031E676"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5630373" w14:textId="77777777" w:rsidR="00594896" w:rsidRDefault="00594896" w:rsidP="00B54093">
            <w:pPr>
              <w:spacing w:before="120"/>
              <w:jc w:val="both"/>
              <w:rPr>
                <w:rFonts w:eastAsia="Arial Unicode MS"/>
                <w:bdr w:val="none" w:sz="0" w:space="0" w:color="auto" w:frame="1"/>
                <w:lang w:eastAsia="en-US"/>
              </w:rPr>
            </w:pPr>
            <w:r>
              <w:rPr>
                <w:rFonts w:eastAsia="Arial Unicode MS"/>
                <w:bdr w:val="none" w:sz="0" w:space="0" w:color="auto" w:frame="1"/>
                <w:lang w:eastAsia="en-US"/>
              </w:rPr>
              <w:t>Šalys patvirtina, kad Sutartis atitinka jų valią ir tikruosius jų ketinimus, Sutarties prasmė ir pasekmės Šalims išaiškintos.</w:t>
            </w:r>
          </w:p>
        </w:tc>
      </w:tr>
      <w:tr w:rsidR="00594896" w14:paraId="460475A3" w14:textId="77777777" w:rsidTr="00B54093">
        <w:tc>
          <w:tcPr>
            <w:tcW w:w="709" w:type="dxa"/>
          </w:tcPr>
          <w:p w14:paraId="5DBFB416" w14:textId="77777777" w:rsidR="00594896" w:rsidRDefault="00594896" w:rsidP="00594896">
            <w:pPr>
              <w:numPr>
                <w:ilvl w:val="1"/>
                <w:numId w:val="3"/>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E6C9107" w14:textId="674F532B" w:rsidR="00594896" w:rsidRDefault="00594896" w:rsidP="00B54093">
            <w:pPr>
              <w:spacing w:before="120"/>
              <w:jc w:val="both"/>
              <w:rPr>
                <w:rFonts w:eastAsia="Arial Unicode MS"/>
                <w:bdr w:val="none" w:sz="0" w:space="0" w:color="auto" w:frame="1"/>
                <w:lang w:eastAsia="en-US"/>
              </w:rPr>
            </w:pPr>
          </w:p>
        </w:tc>
      </w:tr>
      <w:tr w:rsidR="00594896" w14:paraId="3BD64C04" w14:textId="77777777" w:rsidTr="00B54093">
        <w:tc>
          <w:tcPr>
            <w:tcW w:w="709" w:type="dxa"/>
          </w:tcPr>
          <w:p w14:paraId="3421BB9E" w14:textId="77777777" w:rsidR="00594896" w:rsidRDefault="00594896" w:rsidP="00B54093">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14:paraId="28B7D5C9" w14:textId="77777777" w:rsidR="00AB0A69" w:rsidRDefault="00AB0A69" w:rsidP="00B54093">
            <w:pPr>
              <w:snapToGrid w:val="0"/>
              <w:spacing w:before="120" w:after="120"/>
              <w:ind w:right="186"/>
              <w:jc w:val="both"/>
              <w:rPr>
                <w:rFonts w:eastAsia="Arial Unicode MS"/>
                <w:bdr w:val="none" w:sz="0" w:space="0" w:color="auto" w:frame="1"/>
                <w:lang w:eastAsia="en-US"/>
              </w:rPr>
            </w:pPr>
            <w:r w:rsidRPr="00AB0A69">
              <w:rPr>
                <w:rFonts w:eastAsia="Arial Unicode MS"/>
                <w:bdr w:val="none" w:sz="0" w:space="0" w:color="auto" w:frame="1"/>
                <w:lang w:eastAsia="en-US"/>
              </w:rPr>
              <w:t>Sutartis yra sudaryta rašytine (elektronine ar popierine) forma (jei popierine forma, tada 2 (dviem) vienodą teisinę galią turinčiais egzemplioriais, iš kurių vienas perduodamas Tiekėjui, o kitas – Perkančiajai organizacijai).</w:t>
            </w:r>
          </w:p>
          <w:p w14:paraId="0A57B6F7" w14:textId="0EDF5475" w:rsidR="00594896" w:rsidRDefault="00594896" w:rsidP="00B54093">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1 Priedas – Techninė specifikacija ir Prekių įkainiai.</w:t>
            </w:r>
          </w:p>
          <w:p w14:paraId="35D4C536" w14:textId="11360790" w:rsidR="0076285B" w:rsidRPr="0076285B" w:rsidRDefault="0076285B" w:rsidP="0076285B">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 xml:space="preserve">2 Priedas -  </w:t>
            </w:r>
            <w:r w:rsidRPr="0076285B">
              <w:rPr>
                <w:rFonts w:eastAsia="Arial Unicode MS"/>
                <w:bdr w:val="none" w:sz="0" w:space="0" w:color="auto" w:frame="1"/>
                <w:lang w:eastAsia="en-US"/>
              </w:rPr>
              <w:t>UAB „Lidl Lietuva“ elgesio kodeksas.</w:t>
            </w:r>
          </w:p>
          <w:p w14:paraId="3E9E7801" w14:textId="42145659" w:rsidR="0076285B" w:rsidRPr="0076285B" w:rsidRDefault="0076285B" w:rsidP="0076285B">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 xml:space="preserve">3 </w:t>
            </w:r>
            <w:r w:rsidRPr="0076285B">
              <w:rPr>
                <w:rFonts w:eastAsia="Arial Unicode MS"/>
                <w:bdr w:val="none" w:sz="0" w:space="0" w:color="auto" w:frame="1"/>
                <w:lang w:eastAsia="en-US"/>
              </w:rPr>
              <w:t>Priedas</w:t>
            </w:r>
            <w:r>
              <w:rPr>
                <w:rFonts w:eastAsia="Arial Unicode MS"/>
                <w:bdr w:val="none" w:sz="0" w:space="0" w:color="auto" w:frame="1"/>
                <w:lang w:eastAsia="en-US"/>
              </w:rPr>
              <w:t xml:space="preserve"> </w:t>
            </w:r>
            <w:r w:rsidRPr="0076285B">
              <w:rPr>
                <w:rFonts w:eastAsia="Arial Unicode MS"/>
                <w:bdr w:val="none" w:sz="0" w:space="0" w:color="auto" w:frame="1"/>
                <w:lang w:eastAsia="en-US"/>
              </w:rPr>
              <w:t>– Sutikimas dėl atitikties nuostatų.</w:t>
            </w:r>
          </w:p>
          <w:p w14:paraId="087411C5" w14:textId="3C26A10E" w:rsidR="00701FDF" w:rsidRDefault="0076285B" w:rsidP="0076285B">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 xml:space="preserve">4 </w:t>
            </w:r>
            <w:r w:rsidRPr="0076285B">
              <w:rPr>
                <w:rFonts w:eastAsia="Arial Unicode MS"/>
                <w:bdr w:val="none" w:sz="0" w:space="0" w:color="auto" w:frame="1"/>
                <w:lang w:eastAsia="en-US"/>
              </w:rPr>
              <w:t>Priedas</w:t>
            </w:r>
            <w:r>
              <w:rPr>
                <w:rFonts w:eastAsia="Arial Unicode MS"/>
                <w:bdr w:val="none" w:sz="0" w:space="0" w:color="auto" w:frame="1"/>
                <w:lang w:eastAsia="en-US"/>
              </w:rPr>
              <w:t xml:space="preserve"> </w:t>
            </w:r>
            <w:r w:rsidRPr="0076285B">
              <w:rPr>
                <w:rFonts w:eastAsia="Arial Unicode MS"/>
                <w:bdr w:val="none" w:sz="0" w:space="0" w:color="auto" w:frame="1"/>
                <w:lang w:eastAsia="en-US"/>
              </w:rPr>
              <w:t>– Sutikimas dėl konfidencialios informacijos saugojimo.</w:t>
            </w:r>
          </w:p>
          <w:p w14:paraId="0D27683B" w14:textId="30FD7C24" w:rsidR="00701FDF" w:rsidRPr="00B54093" w:rsidRDefault="00701FDF" w:rsidP="00B54093">
            <w:pPr>
              <w:jc w:val="both"/>
              <w:rPr>
                <w:i/>
                <w:iCs/>
              </w:rPr>
            </w:pPr>
            <w:r w:rsidRPr="00701FDF">
              <w:rPr>
                <w:i/>
                <w:iCs/>
              </w:rPr>
              <w:t>Šalys individualiai aptarė, perskaitė ir suprato Sutarties sąlygas ir aukščiau nurodytus Sutarties priedus. Pasirašydamos Sutartį elektroniniu parašu, Šalys patvirtina, kad Sutartis visa apimtimi (ir aukščiau nurodytus priedus) visiškai atitinka jų valią ir tikruosius ketinimus ir yra pasirašomi kartu.</w:t>
            </w:r>
          </w:p>
        </w:tc>
      </w:tr>
      <w:tr w:rsidR="00594896" w14:paraId="691C9F8C" w14:textId="77777777" w:rsidTr="00B54093">
        <w:tc>
          <w:tcPr>
            <w:tcW w:w="709" w:type="dxa"/>
          </w:tcPr>
          <w:p w14:paraId="272F1237" w14:textId="77777777" w:rsidR="00594896" w:rsidRDefault="00594896" w:rsidP="00B54093">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14:paraId="53DA9CE0" w14:textId="77777777" w:rsidR="00594896" w:rsidRPr="00B54093" w:rsidRDefault="00594896" w:rsidP="00B54093">
            <w:pPr>
              <w:spacing w:before="120" w:after="120"/>
              <w:jc w:val="both"/>
              <w:rPr>
                <w:rFonts w:eastAsia="Calibri"/>
                <w:bdr w:val="none" w:sz="0" w:space="0" w:color="auto" w:frame="1"/>
                <w:lang w:eastAsia="en-US"/>
              </w:rPr>
            </w:pPr>
            <w:r w:rsidRPr="00B54093">
              <w:rPr>
                <w:rFonts w:eastAsia="Calibri"/>
                <w:b/>
                <w:bdr w:val="none" w:sz="0" w:space="0" w:color="auto" w:frame="1"/>
                <w:lang w:eastAsia="en-US"/>
              </w:rPr>
              <w:t>ŠALIŲ REKVIZITAI IR PARAŠAI</w:t>
            </w:r>
            <w:r w:rsidRPr="00B54093">
              <w:rPr>
                <w:rFonts w:eastAsia="Calibri"/>
                <w:bdr w:val="none" w:sz="0" w:space="0" w:color="auto" w:frame="1"/>
                <w:lang w:eastAsia="en-US"/>
              </w:rPr>
              <w:t>:</w:t>
            </w:r>
          </w:p>
          <w:tbl>
            <w:tblPr>
              <w:tblW w:w="0" w:type="auto"/>
              <w:tblLayout w:type="fixed"/>
              <w:tblLook w:val="04A0" w:firstRow="1" w:lastRow="0" w:firstColumn="1" w:lastColumn="0" w:noHBand="0" w:noVBand="1"/>
            </w:tblPr>
            <w:tblGrid>
              <w:gridCol w:w="4479"/>
              <w:gridCol w:w="4480"/>
            </w:tblGrid>
            <w:tr w:rsidR="00594896" w:rsidRPr="00B54093" w14:paraId="73EA2C94" w14:textId="77777777" w:rsidTr="00B54093">
              <w:trPr>
                <w:trHeight w:val="5632"/>
              </w:trPr>
              <w:tc>
                <w:tcPr>
                  <w:tcW w:w="4479" w:type="dxa"/>
                  <w:hideMark/>
                </w:tcPr>
                <w:p w14:paraId="04C10F80" w14:textId="4BB5CC79" w:rsidR="00594896" w:rsidRPr="00B54093" w:rsidRDefault="00594896" w:rsidP="00B54093">
                  <w:pPr>
                    <w:spacing w:before="120" w:after="120"/>
                    <w:jc w:val="both"/>
                    <w:rPr>
                      <w:rFonts w:eastAsia="Arial Unicode MS"/>
                      <w:b/>
                      <w:bdr w:val="none" w:sz="0" w:space="0" w:color="auto" w:frame="1"/>
                      <w:lang w:eastAsia="en-US"/>
                    </w:rPr>
                  </w:pPr>
                  <w:r w:rsidRPr="00B54093">
                    <w:rPr>
                      <w:rFonts w:eastAsia="Arial Unicode MS"/>
                      <w:b/>
                      <w:bdr w:val="none" w:sz="0" w:space="0" w:color="auto" w:frame="1"/>
                      <w:lang w:eastAsia="en-US"/>
                    </w:rPr>
                    <w:t>Perkančioji organizacija</w:t>
                  </w:r>
                </w:p>
                <w:p w14:paraId="7D7C57F8" w14:textId="77777777" w:rsidR="00594896" w:rsidRPr="00B54093" w:rsidRDefault="00594896" w:rsidP="00B54093">
                  <w:pPr>
                    <w:jc w:val="both"/>
                  </w:pPr>
                  <w:r w:rsidRPr="00B54093">
                    <w:t>VšĮ Panevėžio miesto greitosios</w:t>
                  </w:r>
                </w:p>
                <w:p w14:paraId="2647C752" w14:textId="77777777" w:rsidR="00594896" w:rsidRPr="00B54093" w:rsidRDefault="00594896" w:rsidP="00B54093">
                  <w:pPr>
                    <w:jc w:val="both"/>
                  </w:pPr>
                  <w:r w:rsidRPr="00B54093">
                    <w:t>medicinos pagalbos stotis</w:t>
                  </w:r>
                </w:p>
                <w:p w14:paraId="2AB662F1" w14:textId="77777777" w:rsidR="00594896" w:rsidRPr="00B54093" w:rsidRDefault="00594896" w:rsidP="00B54093">
                  <w:pPr>
                    <w:jc w:val="both"/>
                  </w:pPr>
                  <w:r w:rsidRPr="00B54093">
                    <w:t>Įstaigos kodas 190430344</w:t>
                  </w:r>
                </w:p>
                <w:p w14:paraId="31FE7C56" w14:textId="77777777" w:rsidR="00594896" w:rsidRPr="00B54093" w:rsidRDefault="00594896" w:rsidP="00B54093">
                  <w:r w:rsidRPr="00B54093">
                    <w:t xml:space="preserve">Sietyno g. 5b, LT-35196 Panevėžys </w:t>
                  </w:r>
                </w:p>
                <w:p w14:paraId="0AF4BF58" w14:textId="77777777" w:rsidR="00594896" w:rsidRPr="00B54093" w:rsidRDefault="00594896" w:rsidP="00B54093">
                  <w:r w:rsidRPr="00B54093">
                    <w:t>Tel.: 8 45 501597</w:t>
                  </w:r>
                </w:p>
                <w:p w14:paraId="6A5D4D1C" w14:textId="77777777" w:rsidR="00594896" w:rsidRPr="00B54093" w:rsidRDefault="00594896" w:rsidP="00B54093">
                  <w:r w:rsidRPr="00B54093">
                    <w:t>A.S. Nr. LT24 7044 0600 0272 6530 5244</w:t>
                  </w:r>
                </w:p>
                <w:p w14:paraId="18642994" w14:textId="77777777" w:rsidR="00594896" w:rsidRPr="00B54093" w:rsidRDefault="00594896" w:rsidP="00B54093">
                  <w:r w:rsidRPr="00B54093">
                    <w:t>AB SEB bankas, Panevėžio filialas</w:t>
                  </w:r>
                </w:p>
                <w:p w14:paraId="559BD6A6" w14:textId="31A1A023" w:rsidR="00594896" w:rsidRPr="00B54093" w:rsidRDefault="00B54093" w:rsidP="00B54093">
                  <w:pPr>
                    <w:spacing w:before="240"/>
                    <w:jc w:val="both"/>
                    <w:rPr>
                      <w:rFonts w:eastAsia="Calibri"/>
                      <w:bdr w:val="none" w:sz="0" w:space="0" w:color="auto" w:frame="1"/>
                      <w:lang w:eastAsia="en-US"/>
                    </w:rPr>
                  </w:pPr>
                  <w:r w:rsidRPr="00B54093">
                    <w:rPr>
                      <w:rFonts w:eastAsia="Calibri"/>
                      <w:bdr w:val="none" w:sz="0" w:space="0" w:color="auto" w:frame="1"/>
                      <w:lang w:eastAsia="en-US"/>
                    </w:rPr>
                    <w:t>Direktorė</w:t>
                  </w:r>
                </w:p>
                <w:p w14:paraId="20893B54" w14:textId="37394401" w:rsidR="00B54093" w:rsidRPr="00B54093" w:rsidRDefault="00B54093" w:rsidP="00B54093">
                  <w:pPr>
                    <w:spacing w:before="240"/>
                    <w:jc w:val="both"/>
                    <w:rPr>
                      <w:rFonts w:eastAsia="Arial Unicode MS"/>
                      <w:bdr w:val="none" w:sz="0" w:space="0" w:color="auto" w:frame="1"/>
                      <w:lang w:eastAsia="en-US"/>
                    </w:rPr>
                  </w:pPr>
                  <w:r w:rsidRPr="00B54093">
                    <w:rPr>
                      <w:rFonts w:eastAsia="Calibri"/>
                      <w:bdr w:val="none" w:sz="0" w:space="0" w:color="auto" w:frame="1"/>
                      <w:lang w:eastAsia="en-US"/>
                    </w:rPr>
                    <w:t>Ūta Ramoškienė</w:t>
                  </w:r>
                </w:p>
                <w:p w14:paraId="56868DDF" w14:textId="77777777" w:rsidR="00594896" w:rsidRPr="00B54093" w:rsidRDefault="00594896" w:rsidP="00B54093">
                  <w:pPr>
                    <w:spacing w:before="120" w:after="120"/>
                    <w:jc w:val="both"/>
                    <w:rPr>
                      <w:rFonts w:eastAsia="Arial Unicode MS"/>
                      <w:bdr w:val="none" w:sz="0" w:space="0" w:color="auto" w:frame="1"/>
                      <w:lang w:eastAsia="en-US"/>
                    </w:rPr>
                  </w:pPr>
                  <w:r w:rsidRPr="00B54093">
                    <w:rPr>
                      <w:rFonts w:eastAsia="Arial Unicode MS"/>
                      <w:bdr w:val="none" w:sz="0" w:space="0" w:color="auto" w:frame="1"/>
                      <w:lang w:eastAsia="en-US"/>
                    </w:rPr>
                    <w:t>___________________________</w:t>
                  </w:r>
                </w:p>
                <w:p w14:paraId="02FD8F9D" w14:textId="77777777" w:rsidR="00594896" w:rsidRPr="00B54093" w:rsidRDefault="00594896" w:rsidP="00B54093">
                  <w:pPr>
                    <w:spacing w:before="120" w:after="120"/>
                    <w:jc w:val="both"/>
                    <w:rPr>
                      <w:rFonts w:eastAsia="Calibri"/>
                      <w:bdr w:val="none" w:sz="0" w:space="0" w:color="auto" w:frame="1"/>
                      <w:lang w:eastAsia="en-US"/>
                    </w:rPr>
                  </w:pPr>
                  <w:r w:rsidRPr="00B54093">
                    <w:rPr>
                      <w:rFonts w:eastAsia="Arial Unicode MS"/>
                      <w:bdr w:val="none" w:sz="0" w:space="0" w:color="auto" w:frame="1"/>
                      <w:lang w:eastAsia="en-US"/>
                    </w:rPr>
                    <w:t>(</w:t>
                  </w:r>
                  <w:r w:rsidRPr="00B54093">
                    <w:rPr>
                      <w:rFonts w:eastAsia="Calibri"/>
                      <w:i/>
                      <w:bdr w:val="none" w:sz="0" w:space="0" w:color="auto" w:frame="1"/>
                      <w:lang w:eastAsia="en-US"/>
                    </w:rPr>
                    <w:t>parašas)                                    A.V.</w:t>
                  </w:r>
                </w:p>
              </w:tc>
              <w:tc>
                <w:tcPr>
                  <w:tcW w:w="4480" w:type="dxa"/>
                </w:tcPr>
                <w:p w14:paraId="547B2737" w14:textId="77777777" w:rsidR="00594896" w:rsidRPr="00B54093" w:rsidRDefault="00594896" w:rsidP="00B54093">
                  <w:pPr>
                    <w:spacing w:before="120" w:after="120"/>
                    <w:ind w:left="1296" w:hanging="1296"/>
                    <w:jc w:val="both"/>
                    <w:rPr>
                      <w:rFonts w:eastAsia="Calibri"/>
                      <w:b/>
                      <w:bdr w:val="none" w:sz="0" w:space="0" w:color="auto" w:frame="1"/>
                      <w:lang w:eastAsia="en-US"/>
                    </w:rPr>
                  </w:pPr>
                  <w:r w:rsidRPr="00B54093">
                    <w:rPr>
                      <w:rFonts w:eastAsia="Calibri"/>
                      <w:b/>
                      <w:bdr w:val="none" w:sz="0" w:space="0" w:color="auto" w:frame="1"/>
                      <w:lang w:eastAsia="en-US"/>
                    </w:rPr>
                    <w:t>Tiekėjas</w:t>
                  </w:r>
                </w:p>
                <w:p w14:paraId="4D849E6C" w14:textId="620707B3" w:rsidR="00594896" w:rsidRPr="00B54093" w:rsidRDefault="00D53122" w:rsidP="00B54093">
                  <w:pPr>
                    <w:jc w:val="both"/>
                    <w:rPr>
                      <w:rFonts w:eastAsia="Calibri"/>
                      <w:bdr w:val="none" w:sz="0" w:space="0" w:color="auto" w:frame="1"/>
                      <w:lang w:eastAsia="en-US"/>
                    </w:rPr>
                  </w:pPr>
                  <w:r w:rsidRPr="00B54093">
                    <w:rPr>
                      <w:rFonts w:eastAsia="Calibri"/>
                      <w:bdr w:val="none" w:sz="0" w:space="0" w:color="auto" w:frame="1"/>
                      <w:lang w:eastAsia="en-US"/>
                    </w:rPr>
                    <w:t>UAB „Lidl Lietuva“</w:t>
                  </w:r>
                  <w:r w:rsidRPr="00B54093" w:rsidDel="00D53122">
                    <w:rPr>
                      <w:rFonts w:eastAsia="Calibri"/>
                      <w:bdr w:val="none" w:sz="0" w:space="0" w:color="auto" w:frame="1"/>
                      <w:lang w:eastAsia="en-US"/>
                    </w:rPr>
                    <w:t xml:space="preserve"> </w:t>
                  </w:r>
                  <w:r w:rsidRPr="00B54093">
                    <w:rPr>
                      <w:rFonts w:eastAsia="Calibri"/>
                      <w:bdr w:val="none" w:sz="0" w:space="0" w:color="auto" w:frame="1"/>
                      <w:lang w:eastAsia="en-US"/>
                    </w:rPr>
                    <w:t>Viršuliškių skg. 34-1, LT-05132 Vilnius</w:t>
                  </w:r>
                  <w:r w:rsidRPr="00B54093" w:rsidDel="00D53122">
                    <w:rPr>
                      <w:rFonts w:eastAsia="Calibri"/>
                      <w:bdr w:val="none" w:sz="0" w:space="0" w:color="auto" w:frame="1"/>
                      <w:lang w:eastAsia="en-US"/>
                    </w:rPr>
                    <w:t xml:space="preserve"> </w:t>
                  </w:r>
                  <w:r w:rsidR="00610FA8" w:rsidRPr="00B54093">
                    <w:rPr>
                      <w:rFonts w:eastAsia="Calibri"/>
                      <w:bdr w:val="none" w:sz="0" w:space="0" w:color="auto" w:frame="1"/>
                      <w:lang w:eastAsia="en-US"/>
                    </w:rPr>
                    <w:t>111791015</w:t>
                  </w:r>
                  <w:r w:rsidR="00610FA8" w:rsidRPr="00B54093" w:rsidDel="00610FA8">
                    <w:rPr>
                      <w:rFonts w:eastAsia="Calibri"/>
                      <w:bdr w:val="none" w:sz="0" w:space="0" w:color="auto" w:frame="1"/>
                      <w:lang w:eastAsia="en-US"/>
                    </w:rPr>
                    <w:t xml:space="preserve"> </w:t>
                  </w:r>
                </w:p>
                <w:p w14:paraId="1EF55E1B" w14:textId="77777777" w:rsidR="00B54093" w:rsidRPr="00B54093" w:rsidRDefault="00610FA8" w:rsidP="00B54093">
                  <w:pPr>
                    <w:jc w:val="both"/>
                    <w:rPr>
                      <w:rFonts w:eastAsia="Calibri"/>
                      <w:bdr w:val="none" w:sz="0" w:space="0" w:color="auto" w:frame="1"/>
                      <w:lang w:eastAsia="en-US"/>
                    </w:rPr>
                  </w:pPr>
                  <w:r w:rsidRPr="00B54093">
                    <w:rPr>
                      <w:rFonts w:eastAsia="Calibri"/>
                      <w:bdr w:val="none" w:sz="0" w:space="0" w:color="auto" w:frame="1"/>
                      <w:lang w:eastAsia="en-US"/>
                    </w:rPr>
                    <w:t>LT117910113</w:t>
                  </w:r>
                  <w:r w:rsidRPr="00B54093" w:rsidDel="00610FA8">
                    <w:rPr>
                      <w:rFonts w:eastAsia="Calibri"/>
                      <w:bdr w:val="none" w:sz="0" w:space="0" w:color="auto" w:frame="1"/>
                      <w:lang w:eastAsia="en-US"/>
                    </w:rPr>
                    <w:t xml:space="preserve"> </w:t>
                  </w:r>
                </w:p>
                <w:p w14:paraId="6DD46542" w14:textId="4627F758" w:rsidR="00594896" w:rsidRPr="00B54093" w:rsidRDefault="00594896" w:rsidP="00B54093">
                  <w:pPr>
                    <w:jc w:val="both"/>
                    <w:rPr>
                      <w:rFonts w:eastAsia="Arial Unicode MS"/>
                      <w:bdr w:val="none" w:sz="0" w:space="0" w:color="auto" w:frame="1"/>
                      <w:lang w:eastAsia="en-US"/>
                    </w:rPr>
                  </w:pPr>
                  <w:r w:rsidRPr="00B54093">
                    <w:rPr>
                      <w:rFonts w:eastAsia="Arial Unicode MS"/>
                      <w:bdr w:val="none" w:sz="0" w:space="0" w:color="auto" w:frame="1"/>
                      <w:lang w:eastAsia="en-US"/>
                    </w:rPr>
                    <w:t>A</w:t>
                  </w:r>
                  <w:r w:rsidR="00D53122" w:rsidRPr="00B54093">
                    <w:rPr>
                      <w:rFonts w:eastAsia="Arial Unicode MS"/>
                      <w:bdr w:val="none" w:sz="0" w:space="0" w:color="auto" w:frame="1"/>
                      <w:lang w:eastAsia="en-US"/>
                    </w:rPr>
                    <w:t xml:space="preserve">.S. </w:t>
                  </w:r>
                  <w:r w:rsidRPr="00B54093">
                    <w:rPr>
                      <w:rFonts w:eastAsia="Arial Unicode MS"/>
                      <w:bdr w:val="none" w:sz="0" w:space="0" w:color="auto" w:frame="1"/>
                      <w:lang w:eastAsia="en-US"/>
                    </w:rPr>
                    <w:t>Nr.:</w:t>
                  </w:r>
                  <w:r w:rsidR="00D53122" w:rsidRPr="00B54093">
                    <w:rPr>
                      <w:rFonts w:eastAsia="Arial Unicode MS"/>
                      <w:bdr w:val="none" w:sz="0" w:space="0" w:color="auto" w:frame="1"/>
                      <w:lang w:eastAsia="en-US"/>
                    </w:rPr>
                    <w:t xml:space="preserve"> LT457300010082772256</w:t>
                  </w:r>
                </w:p>
                <w:p w14:paraId="083D8D64" w14:textId="4AB4A9FA" w:rsidR="00594896" w:rsidRPr="00B54093" w:rsidRDefault="00594896" w:rsidP="00B54093">
                  <w:pPr>
                    <w:jc w:val="both"/>
                    <w:rPr>
                      <w:rFonts w:eastAsia="Arial Unicode MS"/>
                      <w:bdr w:val="none" w:sz="0" w:space="0" w:color="auto" w:frame="1"/>
                      <w:lang w:eastAsia="en-US"/>
                    </w:rPr>
                  </w:pPr>
                  <w:r w:rsidRPr="00B54093">
                    <w:rPr>
                      <w:rFonts w:eastAsia="Arial Unicode MS"/>
                      <w:bdr w:val="none" w:sz="0" w:space="0" w:color="auto" w:frame="1"/>
                      <w:lang w:eastAsia="en-US"/>
                    </w:rPr>
                    <w:t>Tel.</w:t>
                  </w:r>
                  <w:r w:rsidR="00610FA8" w:rsidRPr="00B54093">
                    <w:rPr>
                      <w:rFonts w:eastAsia="Arial Unicode MS"/>
                      <w:bdr w:val="none" w:sz="0" w:space="0" w:color="auto" w:frame="1"/>
                      <w:lang w:eastAsia="en-US"/>
                    </w:rPr>
                    <w:t>: +370 5 2461801</w:t>
                  </w:r>
                </w:p>
                <w:p w14:paraId="3C65E4E8" w14:textId="14E4FAD1" w:rsidR="00594896" w:rsidRPr="00B54093" w:rsidRDefault="00594896" w:rsidP="00B54093">
                  <w:pPr>
                    <w:jc w:val="both"/>
                    <w:rPr>
                      <w:rFonts w:eastAsia="Arial Unicode MS"/>
                      <w:bdr w:val="none" w:sz="0" w:space="0" w:color="auto" w:frame="1"/>
                      <w:lang w:eastAsia="en-US"/>
                    </w:rPr>
                  </w:pPr>
                  <w:r w:rsidRPr="00B54093">
                    <w:rPr>
                      <w:rFonts w:eastAsia="Arial Unicode MS"/>
                      <w:bdr w:val="none" w:sz="0" w:space="0" w:color="auto" w:frame="1"/>
                      <w:lang w:eastAsia="en-US"/>
                    </w:rPr>
                    <w:t>El. paštas</w:t>
                  </w:r>
                  <w:r w:rsidR="00610FA8" w:rsidRPr="00B54093">
                    <w:rPr>
                      <w:rFonts w:eastAsia="Arial Unicode MS"/>
                      <w:bdr w:val="none" w:sz="0" w:space="0" w:color="auto" w:frame="1"/>
                      <w:lang w:eastAsia="en-US"/>
                    </w:rPr>
                    <w:t>: info</w:t>
                  </w:r>
                  <w:r w:rsidR="00610FA8" w:rsidRPr="00B54093">
                    <w:rPr>
                      <w:rFonts w:eastAsia="Arial Unicode MS"/>
                      <w:bdr w:val="none" w:sz="0" w:space="0" w:color="auto" w:frame="1"/>
                      <w:lang w:val="en-US" w:eastAsia="en-US"/>
                    </w:rPr>
                    <w:t>@lidl.lt</w:t>
                  </w:r>
                  <w:r w:rsidRPr="00B54093">
                    <w:rPr>
                      <w:rFonts w:eastAsia="Arial Unicode MS"/>
                      <w:bdr w:val="none" w:sz="0" w:space="0" w:color="auto" w:frame="1"/>
                      <w:lang w:eastAsia="en-US"/>
                    </w:rPr>
                    <w:t xml:space="preserve"> </w:t>
                  </w:r>
                </w:p>
                <w:p w14:paraId="21426B1B" w14:textId="2F76F00E" w:rsidR="00A03CCF" w:rsidRPr="00B54093" w:rsidRDefault="00A03CCF" w:rsidP="00B54093">
                  <w:pPr>
                    <w:spacing w:before="240"/>
                    <w:jc w:val="both"/>
                    <w:rPr>
                      <w:noProof/>
                    </w:rPr>
                  </w:pPr>
                  <w:r w:rsidRPr="00B54093">
                    <w:rPr>
                      <w:noProof/>
                    </w:rPr>
                    <w:t xml:space="preserve"> Finansų, apskaitos ir mokesčių departamento vadovė </w:t>
                  </w:r>
                </w:p>
                <w:p w14:paraId="2C0B7F3C" w14:textId="71CE0D14" w:rsidR="00594896" w:rsidRPr="00B54093" w:rsidRDefault="00A03CCF" w:rsidP="00B54093">
                  <w:pPr>
                    <w:spacing w:before="240"/>
                    <w:jc w:val="both"/>
                    <w:rPr>
                      <w:noProof/>
                    </w:rPr>
                  </w:pPr>
                  <w:r w:rsidRPr="00B54093">
                    <w:rPr>
                      <w:noProof/>
                    </w:rPr>
                    <w:t xml:space="preserve">Jurgita Maždžierė                                                                        </w:t>
                  </w:r>
                </w:p>
                <w:p w14:paraId="501CEA4D" w14:textId="77777777" w:rsidR="00594896" w:rsidRPr="00B54093" w:rsidRDefault="00594896" w:rsidP="00B54093">
                  <w:pPr>
                    <w:spacing w:before="120" w:after="120"/>
                    <w:jc w:val="both"/>
                    <w:rPr>
                      <w:rFonts w:eastAsia="Calibri"/>
                      <w:bdr w:val="none" w:sz="0" w:space="0" w:color="auto" w:frame="1"/>
                      <w:lang w:eastAsia="en-US"/>
                    </w:rPr>
                  </w:pPr>
                  <w:r w:rsidRPr="00B54093">
                    <w:rPr>
                      <w:rFonts w:eastAsia="Calibri"/>
                      <w:bdr w:val="none" w:sz="0" w:space="0" w:color="auto" w:frame="1"/>
                      <w:lang w:eastAsia="en-US"/>
                    </w:rPr>
                    <w:t>__________________________</w:t>
                  </w:r>
                </w:p>
                <w:p w14:paraId="00556D15" w14:textId="77777777" w:rsidR="00594896" w:rsidRPr="00B54093" w:rsidRDefault="00594896" w:rsidP="00B54093">
                  <w:pPr>
                    <w:spacing w:before="120" w:after="120"/>
                    <w:jc w:val="both"/>
                    <w:rPr>
                      <w:rFonts w:eastAsia="Calibri"/>
                      <w:bdr w:val="none" w:sz="0" w:space="0" w:color="auto" w:frame="1"/>
                      <w:lang w:eastAsia="en-US"/>
                    </w:rPr>
                  </w:pPr>
                  <w:r w:rsidRPr="00B54093">
                    <w:rPr>
                      <w:rFonts w:eastAsia="Arial Unicode MS"/>
                      <w:bdr w:val="none" w:sz="0" w:space="0" w:color="auto" w:frame="1"/>
                      <w:lang w:eastAsia="en-US"/>
                    </w:rPr>
                    <w:t>(</w:t>
                  </w:r>
                  <w:r w:rsidRPr="00B54093">
                    <w:rPr>
                      <w:rFonts w:eastAsia="Calibri"/>
                      <w:i/>
                      <w:bdr w:val="none" w:sz="0" w:space="0" w:color="auto" w:frame="1"/>
                      <w:lang w:eastAsia="en-US"/>
                    </w:rPr>
                    <w:t>parašas)                                   A.V.</w:t>
                  </w:r>
                </w:p>
                <w:p w14:paraId="16C83190" w14:textId="77777777" w:rsidR="00A03CCF" w:rsidRPr="00B54093" w:rsidRDefault="00A03CCF" w:rsidP="00A03CCF">
                  <w:pPr>
                    <w:pStyle w:val="Betarp"/>
                    <w:tabs>
                      <w:tab w:val="left" w:pos="5295"/>
                    </w:tabs>
                    <w:rPr>
                      <w:rFonts w:ascii="Times New Roman" w:hAnsi="Times New Roman"/>
                      <w:noProof/>
                      <w:sz w:val="24"/>
                      <w:szCs w:val="24"/>
                    </w:rPr>
                  </w:pPr>
                  <w:r w:rsidRPr="00B54093">
                    <w:rPr>
                      <w:rFonts w:ascii="Times New Roman" w:hAnsi="Times New Roman"/>
                      <w:noProof/>
                      <w:sz w:val="24"/>
                      <w:szCs w:val="24"/>
                    </w:rPr>
                    <w:t>Apskaitos skyriaus vadovė</w:t>
                  </w:r>
                </w:p>
                <w:p w14:paraId="7AA6D5DD" w14:textId="0CD241A0" w:rsidR="00A03CCF" w:rsidRPr="00B54093" w:rsidRDefault="00A03CCF" w:rsidP="00B54093">
                  <w:pPr>
                    <w:pStyle w:val="Betarp"/>
                    <w:tabs>
                      <w:tab w:val="left" w:pos="5295"/>
                    </w:tabs>
                    <w:rPr>
                      <w:rFonts w:ascii="Times New Roman" w:hAnsi="Times New Roman"/>
                      <w:noProof/>
                      <w:sz w:val="24"/>
                      <w:szCs w:val="24"/>
                    </w:rPr>
                  </w:pPr>
                  <w:r w:rsidRPr="00B54093">
                    <w:rPr>
                      <w:rFonts w:ascii="Times New Roman" w:hAnsi="Times New Roman"/>
                      <w:noProof/>
                      <w:sz w:val="24"/>
                      <w:szCs w:val="24"/>
                    </w:rPr>
                    <w:t xml:space="preserve">Ksenia Mikhalchuk          </w:t>
                  </w:r>
                </w:p>
                <w:p w14:paraId="6D6774B2" w14:textId="77777777" w:rsidR="00A03CCF" w:rsidRPr="00B54093" w:rsidRDefault="00A03CCF" w:rsidP="00A03CCF">
                  <w:pPr>
                    <w:spacing w:before="120" w:after="120"/>
                    <w:jc w:val="both"/>
                    <w:rPr>
                      <w:rFonts w:eastAsia="Calibri"/>
                      <w:bdr w:val="none" w:sz="0" w:space="0" w:color="auto" w:frame="1"/>
                      <w:lang w:eastAsia="en-US"/>
                    </w:rPr>
                  </w:pPr>
                  <w:r w:rsidRPr="00B54093">
                    <w:rPr>
                      <w:rFonts w:eastAsia="Calibri"/>
                      <w:bdr w:val="none" w:sz="0" w:space="0" w:color="auto" w:frame="1"/>
                      <w:lang w:eastAsia="en-US"/>
                    </w:rPr>
                    <w:t>__________________________</w:t>
                  </w:r>
                </w:p>
                <w:p w14:paraId="684681B0" w14:textId="079033B1" w:rsidR="00A03CCF" w:rsidRPr="00B54093" w:rsidRDefault="00A03CCF" w:rsidP="00B54093">
                  <w:pPr>
                    <w:spacing w:before="120" w:after="120"/>
                    <w:jc w:val="both"/>
                    <w:rPr>
                      <w:rFonts w:eastAsia="Calibri"/>
                      <w:bdr w:val="none" w:sz="0" w:space="0" w:color="auto" w:frame="1"/>
                      <w:lang w:eastAsia="en-US"/>
                    </w:rPr>
                  </w:pPr>
                  <w:r w:rsidRPr="00B54093">
                    <w:rPr>
                      <w:rFonts w:eastAsia="Arial Unicode MS"/>
                      <w:bdr w:val="none" w:sz="0" w:space="0" w:color="auto" w:frame="1"/>
                      <w:lang w:eastAsia="en-US"/>
                    </w:rPr>
                    <w:t>(</w:t>
                  </w:r>
                  <w:r w:rsidRPr="00B54093">
                    <w:rPr>
                      <w:rFonts w:eastAsia="Calibri"/>
                      <w:i/>
                      <w:bdr w:val="none" w:sz="0" w:space="0" w:color="auto" w:frame="1"/>
                      <w:lang w:eastAsia="en-US"/>
                    </w:rPr>
                    <w:t>parašas)                                   A.V.</w:t>
                  </w:r>
                </w:p>
              </w:tc>
            </w:tr>
          </w:tbl>
          <w:p w14:paraId="79BD2AB7" w14:textId="77777777" w:rsidR="00594896" w:rsidRDefault="00594896" w:rsidP="00B54093">
            <w:pPr>
              <w:spacing w:before="120" w:after="120"/>
              <w:jc w:val="both"/>
              <w:rPr>
                <w:rFonts w:eastAsia="Calibri"/>
                <w:bdr w:val="none" w:sz="0" w:space="0" w:color="auto" w:frame="1"/>
                <w:lang w:eastAsia="en-US"/>
              </w:rPr>
            </w:pPr>
          </w:p>
        </w:tc>
      </w:tr>
      <w:tr w:rsidR="00594896" w14:paraId="4D143D49" w14:textId="77777777" w:rsidTr="00B54093">
        <w:tc>
          <w:tcPr>
            <w:tcW w:w="709" w:type="dxa"/>
          </w:tcPr>
          <w:p w14:paraId="0A219B73" w14:textId="42D7734B" w:rsidR="00720187" w:rsidRPr="00720187" w:rsidRDefault="00720187" w:rsidP="00B54093">
            <w:pPr>
              <w:rPr>
                <w:rFonts w:eastAsia="SimSun"/>
                <w:lang w:eastAsia="en-US"/>
              </w:rPr>
            </w:pPr>
          </w:p>
        </w:tc>
        <w:tc>
          <w:tcPr>
            <w:tcW w:w="9214" w:type="dxa"/>
            <w:hideMark/>
          </w:tcPr>
          <w:p w14:paraId="4655393C" w14:textId="77777777" w:rsidR="00594896" w:rsidRDefault="00594896" w:rsidP="00B54093">
            <w:pPr>
              <w:spacing w:before="840" w:after="200"/>
              <w:jc w:val="both"/>
              <w:rPr>
                <w:rFonts w:eastAsia="Calibri"/>
                <w:bdr w:val="none" w:sz="0" w:space="0" w:color="auto" w:frame="1"/>
                <w:lang w:eastAsia="en-US"/>
              </w:rPr>
            </w:pPr>
            <w:r>
              <w:rPr>
                <w:rFonts w:eastAsia="Calibri"/>
                <w:bdr w:val="none" w:sz="0" w:space="0" w:color="auto" w:frame="1"/>
                <w:lang w:eastAsia="en-US"/>
              </w:rPr>
              <w:t>Už Sutarties vykdymą atsakingas asmuo:</w:t>
            </w:r>
          </w:p>
          <w:p w14:paraId="4E817DF3" w14:textId="77777777" w:rsidR="00594896" w:rsidRDefault="00594896" w:rsidP="00B54093">
            <w:pPr>
              <w:jc w:val="both"/>
              <w:rPr>
                <w:rFonts w:eastAsia="Calibri"/>
                <w:bdr w:val="none" w:sz="0" w:space="0" w:color="auto" w:frame="1"/>
                <w:lang w:eastAsia="en-US"/>
              </w:rPr>
            </w:pPr>
            <w:r>
              <w:rPr>
                <w:rFonts w:eastAsia="Calibri"/>
                <w:bdr w:val="none" w:sz="0" w:space="0" w:color="auto" w:frame="1"/>
                <w:lang w:eastAsia="en-US"/>
              </w:rPr>
              <w:t>_________________________________</w:t>
            </w:r>
          </w:p>
          <w:p w14:paraId="58C9B43C" w14:textId="3504A8C8" w:rsidR="00594896" w:rsidRDefault="00B54093" w:rsidP="00B54093">
            <w:pPr>
              <w:overflowPunct w:val="0"/>
              <w:autoSpaceDE w:val="0"/>
              <w:autoSpaceDN w:val="0"/>
              <w:adjustRightInd w:val="0"/>
              <w:snapToGrid w:val="0"/>
              <w:spacing w:before="120" w:after="120"/>
              <w:ind w:right="186"/>
              <w:jc w:val="both"/>
              <w:textAlignment w:val="baseline"/>
              <w:rPr>
                <w:rFonts w:eastAsia="Calibri"/>
                <w:lang w:eastAsia="en-US"/>
              </w:rPr>
            </w:pPr>
            <w:r>
              <w:rPr>
                <w:rFonts w:eastAsia="Calibri"/>
                <w:lang w:eastAsia="en-US"/>
              </w:rPr>
              <w:t>Ūkio dalies vedėja Indra Ereksonienė 2023-05-</w:t>
            </w:r>
          </w:p>
        </w:tc>
      </w:tr>
    </w:tbl>
    <w:p w14:paraId="1C7FEB0B" w14:textId="00E4118C" w:rsidR="00594896" w:rsidRDefault="00594896" w:rsidP="00594896">
      <w:pPr>
        <w:jc w:val="both"/>
        <w:rPr>
          <w:rFonts w:eastAsia="Arial Unicode MS"/>
          <w:bdr w:val="none" w:sz="0" w:space="0" w:color="auto" w:frame="1"/>
          <w:lang w:eastAsia="en-US"/>
        </w:rPr>
      </w:pPr>
    </w:p>
    <w:tbl>
      <w:tblPr>
        <w:tblW w:w="9681" w:type="dxa"/>
        <w:tblInd w:w="108" w:type="dxa"/>
        <w:tblLayout w:type="fixed"/>
        <w:tblLook w:val="04A0" w:firstRow="1" w:lastRow="0" w:firstColumn="1" w:lastColumn="0" w:noHBand="0" w:noVBand="1"/>
      </w:tblPr>
      <w:tblGrid>
        <w:gridCol w:w="9681"/>
      </w:tblGrid>
      <w:tr w:rsidR="00594896" w14:paraId="397C5E97" w14:textId="77777777" w:rsidTr="00B54093">
        <w:trPr>
          <w:trHeight w:val="1228"/>
        </w:trPr>
        <w:tc>
          <w:tcPr>
            <w:tcW w:w="9681" w:type="dxa"/>
            <w:hideMark/>
          </w:tcPr>
          <w:p w14:paraId="7268D072" w14:textId="3A87AE78" w:rsidR="00594896" w:rsidRDefault="00594896" w:rsidP="00B54093">
            <w:pPr>
              <w:overflowPunct w:val="0"/>
              <w:autoSpaceDE w:val="0"/>
              <w:autoSpaceDN w:val="0"/>
              <w:adjustRightInd w:val="0"/>
              <w:snapToGrid w:val="0"/>
              <w:ind w:right="186" w:firstLine="6129"/>
              <w:jc w:val="both"/>
              <w:textAlignment w:val="baseline"/>
              <w:rPr>
                <w:rFonts w:eastAsia="SimSun"/>
                <w:bCs/>
                <w:lang w:eastAsia="en-US"/>
              </w:rPr>
            </w:pPr>
            <w:r>
              <w:rPr>
                <w:lang w:eastAsia="en-US"/>
              </w:rPr>
              <w:br w:type="page"/>
              <w:t>202</w:t>
            </w:r>
            <w:r w:rsidR="00451389">
              <w:rPr>
                <w:lang w:eastAsia="en-US"/>
              </w:rPr>
              <w:t>3</w:t>
            </w:r>
            <w:r>
              <w:rPr>
                <w:rFonts w:eastAsia="SimSun"/>
                <w:bCs/>
                <w:lang w:eastAsia="en-US"/>
              </w:rPr>
              <w:t xml:space="preserve"> m.</w:t>
            </w:r>
            <w:r w:rsidR="00B54093">
              <w:rPr>
                <w:rFonts w:eastAsia="SimSun"/>
                <w:bCs/>
                <w:lang w:eastAsia="en-US"/>
              </w:rPr>
              <w:t xml:space="preserve"> gegužės  </w:t>
            </w:r>
            <w:r>
              <w:rPr>
                <w:rFonts w:eastAsia="SimSun"/>
                <w:bCs/>
                <w:lang w:eastAsia="en-US"/>
              </w:rPr>
              <w:t xml:space="preserve">d. </w:t>
            </w:r>
          </w:p>
          <w:p w14:paraId="3A11A23F" w14:textId="6EBD3318" w:rsidR="00594896" w:rsidRDefault="00594896" w:rsidP="00B54093">
            <w:pPr>
              <w:overflowPunct w:val="0"/>
              <w:autoSpaceDE w:val="0"/>
              <w:autoSpaceDN w:val="0"/>
              <w:adjustRightInd w:val="0"/>
              <w:snapToGrid w:val="0"/>
              <w:ind w:right="186" w:firstLine="6129"/>
              <w:textAlignment w:val="baseline"/>
              <w:rPr>
                <w:rFonts w:eastAsia="SimSun"/>
                <w:bCs/>
                <w:lang w:eastAsia="en-US"/>
              </w:rPr>
            </w:pPr>
            <w:r>
              <w:rPr>
                <w:rFonts w:eastAsia="SimSun"/>
                <w:bCs/>
                <w:lang w:eastAsia="en-US"/>
              </w:rPr>
              <w:t xml:space="preserve">prekių pirkimo sutarties Nr. </w:t>
            </w:r>
            <w:r w:rsidR="00B54093">
              <w:rPr>
                <w:rFonts w:eastAsia="SimSun"/>
                <w:bCs/>
                <w:lang w:eastAsia="en-US"/>
              </w:rPr>
              <w:t>GS-</w:t>
            </w:r>
            <w:r>
              <w:rPr>
                <w:rFonts w:eastAsia="SimSun"/>
                <w:bCs/>
                <w:lang w:eastAsia="en-US"/>
              </w:rPr>
              <w:t xml:space="preserve"> </w:t>
            </w:r>
          </w:p>
          <w:p w14:paraId="518A160A" w14:textId="77777777" w:rsidR="00594896" w:rsidRDefault="00594896" w:rsidP="00B54093">
            <w:pPr>
              <w:overflowPunct w:val="0"/>
              <w:autoSpaceDE w:val="0"/>
              <w:autoSpaceDN w:val="0"/>
              <w:adjustRightInd w:val="0"/>
              <w:snapToGrid w:val="0"/>
              <w:ind w:right="186" w:firstLine="6129"/>
              <w:jc w:val="both"/>
              <w:textAlignment w:val="baseline"/>
              <w:rPr>
                <w:rFonts w:eastAsia="SimSun"/>
                <w:lang w:eastAsia="en-US"/>
              </w:rPr>
            </w:pPr>
            <w:r>
              <w:rPr>
                <w:rFonts w:eastAsia="SimSun"/>
                <w:bCs/>
                <w:lang w:eastAsia="en-US"/>
              </w:rPr>
              <w:t>1 priedas</w:t>
            </w:r>
          </w:p>
        </w:tc>
      </w:tr>
      <w:tr w:rsidR="00594896" w14:paraId="5171DB7D" w14:textId="77777777" w:rsidTr="00B54093">
        <w:trPr>
          <w:trHeight w:val="11125"/>
        </w:trPr>
        <w:tc>
          <w:tcPr>
            <w:tcW w:w="9681" w:type="dxa"/>
            <w:hideMark/>
          </w:tcPr>
          <w:p w14:paraId="44F4CF2F" w14:textId="02D053E4" w:rsidR="00594896" w:rsidRDefault="001D0C94" w:rsidP="00B54093">
            <w:pPr>
              <w:snapToGrid w:val="0"/>
              <w:spacing w:before="360" w:after="120"/>
              <w:jc w:val="center"/>
              <w:rPr>
                <w:rFonts w:eastAsia="Arial Unicode MS"/>
                <w:b/>
                <w:bdr w:val="none" w:sz="0" w:space="0" w:color="auto" w:frame="1"/>
                <w:lang w:eastAsia="en-US"/>
              </w:rPr>
            </w:pPr>
            <w:r>
              <w:br w:type="page"/>
            </w:r>
            <w:r w:rsidR="00594896">
              <w:rPr>
                <w:rFonts w:eastAsia="Arial Unicode MS"/>
                <w:b/>
                <w:bdr w:val="none" w:sz="0" w:space="0" w:color="auto" w:frame="1"/>
                <w:lang w:eastAsia="en-US"/>
              </w:rPr>
              <w:t>TECHNINĖ SPECIFIKACIJA IR PREKIŲ ĮKAINIAI</w:t>
            </w:r>
          </w:p>
          <w:p w14:paraId="779ACD72" w14:textId="77777777" w:rsidR="001D0C94" w:rsidRDefault="001D0C94" w:rsidP="00B54093">
            <w:pPr>
              <w:snapToGrid w:val="0"/>
              <w:spacing w:before="360" w:after="120"/>
              <w:jc w:val="center"/>
              <w:rPr>
                <w:rFonts w:eastAsia="Arial Unicode MS"/>
                <w:b/>
                <w:bdr w:val="none" w:sz="0" w:space="0" w:color="auto" w:frame="1"/>
                <w:lang w:eastAsia="en-US"/>
              </w:rPr>
            </w:pPr>
          </w:p>
          <w:p w14:paraId="4AB6EEF1" w14:textId="72C62B7D" w:rsidR="001D0C94" w:rsidRDefault="001D0C94" w:rsidP="001D0C94">
            <w:pPr>
              <w:ind w:firstLine="426"/>
              <w:jc w:val="both"/>
            </w:pPr>
            <w:r>
              <w:t xml:space="preserve">1.1. Šio pirkimo objektas yra – </w:t>
            </w:r>
            <w:r w:rsidR="00701FDF">
              <w:t xml:space="preserve">plastikinės </w:t>
            </w:r>
            <w:r>
              <w:t>dovanų kortelės, kurios turi atitikti žemiau nurodytiems reikalavimams.</w:t>
            </w:r>
          </w:p>
          <w:p w14:paraId="66F95D6E" w14:textId="77777777" w:rsidR="001D0C94" w:rsidRDefault="001D0C94" w:rsidP="001D0C94">
            <w:pPr>
              <w:ind w:firstLine="426"/>
              <w:jc w:val="both"/>
            </w:pPr>
            <w:r>
              <w:t>1.2. Reikalavimai pirkimo objektui, jo savybės, techninės charakteristikos, ypatybės nurodytos žemiau (techninėje specifikacijoje):</w:t>
            </w:r>
          </w:p>
          <w:p w14:paraId="0782228D" w14:textId="18FA017D" w:rsidR="001D0C94" w:rsidRDefault="001D0C94" w:rsidP="001D0C94">
            <w:pPr>
              <w:ind w:firstLine="360"/>
              <w:jc w:val="both"/>
            </w:pPr>
            <w:r>
              <w:t>1.2.1. Perkama</w:t>
            </w:r>
            <w:r w:rsidR="00BB1565">
              <w:t xml:space="preserve"> plastikinės</w:t>
            </w:r>
            <w:r>
              <w:t xml:space="preserve"> dovanų kortelės. Perkamų </w:t>
            </w:r>
            <w:r w:rsidR="00BB1565">
              <w:t xml:space="preserve">plastikinių </w:t>
            </w:r>
            <w:r>
              <w:t>dovanų kortelių skaičius:</w:t>
            </w:r>
          </w:p>
          <w:p w14:paraId="267429AE" w14:textId="77777777" w:rsidR="001D0C94" w:rsidRPr="00295F7E" w:rsidRDefault="001D0C94" w:rsidP="001D0C94">
            <w:pPr>
              <w:numPr>
                <w:ilvl w:val="0"/>
                <w:numId w:val="4"/>
              </w:numPr>
              <w:jc w:val="both"/>
            </w:pPr>
            <w:r>
              <w:rPr>
                <w:b/>
              </w:rPr>
              <w:t xml:space="preserve">6 vnt. – 5 </w:t>
            </w:r>
            <w:r>
              <w:t>eurų nominalios vertės dovanų kortelės;</w:t>
            </w:r>
          </w:p>
          <w:p w14:paraId="516FC35D" w14:textId="77777777" w:rsidR="001D0C94" w:rsidRDefault="001D0C94" w:rsidP="001D0C94">
            <w:pPr>
              <w:numPr>
                <w:ilvl w:val="0"/>
                <w:numId w:val="4"/>
              </w:numPr>
              <w:jc w:val="both"/>
            </w:pPr>
            <w:r>
              <w:rPr>
                <w:b/>
              </w:rPr>
              <w:t xml:space="preserve">12 vnt. – 10 </w:t>
            </w:r>
            <w:r>
              <w:t>eurų nominalios vertės dovanų kortelės;</w:t>
            </w:r>
          </w:p>
          <w:p w14:paraId="47A6A7BE" w14:textId="77777777" w:rsidR="001D0C94" w:rsidRDefault="001D0C94" w:rsidP="001D0C94">
            <w:pPr>
              <w:numPr>
                <w:ilvl w:val="0"/>
                <w:numId w:val="4"/>
              </w:numPr>
              <w:jc w:val="both"/>
            </w:pPr>
            <w:r>
              <w:rPr>
                <w:b/>
              </w:rPr>
              <w:t>15 vnt. – 20</w:t>
            </w:r>
            <w:r>
              <w:t xml:space="preserve"> eurų nominalios vertės dovanų kortelės;</w:t>
            </w:r>
          </w:p>
          <w:p w14:paraId="5F7DFF82" w14:textId="77777777" w:rsidR="001D0C94" w:rsidRDefault="001D0C94" w:rsidP="001D0C94">
            <w:pPr>
              <w:numPr>
                <w:ilvl w:val="0"/>
                <w:numId w:val="4"/>
              </w:numPr>
              <w:jc w:val="both"/>
              <w:rPr>
                <w:b/>
              </w:rPr>
            </w:pPr>
            <w:r>
              <w:rPr>
                <w:b/>
              </w:rPr>
              <w:t>632 vnt. – 50</w:t>
            </w:r>
            <w:r>
              <w:t xml:space="preserve"> eurų nominalios vertės dovanų kortelės.</w:t>
            </w:r>
            <w:r>
              <w:rPr>
                <w:b/>
              </w:rPr>
              <w:t xml:space="preserve"> </w:t>
            </w:r>
          </w:p>
          <w:p w14:paraId="7FC0161C" w14:textId="77777777" w:rsidR="001D0C94" w:rsidRDefault="001D0C94" w:rsidP="001D0C94">
            <w:pPr>
              <w:ind w:firstLine="360"/>
              <w:jc w:val="both"/>
            </w:pPr>
            <w:r>
              <w:t>1.2.2. Reikalavimai:</w:t>
            </w:r>
          </w:p>
          <w:p w14:paraId="071D21FE" w14:textId="4EA6E700" w:rsidR="001D0C94" w:rsidRDefault="001D0C94" w:rsidP="001D0C94">
            <w:pPr>
              <w:ind w:firstLine="360"/>
              <w:jc w:val="both"/>
            </w:pPr>
            <w:r>
              <w:t xml:space="preserve">1.2.2.1. Dovanų kortelės turi galioti ne trumpiau, kaip </w:t>
            </w:r>
            <w:r w:rsidR="00BB1565">
              <w:t>6 (</w:t>
            </w:r>
            <w:r>
              <w:t>šešis</w:t>
            </w:r>
            <w:r w:rsidR="00BB1565">
              <w:t>)</w:t>
            </w:r>
            <w:r>
              <w:t xml:space="preserve"> mėnesius nuo jų įsigijimo dienos.</w:t>
            </w:r>
          </w:p>
          <w:p w14:paraId="03ADBD75" w14:textId="03552ECF" w:rsidR="001D0C94" w:rsidRDefault="001D0C94" w:rsidP="001D0C94">
            <w:pPr>
              <w:ind w:firstLine="360"/>
              <w:jc w:val="both"/>
            </w:pPr>
            <w:r>
              <w:t xml:space="preserve">1.2.2.2. Su Dovanų kortelėmis galima būtų atsiskaityti prekybos tinklo parduotuvėse </w:t>
            </w:r>
            <w:r w:rsidRPr="009B51CC">
              <w:rPr>
                <w:b/>
              </w:rPr>
              <w:t>(</w:t>
            </w:r>
            <w:r w:rsidR="00BB1565" w:rsidRPr="00D53122">
              <w:rPr>
                <w:rFonts w:eastAsia="Calibri"/>
                <w:bdr w:val="none" w:sz="0" w:space="0" w:color="auto" w:frame="1"/>
                <w:lang w:eastAsia="en-US"/>
              </w:rPr>
              <w:t>„</w:t>
            </w:r>
            <w:r w:rsidR="00451389">
              <w:rPr>
                <w:b/>
              </w:rPr>
              <w:t>L</w:t>
            </w:r>
            <w:r w:rsidR="00BB1565">
              <w:rPr>
                <w:b/>
              </w:rPr>
              <w:t>idl“ prekybos tinklo parduotuvės, esančios Lietuvos Respublikoje</w:t>
            </w:r>
            <w:r w:rsidRPr="009B51CC">
              <w:rPr>
                <w:b/>
              </w:rPr>
              <w:t>)</w:t>
            </w:r>
            <w:r>
              <w:t>. Prekybos tinklo parduotuvių turi būti ir Panevėžio mieste.</w:t>
            </w:r>
          </w:p>
          <w:p w14:paraId="3B49DD1D" w14:textId="77777777" w:rsidR="001D0C94" w:rsidRDefault="001D0C94" w:rsidP="001D0C94">
            <w:pPr>
              <w:ind w:firstLine="360"/>
              <w:jc w:val="both"/>
            </w:pPr>
            <w:r>
              <w:t>1.2.2.3. Dovanų kortelės į pinigus nekeičiamos.</w:t>
            </w:r>
          </w:p>
          <w:p w14:paraId="1BB47070" w14:textId="77777777" w:rsidR="001D0C94" w:rsidRDefault="001D0C94" w:rsidP="001D0C94">
            <w:pPr>
              <w:ind w:firstLine="360"/>
              <w:jc w:val="both"/>
            </w:pPr>
            <w:r>
              <w:t>1.2.2.4. Jeigu prekės kaina didesnė negu Dovanų kortelės vertė, sudaroma galimybė trūkstamą dalį sumokėti grynais pinigais ar banko kortele pirkimo vietoje.</w:t>
            </w:r>
          </w:p>
          <w:p w14:paraId="744A366D" w14:textId="77777777" w:rsidR="001D0C94" w:rsidRDefault="001D0C94" w:rsidP="001D0C94">
            <w:pPr>
              <w:ind w:firstLine="360"/>
              <w:jc w:val="both"/>
            </w:pPr>
            <w:r>
              <w:t>1.2.2.5. Dovanų kortelė daugkartinio naudojimo, kortele galima atsiskaityti kelis kartus, kol bus išnaudotas kortelės limitas.</w:t>
            </w:r>
          </w:p>
          <w:p w14:paraId="5E16E736" w14:textId="77777777" w:rsidR="001D0C94" w:rsidRDefault="001D0C94" w:rsidP="001D0C94">
            <w:pPr>
              <w:ind w:firstLine="360"/>
              <w:jc w:val="both"/>
            </w:pPr>
            <w:r>
              <w:t>1.2.2.6. Dovanų kortelės pristatomos per 1-2 d. d., nuo sutarties pasirašymo dienos.</w:t>
            </w:r>
          </w:p>
          <w:p w14:paraId="2FB0E6F3" w14:textId="0EA21D5D" w:rsidR="001D0C94" w:rsidRDefault="001D0C94" w:rsidP="00201460">
            <w:pPr>
              <w:ind w:firstLine="360"/>
              <w:jc w:val="both"/>
            </w:pPr>
            <w:r>
              <w:t>1.3.</w:t>
            </w:r>
            <w:r w:rsidR="00BB1565">
              <w:t xml:space="preserve"> </w:t>
            </w:r>
            <w:r>
              <w:t>Dovanų kortele atsiskaitoma už visas prekybos tinklo parduotuvėse siūlomas prekes</w:t>
            </w:r>
            <w:r w:rsidR="00201460">
              <w:t>, išskyrus dovanų kortelė negali būti naudojama alkoholio ir (ar) tabako gaminiams įsigyti ir (ar) apmokėti dalį šių prekių kainos</w:t>
            </w:r>
            <w:r>
              <w:t>. Prekybos tinklo parduotuvėse, be kitų prekių, turi būti prekiaujama:</w:t>
            </w:r>
          </w:p>
          <w:p w14:paraId="3098B412" w14:textId="77777777" w:rsidR="001D0C94" w:rsidRDefault="001D0C94" w:rsidP="001D0C94">
            <w:pPr>
              <w:ind w:firstLine="360"/>
              <w:jc w:val="both"/>
            </w:pPr>
            <w:r>
              <w:t>1.3.1 Maisto produktais;</w:t>
            </w:r>
          </w:p>
          <w:p w14:paraId="6D40EE6D" w14:textId="77777777" w:rsidR="001D0C94" w:rsidRDefault="001D0C94" w:rsidP="001D0C94">
            <w:pPr>
              <w:ind w:firstLine="360"/>
              <w:jc w:val="both"/>
            </w:pPr>
            <w:r>
              <w:t>1.3.2 Prekėmis namams;</w:t>
            </w:r>
          </w:p>
          <w:p w14:paraId="6F07CE45" w14:textId="77777777" w:rsidR="001D0C94" w:rsidRDefault="001D0C94" w:rsidP="001D0C94">
            <w:pPr>
              <w:ind w:firstLine="360"/>
              <w:jc w:val="both"/>
            </w:pPr>
            <w:r>
              <w:t>1.3.3 Apranga.</w:t>
            </w:r>
          </w:p>
          <w:p w14:paraId="198124E1" w14:textId="77777777" w:rsidR="001D0C94" w:rsidRDefault="001D0C94" w:rsidP="001D0C94">
            <w:pPr>
              <w:ind w:firstLine="360"/>
              <w:jc w:val="both"/>
            </w:pPr>
            <w:r>
              <w:t>1.4. Dovanų kortelių pristatymo vieta – Sietyno g. 5b, Panevėžys.</w:t>
            </w:r>
          </w:p>
          <w:p w14:paraId="0A70904D" w14:textId="34E2FEA9" w:rsidR="001D0C94" w:rsidRDefault="001D0C94" w:rsidP="001D0C94">
            <w:pPr>
              <w:ind w:firstLine="360"/>
              <w:jc w:val="both"/>
            </w:pPr>
            <w:r>
              <w:t>1.5.</w:t>
            </w:r>
            <w:r w:rsidR="00BB1565">
              <w:t xml:space="preserve"> </w:t>
            </w:r>
            <w:r>
              <w:t xml:space="preserve">Sutarčiai taikomas fiksuoto įkainio apskaičiavimo būdas, nustatytas ir taikomas vadovaujantis kainodaros taisyklių nustatymo metodika, patvirtinta Viešųjų pirkimų tarnybos direktoriaus 2017 m. birželio 28 d. įsakymu Nr.1S-95 „Dėl kainodaros taisyklių nustatymo metodikos patvirtinimo“. </w:t>
            </w:r>
          </w:p>
          <w:p w14:paraId="1B5C952B" w14:textId="77777777" w:rsidR="001D0C94" w:rsidRDefault="001D0C94" w:rsidP="001D0C94">
            <w:pPr>
              <w:ind w:firstLine="360"/>
              <w:jc w:val="both"/>
            </w:pPr>
            <w:r>
              <w:t>1.6. Sutartis su Konkurso laimėtoju bus sudaroma 6 mėnesių laikotarpiui, jo trukmę skaičiuojant nuo įsigaliojimo dienos.</w:t>
            </w:r>
          </w:p>
          <w:p w14:paraId="49D35921" w14:textId="112085CB" w:rsidR="001D0C94" w:rsidRDefault="001D0C94" w:rsidP="001D0C94">
            <w:pPr>
              <w:ind w:firstLine="360"/>
              <w:jc w:val="both"/>
            </w:pPr>
            <w:r>
              <w:t xml:space="preserve">1.7. Pirkimas nėra skaidomas į pirkimo dalis. Pasiūlymai turi būti teikiami visai nurodytai </w:t>
            </w:r>
            <w:r w:rsidRPr="00CD577F">
              <w:t>apimčiai.</w:t>
            </w:r>
          </w:p>
          <w:p w14:paraId="45D13F52" w14:textId="45379CCA" w:rsidR="00213407" w:rsidRDefault="00213407" w:rsidP="00213407">
            <w:pPr>
              <w:ind w:firstLine="360"/>
              <w:jc w:val="both"/>
            </w:pPr>
            <w:r>
              <w:t>1.8. Pirkėjas, gavęs dovanų kortelių perdavimo-priėmimo aktą, privalo jį pasirašyti ir persiųsti</w:t>
            </w:r>
          </w:p>
          <w:p w14:paraId="0776F58C" w14:textId="2EC50806" w:rsidR="00213407" w:rsidRDefault="00213407" w:rsidP="00213407">
            <w:pPr>
              <w:ind w:firstLine="360"/>
              <w:jc w:val="both"/>
            </w:pPr>
            <w:r>
              <w:t>Tiekėjui el. pašto adresu: finansai@lidl.lt per 3 (tris) kalendorines dienas nuo dovanų</w:t>
            </w:r>
          </w:p>
          <w:p w14:paraId="79B6BDA5" w14:textId="3543721A" w:rsidR="00213407" w:rsidRDefault="00213407" w:rsidP="00213407">
            <w:pPr>
              <w:ind w:firstLine="360"/>
              <w:jc w:val="both"/>
            </w:pPr>
            <w:r>
              <w:t>kortel</w:t>
            </w:r>
            <w:r w:rsidR="00720187">
              <w:t>ių</w:t>
            </w:r>
            <w:r>
              <w:t xml:space="preserve"> gavimo dienos.</w:t>
            </w:r>
          </w:p>
          <w:p w14:paraId="72964F36" w14:textId="3B2BEFA9" w:rsidR="00213407" w:rsidRDefault="00213407" w:rsidP="00213407">
            <w:pPr>
              <w:ind w:firstLine="360"/>
              <w:jc w:val="both"/>
            </w:pPr>
            <w:r>
              <w:t>1.9. Tiekėjas per 2 (dvi) darbo dienas, nuo pasirašyto dovanų kortelių perdavimo-priėmimo</w:t>
            </w:r>
          </w:p>
          <w:p w14:paraId="0B69B698" w14:textId="77777777" w:rsidR="00213407" w:rsidRDefault="00213407" w:rsidP="00213407">
            <w:pPr>
              <w:ind w:firstLine="360"/>
              <w:jc w:val="both"/>
            </w:pPr>
            <w:r>
              <w:lastRenderedPageBreak/>
              <w:t>akto gavimo, aktyvuos Sutarties Priede Nr. 1 nurodytas dovanų korteles. Pirkėjas pagal paskirtį</w:t>
            </w:r>
          </w:p>
          <w:p w14:paraId="27B97DC9" w14:textId="190D06FE" w:rsidR="00213407" w:rsidRDefault="00213407" w:rsidP="00213407">
            <w:pPr>
              <w:ind w:firstLine="360"/>
              <w:jc w:val="both"/>
            </w:pPr>
            <w:r>
              <w:t>gali naudoti tik aktyvuotas dovanų korteles.</w:t>
            </w:r>
            <w:r w:rsidR="00720187">
              <w:t xml:space="preserve"> </w:t>
            </w:r>
          </w:p>
          <w:p w14:paraId="23D20622" w14:textId="5F157C09" w:rsidR="00720187" w:rsidRDefault="00720187" w:rsidP="00213407">
            <w:pPr>
              <w:ind w:firstLine="360"/>
              <w:jc w:val="both"/>
            </w:pPr>
            <w:r>
              <w:t xml:space="preserve">1.10. </w:t>
            </w:r>
            <w:r w:rsidRPr="00720187">
              <w:t>Visa dovanų kortelių praradimo ir (ar) panaudojimo rizika nuo dovanų kortelių aktyvavimo momento tenka dovanų kortelės turėtojui.</w:t>
            </w:r>
          </w:p>
          <w:p w14:paraId="7C0358C5" w14:textId="05641FCF" w:rsidR="00720187" w:rsidRPr="00CD577F" w:rsidRDefault="00720187" w:rsidP="00720187">
            <w:pPr>
              <w:ind w:firstLine="360"/>
              <w:jc w:val="both"/>
            </w:pPr>
            <w:r>
              <w:t xml:space="preserve">1.11 </w:t>
            </w:r>
            <w:r w:rsidRPr="00720187">
              <w:t>Negalima grąžinti dovanų kortelių, kurios yra aktyvuotuos. Tiekėjas turi teisę, bet neprivalo, geranoriškai priimti dėl objektyviai pagrįstų priežasčių grąžinamas neaktyvuotas dovanų korteles. Grąžinti neaktyvuotas korteles dėl objektyviai pagrįstų priežasčių (pvz., kokybės trūkumai, kortelės brokas) galima tik Pirkėjui kreipiantis į Tiekėjo Klientų aptarnavimo skyrių nemokamos linijos telefonu 8 800 10011, jos darbo valandomis pirmadienį–penktadienį 8–18 val., arba parašius elektroninį laišką Tiekėjo adresu infolinija@lidl.lt</w:t>
            </w:r>
          </w:p>
          <w:p w14:paraId="4C0F1DE8" w14:textId="77A211E1" w:rsidR="001D0C94" w:rsidRDefault="001D0C94" w:rsidP="001D0C94">
            <w:pPr>
              <w:ind w:firstLine="360"/>
              <w:jc w:val="both"/>
            </w:pPr>
            <w:r w:rsidRPr="00CD577F">
              <w:t>1.</w:t>
            </w:r>
            <w:r w:rsidR="00213407">
              <w:t>1</w:t>
            </w:r>
            <w:r w:rsidR="00720187">
              <w:t>2</w:t>
            </w:r>
            <w:r w:rsidRPr="00CD577F">
              <w:t xml:space="preserve">. Tiekėjas po prekių pristatymo </w:t>
            </w:r>
            <w:r w:rsidR="00565BE6">
              <w:t xml:space="preserve">įsipareigoja  pateikti </w:t>
            </w:r>
            <w:r w:rsidR="00565BE6">
              <w:rPr>
                <w:rFonts w:eastAsia="Arial Unicode MS"/>
                <w:bdr w:val="none" w:sz="0" w:space="0" w:color="auto" w:frame="1"/>
                <w:lang w:eastAsia="en-US"/>
              </w:rPr>
              <w:t>PVM sąskaitą-faktūrą ar lygiavertį dokumentą  pagal sutarties 3.4.3 punktą.</w:t>
            </w:r>
          </w:p>
          <w:p w14:paraId="028D7489" w14:textId="5054DB15" w:rsidR="001D0C94" w:rsidRDefault="001D0C94" w:rsidP="001D0C94">
            <w:pPr>
              <w:ind w:firstLine="360"/>
              <w:jc w:val="both"/>
            </w:pPr>
          </w:p>
          <w:tbl>
            <w:tblPr>
              <w:tblW w:w="9511" w:type="dxa"/>
              <w:tblLayout w:type="fixed"/>
              <w:tblLook w:val="04A0" w:firstRow="1" w:lastRow="0" w:firstColumn="1" w:lastColumn="0" w:noHBand="0" w:noVBand="1"/>
            </w:tblPr>
            <w:tblGrid>
              <w:gridCol w:w="2870"/>
              <w:gridCol w:w="1104"/>
              <w:gridCol w:w="702"/>
              <w:gridCol w:w="266"/>
              <w:gridCol w:w="1934"/>
              <w:gridCol w:w="1248"/>
              <w:gridCol w:w="1227"/>
              <w:gridCol w:w="160"/>
            </w:tblGrid>
            <w:tr w:rsidR="00720187" w:rsidRPr="0053561F" w14:paraId="14E68883" w14:textId="77777777" w:rsidTr="00720187">
              <w:trPr>
                <w:trHeight w:val="627"/>
              </w:trPr>
              <w:tc>
                <w:tcPr>
                  <w:tcW w:w="2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EC2BF" w14:textId="77777777" w:rsidR="00565BE6" w:rsidRPr="0053561F" w:rsidRDefault="00565BE6" w:rsidP="00565BE6">
                  <w:pPr>
                    <w:jc w:val="center"/>
                    <w:rPr>
                      <w:b/>
                      <w:bCs/>
                      <w:sz w:val="22"/>
                      <w:szCs w:val="22"/>
                      <w:lang w:eastAsia="en-US"/>
                    </w:rPr>
                  </w:pPr>
                  <w:r w:rsidRPr="0053561F">
                    <w:rPr>
                      <w:b/>
                      <w:bCs/>
                      <w:sz w:val="22"/>
                      <w:szCs w:val="22"/>
                      <w:lang w:eastAsia="en-US"/>
                    </w:rPr>
                    <w:t>Pavadinimas</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1131D063" w14:textId="77777777" w:rsidR="00565BE6" w:rsidRPr="0053561F" w:rsidRDefault="00565BE6" w:rsidP="00565BE6">
                  <w:pPr>
                    <w:jc w:val="center"/>
                    <w:rPr>
                      <w:b/>
                      <w:bCs/>
                      <w:sz w:val="22"/>
                      <w:szCs w:val="22"/>
                      <w:lang w:eastAsia="en-US"/>
                    </w:rPr>
                  </w:pPr>
                  <w:r w:rsidRPr="0053561F">
                    <w:rPr>
                      <w:b/>
                      <w:bCs/>
                      <w:sz w:val="22"/>
                      <w:szCs w:val="22"/>
                      <w:lang w:eastAsia="en-US"/>
                    </w:rPr>
                    <w:t>Mato vnt.</w:t>
                  </w:r>
                </w:p>
              </w:tc>
              <w:tc>
                <w:tcPr>
                  <w:tcW w:w="968" w:type="dxa"/>
                  <w:gridSpan w:val="2"/>
                  <w:tcBorders>
                    <w:top w:val="single" w:sz="4" w:space="0" w:color="auto"/>
                    <w:left w:val="nil"/>
                    <w:bottom w:val="single" w:sz="4" w:space="0" w:color="auto"/>
                    <w:right w:val="single" w:sz="4" w:space="0" w:color="auto"/>
                  </w:tcBorders>
                  <w:shd w:val="clear" w:color="auto" w:fill="auto"/>
                  <w:vAlign w:val="center"/>
                  <w:hideMark/>
                </w:tcPr>
                <w:p w14:paraId="3F1425E1" w14:textId="77777777" w:rsidR="00565BE6" w:rsidRPr="0053561F" w:rsidRDefault="00565BE6" w:rsidP="00565BE6">
                  <w:pPr>
                    <w:jc w:val="center"/>
                    <w:rPr>
                      <w:b/>
                      <w:sz w:val="22"/>
                      <w:szCs w:val="22"/>
                      <w:lang w:eastAsia="en-US"/>
                    </w:rPr>
                  </w:pPr>
                  <w:r w:rsidRPr="0053561F">
                    <w:rPr>
                      <w:b/>
                      <w:sz w:val="22"/>
                      <w:szCs w:val="22"/>
                      <w:lang w:eastAsia="en-US"/>
                    </w:rPr>
                    <w:t>Kiekis</w:t>
                  </w:r>
                </w:p>
              </w:tc>
              <w:tc>
                <w:tcPr>
                  <w:tcW w:w="1935" w:type="dxa"/>
                  <w:tcBorders>
                    <w:top w:val="single" w:sz="4" w:space="0" w:color="auto"/>
                    <w:left w:val="nil"/>
                    <w:bottom w:val="single" w:sz="4" w:space="0" w:color="auto"/>
                    <w:right w:val="single" w:sz="4" w:space="0" w:color="auto"/>
                  </w:tcBorders>
                  <w:vAlign w:val="center"/>
                </w:tcPr>
                <w:p w14:paraId="02FE0BC3" w14:textId="77777777" w:rsidR="00565BE6" w:rsidRPr="0053561F" w:rsidRDefault="00565BE6" w:rsidP="00565BE6">
                  <w:pPr>
                    <w:jc w:val="center"/>
                    <w:rPr>
                      <w:b/>
                      <w:sz w:val="22"/>
                      <w:szCs w:val="22"/>
                      <w:lang w:eastAsia="en-US"/>
                    </w:rPr>
                  </w:pPr>
                  <w:r w:rsidRPr="0053561F">
                    <w:rPr>
                      <w:b/>
                      <w:sz w:val="22"/>
                      <w:szCs w:val="22"/>
                      <w:lang w:eastAsia="en-US"/>
                    </w:rPr>
                    <w:t>Vieno Vnt. kaina, Eur be PVM</w:t>
                  </w:r>
                </w:p>
              </w:tc>
              <w:tc>
                <w:tcPr>
                  <w:tcW w:w="1247" w:type="dxa"/>
                  <w:tcBorders>
                    <w:top w:val="single" w:sz="4" w:space="0" w:color="auto"/>
                    <w:left w:val="nil"/>
                    <w:bottom w:val="single" w:sz="4" w:space="0" w:color="auto"/>
                    <w:right w:val="single" w:sz="4" w:space="0" w:color="auto"/>
                  </w:tcBorders>
                  <w:vAlign w:val="center"/>
                </w:tcPr>
                <w:p w14:paraId="6715D98E" w14:textId="77777777" w:rsidR="00565BE6" w:rsidRPr="0053561F" w:rsidRDefault="00565BE6" w:rsidP="00565BE6">
                  <w:pPr>
                    <w:jc w:val="center"/>
                    <w:rPr>
                      <w:b/>
                      <w:sz w:val="22"/>
                      <w:szCs w:val="22"/>
                      <w:lang w:eastAsia="en-US"/>
                    </w:rPr>
                  </w:pPr>
                  <w:r w:rsidRPr="0053561F">
                    <w:rPr>
                      <w:b/>
                      <w:sz w:val="22"/>
                      <w:szCs w:val="22"/>
                      <w:lang w:eastAsia="en-US"/>
                    </w:rPr>
                    <w:t>Kaina, Eur be PVM</w:t>
                  </w:r>
                </w:p>
              </w:tc>
              <w:tc>
                <w:tcPr>
                  <w:tcW w:w="1383" w:type="dxa"/>
                  <w:gridSpan w:val="2"/>
                  <w:tcBorders>
                    <w:top w:val="single" w:sz="4" w:space="0" w:color="auto"/>
                    <w:left w:val="nil"/>
                    <w:bottom w:val="single" w:sz="4" w:space="0" w:color="auto"/>
                    <w:right w:val="single" w:sz="4" w:space="0" w:color="auto"/>
                  </w:tcBorders>
                  <w:vAlign w:val="center"/>
                </w:tcPr>
                <w:p w14:paraId="4C4812C0" w14:textId="77777777" w:rsidR="00565BE6" w:rsidRPr="0053561F" w:rsidRDefault="00565BE6" w:rsidP="00565BE6">
                  <w:pPr>
                    <w:jc w:val="center"/>
                    <w:rPr>
                      <w:b/>
                      <w:sz w:val="22"/>
                      <w:szCs w:val="22"/>
                      <w:lang w:eastAsia="en-US"/>
                    </w:rPr>
                  </w:pPr>
                  <w:r w:rsidRPr="0053561F">
                    <w:rPr>
                      <w:b/>
                      <w:sz w:val="22"/>
                      <w:szCs w:val="22"/>
                      <w:lang w:eastAsia="en-US"/>
                    </w:rPr>
                    <w:t>Kaina, Eur su PVM</w:t>
                  </w:r>
                </w:p>
              </w:tc>
            </w:tr>
            <w:tr w:rsidR="00720187" w:rsidRPr="0053561F" w14:paraId="6ABAC909" w14:textId="77777777" w:rsidTr="00720187">
              <w:trPr>
                <w:trHeight w:val="253"/>
              </w:trPr>
              <w:tc>
                <w:tcPr>
                  <w:tcW w:w="2871" w:type="dxa"/>
                  <w:tcBorders>
                    <w:top w:val="single" w:sz="4" w:space="0" w:color="auto"/>
                    <w:left w:val="single" w:sz="4" w:space="0" w:color="auto"/>
                    <w:bottom w:val="single" w:sz="4" w:space="0" w:color="auto"/>
                    <w:right w:val="single" w:sz="4" w:space="0" w:color="auto"/>
                  </w:tcBorders>
                  <w:shd w:val="clear" w:color="auto" w:fill="auto"/>
                  <w:vAlign w:val="bottom"/>
                </w:tcPr>
                <w:p w14:paraId="2F01546D" w14:textId="77777777" w:rsidR="00565BE6" w:rsidRPr="0053561F" w:rsidRDefault="00565BE6" w:rsidP="00565BE6">
                  <w:pPr>
                    <w:jc w:val="center"/>
                    <w:rPr>
                      <w:b/>
                      <w:bCs/>
                      <w:i/>
                      <w:sz w:val="22"/>
                      <w:szCs w:val="22"/>
                      <w:lang w:eastAsia="en-US"/>
                    </w:rPr>
                  </w:pPr>
                  <w:r w:rsidRPr="0053561F">
                    <w:rPr>
                      <w:b/>
                      <w:bCs/>
                      <w:i/>
                      <w:sz w:val="22"/>
                      <w:szCs w:val="22"/>
                      <w:lang w:eastAsia="en-US"/>
                    </w:rPr>
                    <w:t>1</w:t>
                  </w:r>
                </w:p>
              </w:tc>
              <w:tc>
                <w:tcPr>
                  <w:tcW w:w="1105" w:type="dxa"/>
                  <w:tcBorders>
                    <w:top w:val="single" w:sz="4" w:space="0" w:color="auto"/>
                    <w:left w:val="nil"/>
                    <w:bottom w:val="single" w:sz="4" w:space="0" w:color="auto"/>
                    <w:right w:val="single" w:sz="4" w:space="0" w:color="auto"/>
                  </w:tcBorders>
                  <w:shd w:val="clear" w:color="auto" w:fill="auto"/>
                  <w:vAlign w:val="bottom"/>
                </w:tcPr>
                <w:p w14:paraId="61109CCF" w14:textId="77777777" w:rsidR="00565BE6" w:rsidRPr="0053561F" w:rsidRDefault="00565BE6" w:rsidP="00565BE6">
                  <w:pPr>
                    <w:jc w:val="center"/>
                    <w:rPr>
                      <w:b/>
                      <w:bCs/>
                      <w:i/>
                      <w:sz w:val="22"/>
                      <w:szCs w:val="22"/>
                      <w:lang w:eastAsia="en-US"/>
                    </w:rPr>
                  </w:pPr>
                  <w:r w:rsidRPr="0053561F">
                    <w:rPr>
                      <w:b/>
                      <w:bCs/>
                      <w:i/>
                      <w:sz w:val="22"/>
                      <w:szCs w:val="22"/>
                      <w:lang w:eastAsia="en-US"/>
                    </w:rPr>
                    <w:t>2</w:t>
                  </w:r>
                </w:p>
              </w:tc>
              <w:tc>
                <w:tcPr>
                  <w:tcW w:w="968" w:type="dxa"/>
                  <w:gridSpan w:val="2"/>
                  <w:tcBorders>
                    <w:top w:val="single" w:sz="4" w:space="0" w:color="auto"/>
                    <w:left w:val="nil"/>
                    <w:bottom w:val="single" w:sz="4" w:space="0" w:color="auto"/>
                    <w:right w:val="single" w:sz="4" w:space="0" w:color="auto"/>
                  </w:tcBorders>
                  <w:shd w:val="clear" w:color="auto" w:fill="auto"/>
                  <w:vAlign w:val="center"/>
                </w:tcPr>
                <w:p w14:paraId="555C886A" w14:textId="77777777" w:rsidR="00565BE6" w:rsidRPr="0053561F" w:rsidRDefault="00565BE6" w:rsidP="00565BE6">
                  <w:pPr>
                    <w:jc w:val="center"/>
                    <w:rPr>
                      <w:b/>
                      <w:i/>
                      <w:sz w:val="22"/>
                      <w:szCs w:val="22"/>
                      <w:lang w:eastAsia="en-US"/>
                    </w:rPr>
                  </w:pPr>
                  <w:r w:rsidRPr="0053561F">
                    <w:rPr>
                      <w:b/>
                      <w:i/>
                      <w:sz w:val="22"/>
                      <w:szCs w:val="22"/>
                      <w:lang w:eastAsia="en-US"/>
                    </w:rPr>
                    <w:t>3</w:t>
                  </w:r>
                </w:p>
              </w:tc>
              <w:tc>
                <w:tcPr>
                  <w:tcW w:w="1935" w:type="dxa"/>
                  <w:tcBorders>
                    <w:top w:val="single" w:sz="4" w:space="0" w:color="auto"/>
                    <w:left w:val="nil"/>
                    <w:bottom w:val="single" w:sz="4" w:space="0" w:color="auto"/>
                    <w:right w:val="single" w:sz="4" w:space="0" w:color="auto"/>
                  </w:tcBorders>
                  <w:vAlign w:val="center"/>
                </w:tcPr>
                <w:p w14:paraId="59EA34D4" w14:textId="77777777" w:rsidR="00565BE6" w:rsidRPr="0053561F" w:rsidRDefault="00565BE6" w:rsidP="00565BE6">
                  <w:pPr>
                    <w:jc w:val="center"/>
                    <w:rPr>
                      <w:b/>
                      <w:i/>
                      <w:sz w:val="22"/>
                      <w:szCs w:val="22"/>
                      <w:lang w:val="en-US" w:eastAsia="en-US"/>
                    </w:rPr>
                  </w:pPr>
                  <w:r w:rsidRPr="0053561F">
                    <w:rPr>
                      <w:b/>
                      <w:i/>
                      <w:sz w:val="22"/>
                      <w:szCs w:val="22"/>
                      <w:lang w:eastAsia="en-US"/>
                    </w:rPr>
                    <w:t>4</w:t>
                  </w:r>
                </w:p>
              </w:tc>
              <w:tc>
                <w:tcPr>
                  <w:tcW w:w="1247" w:type="dxa"/>
                  <w:tcBorders>
                    <w:top w:val="single" w:sz="4" w:space="0" w:color="auto"/>
                    <w:left w:val="nil"/>
                    <w:bottom w:val="single" w:sz="4" w:space="0" w:color="auto"/>
                    <w:right w:val="single" w:sz="4" w:space="0" w:color="auto"/>
                  </w:tcBorders>
                </w:tcPr>
                <w:p w14:paraId="08F99F8E" w14:textId="77777777" w:rsidR="00565BE6" w:rsidRPr="0053561F" w:rsidRDefault="00565BE6" w:rsidP="00565BE6">
                  <w:pPr>
                    <w:jc w:val="center"/>
                    <w:rPr>
                      <w:b/>
                      <w:i/>
                      <w:sz w:val="22"/>
                      <w:szCs w:val="22"/>
                      <w:lang w:eastAsia="en-US"/>
                    </w:rPr>
                  </w:pPr>
                  <w:r w:rsidRPr="0053561F">
                    <w:rPr>
                      <w:b/>
                      <w:i/>
                      <w:sz w:val="22"/>
                      <w:szCs w:val="22"/>
                      <w:lang w:eastAsia="en-US"/>
                    </w:rPr>
                    <w:t>5=(3*4)</w:t>
                  </w:r>
                </w:p>
              </w:tc>
              <w:tc>
                <w:tcPr>
                  <w:tcW w:w="1383" w:type="dxa"/>
                  <w:gridSpan w:val="2"/>
                  <w:tcBorders>
                    <w:top w:val="single" w:sz="4" w:space="0" w:color="auto"/>
                    <w:left w:val="nil"/>
                    <w:bottom w:val="single" w:sz="4" w:space="0" w:color="auto"/>
                    <w:right w:val="single" w:sz="4" w:space="0" w:color="auto"/>
                  </w:tcBorders>
                  <w:vAlign w:val="center"/>
                </w:tcPr>
                <w:p w14:paraId="6B6ACBB2" w14:textId="77777777" w:rsidR="00565BE6" w:rsidRPr="0053561F" w:rsidRDefault="00565BE6" w:rsidP="00565BE6">
                  <w:pPr>
                    <w:jc w:val="center"/>
                    <w:rPr>
                      <w:b/>
                      <w:i/>
                      <w:sz w:val="22"/>
                      <w:szCs w:val="22"/>
                      <w:lang w:eastAsia="en-US"/>
                    </w:rPr>
                  </w:pPr>
                  <w:r w:rsidRPr="0053561F">
                    <w:rPr>
                      <w:b/>
                      <w:i/>
                      <w:sz w:val="22"/>
                      <w:szCs w:val="22"/>
                      <w:lang w:eastAsia="en-US"/>
                    </w:rPr>
                    <w:t>6=(5+PVM)</w:t>
                  </w:r>
                </w:p>
              </w:tc>
            </w:tr>
            <w:tr w:rsidR="00720187" w:rsidRPr="0053561F" w14:paraId="3D9FD0B3" w14:textId="77777777" w:rsidTr="00720187">
              <w:trPr>
                <w:trHeight w:val="333"/>
              </w:trPr>
              <w:tc>
                <w:tcPr>
                  <w:tcW w:w="2871" w:type="dxa"/>
                  <w:tcBorders>
                    <w:top w:val="single" w:sz="4" w:space="0" w:color="auto"/>
                    <w:left w:val="single" w:sz="4" w:space="0" w:color="auto"/>
                    <w:bottom w:val="single" w:sz="4" w:space="0" w:color="auto"/>
                    <w:right w:val="single" w:sz="4" w:space="0" w:color="auto"/>
                  </w:tcBorders>
                  <w:shd w:val="clear" w:color="auto" w:fill="auto"/>
                  <w:noWrap/>
                </w:tcPr>
                <w:p w14:paraId="7EF4DF89" w14:textId="77777777" w:rsidR="00565BE6" w:rsidRPr="0053561F" w:rsidRDefault="00565BE6" w:rsidP="00565BE6">
                  <w:pPr>
                    <w:spacing w:after="120"/>
                    <w:jc w:val="both"/>
                    <w:rPr>
                      <w:szCs w:val="20"/>
                      <w:lang w:eastAsia="en-US"/>
                    </w:rPr>
                  </w:pPr>
                  <w:r w:rsidRPr="0053561F">
                    <w:rPr>
                      <w:szCs w:val="20"/>
                      <w:lang w:eastAsia="en-US"/>
                    </w:rPr>
                    <w:t>5 eurų nominalios vertės dovanų kortelė*</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33076E5" w14:textId="77777777" w:rsidR="00565BE6" w:rsidRPr="0053561F" w:rsidRDefault="00565BE6" w:rsidP="00565BE6">
                  <w:pPr>
                    <w:jc w:val="center"/>
                    <w:rPr>
                      <w:sz w:val="22"/>
                      <w:szCs w:val="22"/>
                      <w:lang w:eastAsia="en-US"/>
                    </w:rPr>
                  </w:pPr>
                  <w:r w:rsidRPr="0053561F">
                    <w:rPr>
                      <w:sz w:val="22"/>
                      <w:szCs w:val="22"/>
                      <w:lang w:eastAsia="en-US"/>
                    </w:rPr>
                    <w:t>vnt.</w:t>
                  </w:r>
                </w:p>
              </w:tc>
              <w:tc>
                <w:tcPr>
                  <w:tcW w:w="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DE6DD" w14:textId="77777777" w:rsidR="00565BE6" w:rsidRPr="0053561F" w:rsidRDefault="00565BE6" w:rsidP="00565BE6">
                  <w:pPr>
                    <w:jc w:val="center"/>
                    <w:rPr>
                      <w:sz w:val="22"/>
                      <w:szCs w:val="22"/>
                      <w:lang w:eastAsia="en-US"/>
                    </w:rPr>
                  </w:pPr>
                  <w:r>
                    <w:rPr>
                      <w:sz w:val="22"/>
                      <w:szCs w:val="22"/>
                      <w:lang w:eastAsia="en-US"/>
                    </w:rPr>
                    <w:t>6</w:t>
                  </w:r>
                </w:p>
              </w:tc>
              <w:tc>
                <w:tcPr>
                  <w:tcW w:w="1935" w:type="dxa"/>
                  <w:tcBorders>
                    <w:top w:val="single" w:sz="4" w:space="0" w:color="auto"/>
                    <w:left w:val="single" w:sz="4" w:space="0" w:color="auto"/>
                    <w:bottom w:val="single" w:sz="4" w:space="0" w:color="auto"/>
                    <w:right w:val="single" w:sz="4" w:space="0" w:color="auto"/>
                  </w:tcBorders>
                </w:tcPr>
                <w:p w14:paraId="589E848D" w14:textId="77777777" w:rsidR="00565BE6" w:rsidRDefault="00565BE6" w:rsidP="00565BE6">
                  <w:pPr>
                    <w:jc w:val="center"/>
                    <w:rPr>
                      <w:sz w:val="22"/>
                      <w:szCs w:val="22"/>
                      <w:lang w:eastAsia="en-US"/>
                    </w:rPr>
                  </w:pPr>
                </w:p>
                <w:p w14:paraId="544FEE03" w14:textId="77777777" w:rsidR="00565BE6" w:rsidRPr="0053561F" w:rsidRDefault="00565BE6" w:rsidP="00565BE6">
                  <w:pPr>
                    <w:jc w:val="center"/>
                    <w:rPr>
                      <w:sz w:val="22"/>
                      <w:szCs w:val="22"/>
                      <w:lang w:eastAsia="en-US"/>
                    </w:rPr>
                  </w:pPr>
                  <w:r>
                    <w:rPr>
                      <w:sz w:val="22"/>
                      <w:szCs w:val="22"/>
                      <w:lang w:eastAsia="en-US"/>
                    </w:rPr>
                    <w:t>4,50</w:t>
                  </w:r>
                </w:p>
              </w:tc>
              <w:tc>
                <w:tcPr>
                  <w:tcW w:w="1247" w:type="dxa"/>
                  <w:tcBorders>
                    <w:top w:val="single" w:sz="4" w:space="0" w:color="auto"/>
                    <w:left w:val="single" w:sz="4" w:space="0" w:color="auto"/>
                    <w:bottom w:val="single" w:sz="4" w:space="0" w:color="auto"/>
                    <w:right w:val="single" w:sz="4" w:space="0" w:color="auto"/>
                  </w:tcBorders>
                </w:tcPr>
                <w:p w14:paraId="196ACC4C" w14:textId="77777777" w:rsidR="00565BE6" w:rsidRDefault="00565BE6" w:rsidP="00565BE6">
                  <w:pPr>
                    <w:jc w:val="center"/>
                    <w:rPr>
                      <w:sz w:val="22"/>
                      <w:szCs w:val="22"/>
                      <w:lang w:eastAsia="en-US"/>
                    </w:rPr>
                  </w:pPr>
                </w:p>
                <w:p w14:paraId="312C45F8" w14:textId="77777777" w:rsidR="00565BE6" w:rsidRPr="0053561F" w:rsidRDefault="00565BE6" w:rsidP="00565BE6">
                  <w:pPr>
                    <w:jc w:val="center"/>
                    <w:rPr>
                      <w:sz w:val="22"/>
                      <w:szCs w:val="22"/>
                      <w:lang w:eastAsia="en-US"/>
                    </w:rPr>
                  </w:pPr>
                  <w:r>
                    <w:rPr>
                      <w:sz w:val="22"/>
                      <w:szCs w:val="22"/>
                      <w:lang w:eastAsia="en-US"/>
                    </w:rPr>
                    <w:t>27,00</w:t>
                  </w: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A850414" w14:textId="77777777" w:rsidR="00565BE6" w:rsidRPr="0053561F" w:rsidRDefault="00565BE6" w:rsidP="00565BE6">
                  <w:pPr>
                    <w:jc w:val="center"/>
                    <w:rPr>
                      <w:sz w:val="22"/>
                      <w:szCs w:val="22"/>
                      <w:lang w:eastAsia="en-US"/>
                    </w:rPr>
                  </w:pPr>
                  <w:r>
                    <w:rPr>
                      <w:sz w:val="22"/>
                      <w:szCs w:val="22"/>
                      <w:lang w:eastAsia="en-US"/>
                    </w:rPr>
                    <w:t>27,00</w:t>
                  </w:r>
                </w:p>
              </w:tc>
            </w:tr>
            <w:tr w:rsidR="00720187" w:rsidRPr="0053561F" w14:paraId="65EAF753" w14:textId="77777777" w:rsidTr="00720187">
              <w:trPr>
                <w:trHeight w:val="333"/>
              </w:trPr>
              <w:tc>
                <w:tcPr>
                  <w:tcW w:w="2871" w:type="dxa"/>
                  <w:tcBorders>
                    <w:top w:val="single" w:sz="4" w:space="0" w:color="auto"/>
                    <w:left w:val="single" w:sz="4" w:space="0" w:color="auto"/>
                    <w:bottom w:val="single" w:sz="4" w:space="0" w:color="auto"/>
                    <w:right w:val="single" w:sz="4" w:space="0" w:color="auto"/>
                  </w:tcBorders>
                  <w:shd w:val="clear" w:color="auto" w:fill="auto"/>
                  <w:noWrap/>
                </w:tcPr>
                <w:p w14:paraId="36345E21" w14:textId="77777777" w:rsidR="00565BE6" w:rsidRPr="0053561F" w:rsidRDefault="00565BE6" w:rsidP="00565BE6">
                  <w:pPr>
                    <w:spacing w:after="120"/>
                    <w:jc w:val="both"/>
                    <w:rPr>
                      <w:szCs w:val="20"/>
                      <w:lang w:eastAsia="en-US"/>
                    </w:rPr>
                  </w:pPr>
                  <w:r w:rsidRPr="0053561F">
                    <w:rPr>
                      <w:szCs w:val="20"/>
                      <w:lang w:eastAsia="en-US"/>
                    </w:rPr>
                    <w:t>10 eurų nominalios vertės dovanų kortelė*</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0BDEA6" w14:textId="77777777" w:rsidR="00565BE6" w:rsidRPr="0053561F" w:rsidRDefault="00565BE6" w:rsidP="00565BE6">
                  <w:pPr>
                    <w:jc w:val="center"/>
                    <w:rPr>
                      <w:sz w:val="22"/>
                      <w:szCs w:val="22"/>
                      <w:lang w:eastAsia="en-US"/>
                    </w:rPr>
                  </w:pPr>
                  <w:r w:rsidRPr="0053561F">
                    <w:rPr>
                      <w:sz w:val="22"/>
                      <w:szCs w:val="22"/>
                      <w:lang w:eastAsia="en-US"/>
                    </w:rPr>
                    <w:t>vnt.</w:t>
                  </w:r>
                </w:p>
              </w:tc>
              <w:tc>
                <w:tcPr>
                  <w:tcW w:w="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944CB" w14:textId="77777777" w:rsidR="00565BE6" w:rsidRPr="0053561F" w:rsidRDefault="00565BE6" w:rsidP="00565BE6">
                  <w:pPr>
                    <w:jc w:val="center"/>
                    <w:rPr>
                      <w:sz w:val="22"/>
                      <w:szCs w:val="22"/>
                      <w:lang w:eastAsia="en-US"/>
                    </w:rPr>
                  </w:pPr>
                  <w:r w:rsidRPr="0053561F">
                    <w:rPr>
                      <w:sz w:val="22"/>
                      <w:szCs w:val="22"/>
                      <w:lang w:eastAsia="en-US"/>
                    </w:rPr>
                    <w:t>1</w:t>
                  </w:r>
                  <w:r>
                    <w:rPr>
                      <w:sz w:val="22"/>
                      <w:szCs w:val="22"/>
                      <w:lang w:eastAsia="en-US"/>
                    </w:rPr>
                    <w:t>2</w:t>
                  </w:r>
                </w:p>
              </w:tc>
              <w:tc>
                <w:tcPr>
                  <w:tcW w:w="1935" w:type="dxa"/>
                  <w:tcBorders>
                    <w:top w:val="single" w:sz="4" w:space="0" w:color="auto"/>
                    <w:left w:val="single" w:sz="4" w:space="0" w:color="auto"/>
                    <w:bottom w:val="single" w:sz="4" w:space="0" w:color="auto"/>
                    <w:right w:val="single" w:sz="4" w:space="0" w:color="auto"/>
                  </w:tcBorders>
                </w:tcPr>
                <w:p w14:paraId="1D810C52" w14:textId="77777777" w:rsidR="00565BE6" w:rsidRDefault="00565BE6" w:rsidP="00565BE6">
                  <w:pPr>
                    <w:jc w:val="center"/>
                    <w:rPr>
                      <w:sz w:val="22"/>
                      <w:szCs w:val="22"/>
                      <w:lang w:eastAsia="en-US"/>
                    </w:rPr>
                  </w:pPr>
                </w:p>
                <w:p w14:paraId="7AC260E7" w14:textId="77777777" w:rsidR="00565BE6" w:rsidRPr="0053561F" w:rsidRDefault="00565BE6" w:rsidP="00565BE6">
                  <w:pPr>
                    <w:jc w:val="center"/>
                    <w:rPr>
                      <w:sz w:val="22"/>
                      <w:szCs w:val="22"/>
                      <w:lang w:eastAsia="en-US"/>
                    </w:rPr>
                  </w:pPr>
                  <w:r>
                    <w:rPr>
                      <w:sz w:val="22"/>
                      <w:szCs w:val="22"/>
                      <w:lang w:eastAsia="en-US"/>
                    </w:rPr>
                    <w:t>9,00</w:t>
                  </w:r>
                </w:p>
              </w:tc>
              <w:tc>
                <w:tcPr>
                  <w:tcW w:w="1247" w:type="dxa"/>
                  <w:tcBorders>
                    <w:top w:val="single" w:sz="4" w:space="0" w:color="auto"/>
                    <w:left w:val="single" w:sz="4" w:space="0" w:color="auto"/>
                    <w:bottom w:val="single" w:sz="4" w:space="0" w:color="auto"/>
                    <w:right w:val="single" w:sz="4" w:space="0" w:color="auto"/>
                  </w:tcBorders>
                </w:tcPr>
                <w:p w14:paraId="0E0C8A30" w14:textId="77777777" w:rsidR="00565BE6" w:rsidRDefault="00565BE6" w:rsidP="00565BE6">
                  <w:pPr>
                    <w:jc w:val="center"/>
                    <w:rPr>
                      <w:sz w:val="22"/>
                      <w:szCs w:val="22"/>
                      <w:lang w:eastAsia="en-US"/>
                    </w:rPr>
                  </w:pPr>
                </w:p>
                <w:p w14:paraId="121E081D" w14:textId="77777777" w:rsidR="00565BE6" w:rsidRPr="0053561F" w:rsidRDefault="00565BE6" w:rsidP="00565BE6">
                  <w:pPr>
                    <w:jc w:val="center"/>
                    <w:rPr>
                      <w:sz w:val="22"/>
                      <w:szCs w:val="22"/>
                      <w:lang w:eastAsia="en-US"/>
                    </w:rPr>
                  </w:pPr>
                  <w:r>
                    <w:rPr>
                      <w:sz w:val="22"/>
                      <w:szCs w:val="22"/>
                      <w:lang w:eastAsia="en-US"/>
                    </w:rPr>
                    <w:t>108,00</w:t>
                  </w: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252A0E9D" w14:textId="77777777" w:rsidR="00565BE6" w:rsidRPr="0053561F" w:rsidRDefault="00565BE6" w:rsidP="00565BE6">
                  <w:pPr>
                    <w:jc w:val="center"/>
                    <w:rPr>
                      <w:sz w:val="22"/>
                      <w:szCs w:val="22"/>
                      <w:lang w:eastAsia="en-US"/>
                    </w:rPr>
                  </w:pPr>
                  <w:r>
                    <w:rPr>
                      <w:sz w:val="22"/>
                      <w:szCs w:val="22"/>
                      <w:lang w:eastAsia="en-US"/>
                    </w:rPr>
                    <w:t>108,00</w:t>
                  </w:r>
                </w:p>
              </w:tc>
            </w:tr>
            <w:tr w:rsidR="00720187" w:rsidRPr="0053561F" w14:paraId="115C46C9" w14:textId="77777777" w:rsidTr="00720187">
              <w:trPr>
                <w:trHeight w:val="333"/>
              </w:trPr>
              <w:tc>
                <w:tcPr>
                  <w:tcW w:w="2871" w:type="dxa"/>
                  <w:tcBorders>
                    <w:top w:val="single" w:sz="4" w:space="0" w:color="auto"/>
                    <w:left w:val="single" w:sz="4" w:space="0" w:color="auto"/>
                    <w:bottom w:val="single" w:sz="4" w:space="0" w:color="auto"/>
                    <w:right w:val="single" w:sz="4" w:space="0" w:color="auto"/>
                  </w:tcBorders>
                  <w:shd w:val="clear" w:color="auto" w:fill="auto"/>
                  <w:noWrap/>
                </w:tcPr>
                <w:p w14:paraId="05CD316B" w14:textId="77777777" w:rsidR="00565BE6" w:rsidRPr="0053561F" w:rsidRDefault="00565BE6" w:rsidP="00565BE6">
                  <w:pPr>
                    <w:spacing w:after="120"/>
                    <w:jc w:val="both"/>
                    <w:rPr>
                      <w:sz w:val="22"/>
                      <w:szCs w:val="22"/>
                      <w:lang w:eastAsia="en-US"/>
                    </w:rPr>
                  </w:pPr>
                  <w:r w:rsidRPr="0053561F">
                    <w:rPr>
                      <w:szCs w:val="20"/>
                      <w:lang w:eastAsia="en-US"/>
                    </w:rPr>
                    <w:t>20 eurų nominalios vertės dovanų kortelė*</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2BED8FA4" w14:textId="77777777" w:rsidR="00565BE6" w:rsidRPr="0053561F" w:rsidRDefault="00565BE6" w:rsidP="00565BE6">
                  <w:pPr>
                    <w:jc w:val="center"/>
                    <w:rPr>
                      <w:sz w:val="22"/>
                      <w:szCs w:val="22"/>
                      <w:lang w:eastAsia="en-US"/>
                    </w:rPr>
                  </w:pPr>
                  <w:r w:rsidRPr="0053561F">
                    <w:rPr>
                      <w:sz w:val="22"/>
                      <w:szCs w:val="22"/>
                      <w:lang w:eastAsia="en-US"/>
                    </w:rPr>
                    <w:t>vnt.</w:t>
                  </w:r>
                </w:p>
              </w:tc>
              <w:tc>
                <w:tcPr>
                  <w:tcW w:w="968" w:type="dxa"/>
                  <w:gridSpan w:val="2"/>
                  <w:tcBorders>
                    <w:top w:val="single" w:sz="4" w:space="0" w:color="auto"/>
                    <w:left w:val="nil"/>
                    <w:bottom w:val="single" w:sz="4" w:space="0" w:color="auto"/>
                    <w:right w:val="single" w:sz="4" w:space="0" w:color="auto"/>
                  </w:tcBorders>
                  <w:shd w:val="clear" w:color="auto" w:fill="auto"/>
                  <w:vAlign w:val="center"/>
                  <w:hideMark/>
                </w:tcPr>
                <w:p w14:paraId="53AC6224" w14:textId="77777777" w:rsidR="00565BE6" w:rsidRPr="0053561F" w:rsidRDefault="00565BE6" w:rsidP="00565BE6">
                  <w:pPr>
                    <w:jc w:val="center"/>
                    <w:rPr>
                      <w:sz w:val="22"/>
                      <w:szCs w:val="22"/>
                      <w:lang w:eastAsia="en-US"/>
                    </w:rPr>
                  </w:pPr>
                  <w:r>
                    <w:rPr>
                      <w:sz w:val="22"/>
                      <w:szCs w:val="22"/>
                      <w:lang w:eastAsia="en-US"/>
                    </w:rPr>
                    <w:t>15</w:t>
                  </w:r>
                </w:p>
              </w:tc>
              <w:tc>
                <w:tcPr>
                  <w:tcW w:w="1935" w:type="dxa"/>
                  <w:tcBorders>
                    <w:top w:val="single" w:sz="4" w:space="0" w:color="auto"/>
                    <w:left w:val="nil"/>
                    <w:bottom w:val="single" w:sz="4" w:space="0" w:color="auto"/>
                    <w:right w:val="single" w:sz="4" w:space="0" w:color="auto"/>
                  </w:tcBorders>
                </w:tcPr>
                <w:p w14:paraId="173DD792" w14:textId="77777777" w:rsidR="00565BE6" w:rsidRDefault="00565BE6" w:rsidP="00565BE6">
                  <w:pPr>
                    <w:jc w:val="center"/>
                    <w:rPr>
                      <w:sz w:val="22"/>
                      <w:szCs w:val="22"/>
                      <w:lang w:eastAsia="en-US"/>
                    </w:rPr>
                  </w:pPr>
                </w:p>
                <w:p w14:paraId="3A83C35F" w14:textId="77777777" w:rsidR="00565BE6" w:rsidRPr="0053561F" w:rsidRDefault="00565BE6" w:rsidP="00565BE6">
                  <w:pPr>
                    <w:jc w:val="center"/>
                    <w:rPr>
                      <w:sz w:val="22"/>
                      <w:szCs w:val="22"/>
                      <w:lang w:eastAsia="en-US"/>
                    </w:rPr>
                  </w:pPr>
                  <w:r>
                    <w:rPr>
                      <w:sz w:val="22"/>
                      <w:szCs w:val="22"/>
                      <w:lang w:eastAsia="en-US"/>
                    </w:rPr>
                    <w:t>18,00</w:t>
                  </w:r>
                </w:p>
              </w:tc>
              <w:tc>
                <w:tcPr>
                  <w:tcW w:w="1247" w:type="dxa"/>
                  <w:tcBorders>
                    <w:top w:val="single" w:sz="4" w:space="0" w:color="auto"/>
                    <w:left w:val="nil"/>
                    <w:bottom w:val="single" w:sz="4" w:space="0" w:color="auto"/>
                    <w:right w:val="single" w:sz="4" w:space="0" w:color="auto"/>
                  </w:tcBorders>
                </w:tcPr>
                <w:p w14:paraId="6BEAEA5A" w14:textId="77777777" w:rsidR="00565BE6" w:rsidRDefault="00565BE6" w:rsidP="00565BE6">
                  <w:pPr>
                    <w:jc w:val="center"/>
                    <w:rPr>
                      <w:sz w:val="22"/>
                      <w:szCs w:val="22"/>
                      <w:lang w:eastAsia="en-US"/>
                    </w:rPr>
                  </w:pPr>
                </w:p>
                <w:p w14:paraId="2E2D6C8B" w14:textId="77777777" w:rsidR="00565BE6" w:rsidRPr="0053561F" w:rsidRDefault="00565BE6" w:rsidP="00565BE6">
                  <w:pPr>
                    <w:jc w:val="center"/>
                    <w:rPr>
                      <w:sz w:val="22"/>
                      <w:szCs w:val="22"/>
                      <w:lang w:eastAsia="en-US"/>
                    </w:rPr>
                  </w:pPr>
                  <w:r>
                    <w:rPr>
                      <w:sz w:val="22"/>
                      <w:szCs w:val="22"/>
                      <w:lang w:eastAsia="en-US"/>
                    </w:rPr>
                    <w:t>270,00</w:t>
                  </w:r>
                </w:p>
              </w:tc>
              <w:tc>
                <w:tcPr>
                  <w:tcW w:w="1383" w:type="dxa"/>
                  <w:gridSpan w:val="2"/>
                  <w:tcBorders>
                    <w:top w:val="single" w:sz="4" w:space="0" w:color="auto"/>
                    <w:left w:val="nil"/>
                    <w:bottom w:val="single" w:sz="4" w:space="0" w:color="auto"/>
                    <w:right w:val="single" w:sz="4" w:space="0" w:color="auto"/>
                  </w:tcBorders>
                  <w:vAlign w:val="center"/>
                </w:tcPr>
                <w:p w14:paraId="1FA9CF10" w14:textId="77777777" w:rsidR="00565BE6" w:rsidRPr="0053561F" w:rsidRDefault="00565BE6" w:rsidP="00565BE6">
                  <w:pPr>
                    <w:jc w:val="center"/>
                    <w:rPr>
                      <w:sz w:val="22"/>
                      <w:szCs w:val="22"/>
                      <w:lang w:eastAsia="en-US"/>
                    </w:rPr>
                  </w:pPr>
                  <w:r>
                    <w:rPr>
                      <w:sz w:val="22"/>
                      <w:szCs w:val="22"/>
                      <w:lang w:eastAsia="en-US"/>
                    </w:rPr>
                    <w:t>270,00</w:t>
                  </w:r>
                </w:p>
              </w:tc>
            </w:tr>
            <w:tr w:rsidR="00720187" w:rsidRPr="0053561F" w14:paraId="5EA4E4B8" w14:textId="77777777" w:rsidTr="00720187">
              <w:trPr>
                <w:trHeight w:val="333"/>
              </w:trPr>
              <w:tc>
                <w:tcPr>
                  <w:tcW w:w="2871" w:type="dxa"/>
                  <w:tcBorders>
                    <w:top w:val="nil"/>
                    <w:left w:val="single" w:sz="4" w:space="0" w:color="auto"/>
                    <w:bottom w:val="single" w:sz="4" w:space="0" w:color="auto"/>
                    <w:right w:val="single" w:sz="4" w:space="0" w:color="auto"/>
                  </w:tcBorders>
                  <w:shd w:val="clear" w:color="auto" w:fill="auto"/>
                  <w:noWrap/>
                </w:tcPr>
                <w:p w14:paraId="5C4A7832" w14:textId="77777777" w:rsidR="00565BE6" w:rsidRPr="0053561F" w:rsidRDefault="00565BE6" w:rsidP="00565BE6">
                  <w:pPr>
                    <w:spacing w:after="120"/>
                    <w:jc w:val="both"/>
                    <w:rPr>
                      <w:sz w:val="22"/>
                      <w:szCs w:val="22"/>
                      <w:lang w:eastAsia="en-US"/>
                    </w:rPr>
                  </w:pPr>
                  <w:r w:rsidRPr="0053561F">
                    <w:rPr>
                      <w:szCs w:val="20"/>
                      <w:lang w:eastAsia="en-US"/>
                    </w:rPr>
                    <w:t>50 eurų nominalios vertės dovanų kortelė*</w:t>
                  </w:r>
                </w:p>
              </w:tc>
              <w:tc>
                <w:tcPr>
                  <w:tcW w:w="1105" w:type="dxa"/>
                  <w:tcBorders>
                    <w:top w:val="nil"/>
                    <w:left w:val="nil"/>
                    <w:bottom w:val="single" w:sz="4" w:space="0" w:color="auto"/>
                    <w:right w:val="single" w:sz="4" w:space="0" w:color="auto"/>
                  </w:tcBorders>
                  <w:shd w:val="clear" w:color="auto" w:fill="auto"/>
                  <w:vAlign w:val="center"/>
                </w:tcPr>
                <w:p w14:paraId="2FF1F579" w14:textId="77777777" w:rsidR="00565BE6" w:rsidRPr="0053561F" w:rsidRDefault="00565BE6" w:rsidP="00565BE6">
                  <w:pPr>
                    <w:jc w:val="center"/>
                    <w:rPr>
                      <w:sz w:val="22"/>
                      <w:szCs w:val="22"/>
                      <w:lang w:eastAsia="en-US"/>
                    </w:rPr>
                  </w:pPr>
                  <w:r w:rsidRPr="0053561F">
                    <w:rPr>
                      <w:sz w:val="22"/>
                      <w:szCs w:val="22"/>
                      <w:lang w:eastAsia="en-US"/>
                    </w:rPr>
                    <w:t>vnt.</w:t>
                  </w:r>
                </w:p>
              </w:tc>
              <w:tc>
                <w:tcPr>
                  <w:tcW w:w="968" w:type="dxa"/>
                  <w:gridSpan w:val="2"/>
                  <w:tcBorders>
                    <w:top w:val="nil"/>
                    <w:left w:val="nil"/>
                    <w:bottom w:val="single" w:sz="4" w:space="0" w:color="auto"/>
                    <w:right w:val="single" w:sz="4" w:space="0" w:color="auto"/>
                  </w:tcBorders>
                  <w:shd w:val="clear" w:color="auto" w:fill="auto"/>
                  <w:vAlign w:val="center"/>
                </w:tcPr>
                <w:p w14:paraId="7062FE97" w14:textId="77777777" w:rsidR="00565BE6" w:rsidRPr="0053561F" w:rsidRDefault="00565BE6" w:rsidP="00565BE6">
                  <w:pPr>
                    <w:jc w:val="center"/>
                    <w:rPr>
                      <w:sz w:val="22"/>
                      <w:szCs w:val="22"/>
                      <w:lang w:eastAsia="en-US"/>
                    </w:rPr>
                  </w:pPr>
                  <w:r>
                    <w:rPr>
                      <w:sz w:val="22"/>
                      <w:szCs w:val="22"/>
                      <w:lang w:eastAsia="en-US"/>
                    </w:rPr>
                    <w:t>632</w:t>
                  </w:r>
                </w:p>
              </w:tc>
              <w:tc>
                <w:tcPr>
                  <w:tcW w:w="1935" w:type="dxa"/>
                  <w:tcBorders>
                    <w:top w:val="single" w:sz="4" w:space="0" w:color="auto"/>
                    <w:left w:val="nil"/>
                    <w:bottom w:val="single" w:sz="4" w:space="0" w:color="auto"/>
                    <w:right w:val="single" w:sz="4" w:space="0" w:color="auto"/>
                  </w:tcBorders>
                </w:tcPr>
                <w:p w14:paraId="20CDECAE" w14:textId="77777777" w:rsidR="00565BE6" w:rsidRDefault="00565BE6" w:rsidP="00565BE6">
                  <w:pPr>
                    <w:jc w:val="center"/>
                    <w:rPr>
                      <w:sz w:val="22"/>
                      <w:szCs w:val="22"/>
                      <w:lang w:eastAsia="en-US"/>
                    </w:rPr>
                  </w:pPr>
                </w:p>
                <w:p w14:paraId="16FD9293" w14:textId="77777777" w:rsidR="00565BE6" w:rsidRPr="0053561F" w:rsidRDefault="00565BE6" w:rsidP="00565BE6">
                  <w:pPr>
                    <w:jc w:val="center"/>
                    <w:rPr>
                      <w:sz w:val="22"/>
                      <w:szCs w:val="22"/>
                      <w:lang w:eastAsia="en-US"/>
                    </w:rPr>
                  </w:pPr>
                  <w:r>
                    <w:rPr>
                      <w:sz w:val="22"/>
                      <w:szCs w:val="22"/>
                      <w:lang w:eastAsia="en-US"/>
                    </w:rPr>
                    <w:t>45,00</w:t>
                  </w:r>
                </w:p>
              </w:tc>
              <w:tc>
                <w:tcPr>
                  <w:tcW w:w="1247" w:type="dxa"/>
                  <w:tcBorders>
                    <w:top w:val="single" w:sz="4" w:space="0" w:color="auto"/>
                    <w:left w:val="nil"/>
                    <w:bottom w:val="single" w:sz="4" w:space="0" w:color="auto"/>
                    <w:right w:val="single" w:sz="4" w:space="0" w:color="auto"/>
                  </w:tcBorders>
                </w:tcPr>
                <w:p w14:paraId="18ECD032" w14:textId="77777777" w:rsidR="00565BE6" w:rsidRDefault="00565BE6" w:rsidP="00565BE6">
                  <w:pPr>
                    <w:jc w:val="center"/>
                    <w:rPr>
                      <w:sz w:val="22"/>
                      <w:szCs w:val="22"/>
                      <w:lang w:eastAsia="en-US"/>
                    </w:rPr>
                  </w:pPr>
                </w:p>
                <w:p w14:paraId="4FFBC9E2" w14:textId="77777777" w:rsidR="00565BE6" w:rsidRPr="0053561F" w:rsidRDefault="00565BE6" w:rsidP="00565BE6">
                  <w:pPr>
                    <w:jc w:val="center"/>
                    <w:rPr>
                      <w:sz w:val="22"/>
                      <w:szCs w:val="22"/>
                      <w:lang w:eastAsia="en-US"/>
                    </w:rPr>
                  </w:pPr>
                  <w:r>
                    <w:rPr>
                      <w:sz w:val="22"/>
                      <w:szCs w:val="22"/>
                      <w:lang w:eastAsia="en-US"/>
                    </w:rPr>
                    <w:t>28.440,00</w:t>
                  </w:r>
                </w:p>
              </w:tc>
              <w:tc>
                <w:tcPr>
                  <w:tcW w:w="1383" w:type="dxa"/>
                  <w:gridSpan w:val="2"/>
                  <w:tcBorders>
                    <w:top w:val="single" w:sz="4" w:space="0" w:color="auto"/>
                    <w:left w:val="nil"/>
                    <w:bottom w:val="single" w:sz="4" w:space="0" w:color="auto"/>
                    <w:right w:val="single" w:sz="4" w:space="0" w:color="auto"/>
                  </w:tcBorders>
                  <w:vAlign w:val="center"/>
                </w:tcPr>
                <w:p w14:paraId="097CB407" w14:textId="77777777" w:rsidR="00565BE6" w:rsidRPr="0053561F" w:rsidRDefault="00565BE6" w:rsidP="00565BE6">
                  <w:pPr>
                    <w:jc w:val="center"/>
                    <w:rPr>
                      <w:sz w:val="22"/>
                      <w:szCs w:val="22"/>
                      <w:lang w:eastAsia="en-US"/>
                    </w:rPr>
                  </w:pPr>
                  <w:r>
                    <w:rPr>
                      <w:sz w:val="22"/>
                      <w:szCs w:val="22"/>
                      <w:lang w:eastAsia="en-US"/>
                    </w:rPr>
                    <w:t>28.440,00</w:t>
                  </w:r>
                </w:p>
              </w:tc>
            </w:tr>
            <w:tr w:rsidR="00565BE6" w:rsidRPr="0053561F" w14:paraId="290B698B" w14:textId="77777777" w:rsidTr="00B54093">
              <w:trPr>
                <w:trHeight w:val="333"/>
              </w:trPr>
              <w:tc>
                <w:tcPr>
                  <w:tcW w:w="81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A569A1B" w14:textId="77777777" w:rsidR="00565BE6" w:rsidRPr="0053561F" w:rsidRDefault="00565BE6" w:rsidP="00565BE6">
                  <w:pPr>
                    <w:jc w:val="right"/>
                    <w:rPr>
                      <w:sz w:val="22"/>
                      <w:szCs w:val="22"/>
                      <w:lang w:eastAsia="en-US"/>
                    </w:rPr>
                  </w:pPr>
                  <w:r w:rsidRPr="0053561F">
                    <w:rPr>
                      <w:b/>
                      <w:sz w:val="22"/>
                      <w:szCs w:val="22"/>
                      <w:lang w:eastAsia="en-US"/>
                    </w:rPr>
                    <w:t xml:space="preserve">Nuolaida nuo bendros pasiūlymo kainos %: </w:t>
                  </w:r>
                </w:p>
              </w:tc>
              <w:tc>
                <w:tcPr>
                  <w:tcW w:w="1383" w:type="dxa"/>
                  <w:gridSpan w:val="2"/>
                  <w:tcBorders>
                    <w:top w:val="single" w:sz="4" w:space="0" w:color="auto"/>
                    <w:left w:val="nil"/>
                    <w:bottom w:val="single" w:sz="4" w:space="0" w:color="auto"/>
                    <w:right w:val="single" w:sz="4" w:space="0" w:color="auto"/>
                  </w:tcBorders>
                  <w:vAlign w:val="center"/>
                </w:tcPr>
                <w:p w14:paraId="7762EC2D" w14:textId="77777777" w:rsidR="00565BE6" w:rsidRPr="0053561F" w:rsidRDefault="00565BE6" w:rsidP="00565BE6">
                  <w:pPr>
                    <w:jc w:val="center"/>
                    <w:rPr>
                      <w:sz w:val="22"/>
                      <w:szCs w:val="22"/>
                      <w:lang w:eastAsia="en-US"/>
                    </w:rPr>
                  </w:pPr>
                  <w:r>
                    <w:rPr>
                      <w:sz w:val="22"/>
                      <w:szCs w:val="22"/>
                      <w:lang w:eastAsia="en-US"/>
                    </w:rPr>
                    <w:t>10</w:t>
                  </w:r>
                </w:p>
              </w:tc>
            </w:tr>
            <w:tr w:rsidR="00565BE6" w:rsidRPr="0053561F" w14:paraId="4CB0AA53" w14:textId="77777777" w:rsidTr="00B54093">
              <w:trPr>
                <w:trHeight w:val="333"/>
              </w:trPr>
              <w:tc>
                <w:tcPr>
                  <w:tcW w:w="8128" w:type="dxa"/>
                  <w:gridSpan w:val="6"/>
                  <w:tcBorders>
                    <w:top w:val="nil"/>
                    <w:left w:val="single" w:sz="4" w:space="0" w:color="auto"/>
                    <w:bottom w:val="single" w:sz="4" w:space="0" w:color="auto"/>
                    <w:right w:val="single" w:sz="4" w:space="0" w:color="auto"/>
                  </w:tcBorders>
                  <w:shd w:val="clear" w:color="auto" w:fill="auto"/>
                  <w:noWrap/>
                  <w:vAlign w:val="center"/>
                </w:tcPr>
                <w:p w14:paraId="35DCC241" w14:textId="77777777" w:rsidR="00565BE6" w:rsidRPr="0053561F" w:rsidRDefault="00565BE6" w:rsidP="00565BE6">
                  <w:pPr>
                    <w:jc w:val="right"/>
                    <w:rPr>
                      <w:b/>
                      <w:sz w:val="22"/>
                      <w:szCs w:val="22"/>
                      <w:lang w:eastAsia="en-US"/>
                    </w:rPr>
                  </w:pPr>
                  <w:r w:rsidRPr="0053561F">
                    <w:rPr>
                      <w:b/>
                      <w:sz w:val="22"/>
                      <w:szCs w:val="22"/>
                      <w:lang w:eastAsia="en-US"/>
                    </w:rPr>
                    <w:t>Bendra pasiūlymo kaina su nuolaida, Eur be PVM:</w:t>
                  </w:r>
                </w:p>
              </w:tc>
              <w:tc>
                <w:tcPr>
                  <w:tcW w:w="1383" w:type="dxa"/>
                  <w:gridSpan w:val="2"/>
                  <w:tcBorders>
                    <w:top w:val="single" w:sz="4" w:space="0" w:color="auto"/>
                    <w:left w:val="nil"/>
                    <w:bottom w:val="single" w:sz="4" w:space="0" w:color="auto"/>
                    <w:right w:val="single" w:sz="4" w:space="0" w:color="auto"/>
                  </w:tcBorders>
                  <w:vAlign w:val="center"/>
                </w:tcPr>
                <w:p w14:paraId="7114F966" w14:textId="77777777" w:rsidR="00565BE6" w:rsidRPr="0053561F" w:rsidRDefault="00565BE6" w:rsidP="00565BE6">
                  <w:pPr>
                    <w:jc w:val="center"/>
                    <w:rPr>
                      <w:b/>
                      <w:sz w:val="22"/>
                      <w:szCs w:val="22"/>
                      <w:lang w:eastAsia="en-US"/>
                    </w:rPr>
                  </w:pPr>
                  <w:r>
                    <w:rPr>
                      <w:b/>
                      <w:sz w:val="22"/>
                      <w:szCs w:val="22"/>
                      <w:lang w:eastAsia="en-US"/>
                    </w:rPr>
                    <w:t>28.845,00</w:t>
                  </w:r>
                </w:p>
              </w:tc>
            </w:tr>
            <w:tr w:rsidR="00565BE6" w:rsidRPr="0053561F" w14:paraId="53A596D8" w14:textId="77777777" w:rsidTr="00B54093">
              <w:trPr>
                <w:trHeight w:val="333"/>
              </w:trPr>
              <w:tc>
                <w:tcPr>
                  <w:tcW w:w="8128" w:type="dxa"/>
                  <w:gridSpan w:val="6"/>
                  <w:tcBorders>
                    <w:top w:val="nil"/>
                    <w:left w:val="single" w:sz="4" w:space="0" w:color="auto"/>
                    <w:bottom w:val="single" w:sz="4" w:space="0" w:color="auto"/>
                    <w:right w:val="single" w:sz="4" w:space="0" w:color="auto"/>
                  </w:tcBorders>
                  <w:shd w:val="clear" w:color="auto" w:fill="auto"/>
                  <w:noWrap/>
                  <w:vAlign w:val="center"/>
                </w:tcPr>
                <w:p w14:paraId="30831E20" w14:textId="77777777" w:rsidR="00565BE6" w:rsidRPr="0053561F" w:rsidRDefault="00565BE6" w:rsidP="00565BE6">
                  <w:pPr>
                    <w:jc w:val="right"/>
                    <w:rPr>
                      <w:b/>
                      <w:sz w:val="22"/>
                      <w:szCs w:val="22"/>
                      <w:lang w:eastAsia="en-US"/>
                    </w:rPr>
                  </w:pPr>
                  <w:r w:rsidRPr="0053561F">
                    <w:rPr>
                      <w:b/>
                      <w:sz w:val="22"/>
                      <w:szCs w:val="22"/>
                      <w:lang w:eastAsia="en-US"/>
                    </w:rPr>
                    <w:t>PVM Eur:</w:t>
                  </w:r>
                </w:p>
              </w:tc>
              <w:tc>
                <w:tcPr>
                  <w:tcW w:w="1383" w:type="dxa"/>
                  <w:gridSpan w:val="2"/>
                  <w:tcBorders>
                    <w:top w:val="single" w:sz="4" w:space="0" w:color="auto"/>
                    <w:left w:val="nil"/>
                    <w:bottom w:val="single" w:sz="4" w:space="0" w:color="auto"/>
                    <w:right w:val="single" w:sz="4" w:space="0" w:color="auto"/>
                  </w:tcBorders>
                  <w:vAlign w:val="center"/>
                </w:tcPr>
                <w:p w14:paraId="312781A6" w14:textId="77777777" w:rsidR="00565BE6" w:rsidRPr="0053561F" w:rsidRDefault="00565BE6" w:rsidP="00565BE6">
                  <w:pPr>
                    <w:jc w:val="center"/>
                    <w:rPr>
                      <w:b/>
                      <w:sz w:val="22"/>
                      <w:szCs w:val="22"/>
                      <w:lang w:eastAsia="en-US"/>
                    </w:rPr>
                  </w:pPr>
                  <w:r>
                    <w:rPr>
                      <w:b/>
                      <w:sz w:val="22"/>
                      <w:szCs w:val="22"/>
                      <w:lang w:eastAsia="en-US"/>
                    </w:rPr>
                    <w:t>0</w:t>
                  </w:r>
                </w:p>
              </w:tc>
            </w:tr>
            <w:tr w:rsidR="00565BE6" w:rsidRPr="0053561F" w14:paraId="18CBD684" w14:textId="77777777" w:rsidTr="00B54093">
              <w:trPr>
                <w:trHeight w:val="333"/>
              </w:trPr>
              <w:tc>
                <w:tcPr>
                  <w:tcW w:w="8128" w:type="dxa"/>
                  <w:gridSpan w:val="6"/>
                  <w:tcBorders>
                    <w:top w:val="nil"/>
                    <w:left w:val="single" w:sz="4" w:space="0" w:color="auto"/>
                    <w:bottom w:val="single" w:sz="4" w:space="0" w:color="auto"/>
                    <w:right w:val="single" w:sz="4" w:space="0" w:color="auto"/>
                  </w:tcBorders>
                  <w:shd w:val="clear" w:color="auto" w:fill="auto"/>
                  <w:noWrap/>
                  <w:vAlign w:val="center"/>
                </w:tcPr>
                <w:p w14:paraId="1298B8A2" w14:textId="77777777" w:rsidR="00565BE6" w:rsidRPr="0053561F" w:rsidRDefault="00565BE6" w:rsidP="00565BE6">
                  <w:pPr>
                    <w:jc w:val="right"/>
                    <w:rPr>
                      <w:b/>
                      <w:sz w:val="22"/>
                      <w:szCs w:val="22"/>
                      <w:lang w:eastAsia="en-US"/>
                    </w:rPr>
                  </w:pPr>
                  <w:r w:rsidRPr="0053561F">
                    <w:rPr>
                      <w:b/>
                      <w:sz w:val="22"/>
                      <w:szCs w:val="22"/>
                      <w:lang w:eastAsia="en-US"/>
                    </w:rPr>
                    <w:t>Bendra pasiūlymo kaina su nuolaida, Eur su PVM:</w:t>
                  </w:r>
                </w:p>
              </w:tc>
              <w:tc>
                <w:tcPr>
                  <w:tcW w:w="1383" w:type="dxa"/>
                  <w:gridSpan w:val="2"/>
                  <w:tcBorders>
                    <w:top w:val="single" w:sz="4" w:space="0" w:color="auto"/>
                    <w:left w:val="nil"/>
                    <w:bottom w:val="single" w:sz="4" w:space="0" w:color="auto"/>
                    <w:right w:val="single" w:sz="4" w:space="0" w:color="auto"/>
                  </w:tcBorders>
                </w:tcPr>
                <w:p w14:paraId="07EFE25E" w14:textId="77777777" w:rsidR="00565BE6" w:rsidRPr="0053561F" w:rsidRDefault="00565BE6" w:rsidP="00565BE6">
                  <w:pPr>
                    <w:jc w:val="center"/>
                    <w:rPr>
                      <w:b/>
                      <w:sz w:val="22"/>
                      <w:szCs w:val="22"/>
                      <w:lang w:eastAsia="en-US"/>
                    </w:rPr>
                  </w:pPr>
                  <w:r>
                    <w:rPr>
                      <w:b/>
                      <w:sz w:val="22"/>
                      <w:szCs w:val="22"/>
                      <w:lang w:eastAsia="en-US"/>
                    </w:rPr>
                    <w:t>28.845,00</w:t>
                  </w:r>
                </w:p>
              </w:tc>
            </w:tr>
            <w:tr w:rsidR="00565BE6" w14:paraId="28D71414" w14:textId="77777777" w:rsidTr="00B54093">
              <w:trPr>
                <w:gridAfter w:val="1"/>
                <w:wAfter w:w="160" w:type="dxa"/>
                <w:trHeight w:val="3416"/>
              </w:trPr>
              <w:tc>
                <w:tcPr>
                  <w:tcW w:w="4678" w:type="dxa"/>
                  <w:gridSpan w:val="3"/>
                  <w:hideMark/>
                </w:tcPr>
                <w:p w14:paraId="52C78B88" w14:textId="77777777" w:rsidR="00565BE6" w:rsidRDefault="00565BE6" w:rsidP="00565BE6">
                  <w:pPr>
                    <w:spacing w:before="120" w:after="120"/>
                    <w:jc w:val="both"/>
                    <w:rPr>
                      <w:rFonts w:eastAsia="Arial Unicode MS"/>
                      <w:b/>
                      <w:bdr w:val="none" w:sz="0" w:space="0" w:color="auto" w:frame="1"/>
                      <w:lang w:eastAsia="en-US"/>
                    </w:rPr>
                  </w:pPr>
                  <w:r>
                    <w:rPr>
                      <w:rFonts w:eastAsia="Arial Unicode MS"/>
                      <w:b/>
                      <w:bdr w:val="none" w:sz="0" w:space="0" w:color="auto" w:frame="1"/>
                      <w:lang w:eastAsia="en-US"/>
                    </w:rPr>
                    <w:t>Perkančioji organizacija</w:t>
                  </w:r>
                </w:p>
                <w:p w14:paraId="4C40C915" w14:textId="77777777" w:rsidR="00565BE6" w:rsidRDefault="00565BE6" w:rsidP="00565BE6">
                  <w:pPr>
                    <w:spacing w:before="120"/>
                    <w:jc w:val="both"/>
                    <w:rPr>
                      <w:rFonts w:eastAsia="Arial Unicode MS"/>
                      <w:b/>
                      <w:bdr w:val="none" w:sz="0" w:space="0" w:color="auto" w:frame="1"/>
                      <w:lang w:eastAsia="en-US"/>
                    </w:rPr>
                  </w:pPr>
                  <w:r>
                    <w:rPr>
                      <w:rFonts w:eastAsia="Arial Unicode MS"/>
                      <w:b/>
                      <w:bdr w:val="none" w:sz="0" w:space="0" w:color="auto" w:frame="1"/>
                      <w:lang w:eastAsia="en-US"/>
                    </w:rPr>
                    <w:t>VšĮ Panevėžio miesto greitosios medicinos pagalbos stotis</w:t>
                  </w:r>
                </w:p>
                <w:p w14:paraId="6C6EFAF3" w14:textId="77777777" w:rsidR="00565BE6" w:rsidRDefault="00565BE6" w:rsidP="00565BE6">
                  <w:pPr>
                    <w:spacing w:before="120" w:after="120"/>
                    <w:jc w:val="both"/>
                    <w:rPr>
                      <w:rFonts w:eastAsia="Arial Unicode MS"/>
                      <w:bdr w:val="none" w:sz="0" w:space="0" w:color="auto" w:frame="1"/>
                      <w:lang w:eastAsia="en-US"/>
                    </w:rPr>
                  </w:pPr>
                  <w:r>
                    <w:rPr>
                      <w:rFonts w:eastAsia="Calibri"/>
                      <w:highlight w:val="lightGray"/>
                      <w:bdr w:val="none" w:sz="0" w:space="0" w:color="auto" w:frame="1"/>
                      <w:lang w:eastAsia="en-US"/>
                    </w:rPr>
                    <w:t>[Pareigos, vardas, pavardė]</w:t>
                  </w:r>
                </w:p>
                <w:p w14:paraId="789E31B0" w14:textId="77777777" w:rsidR="00565BE6" w:rsidRDefault="00565BE6" w:rsidP="00565BE6">
                  <w:pPr>
                    <w:spacing w:before="120" w:after="120"/>
                    <w:jc w:val="both"/>
                    <w:rPr>
                      <w:rFonts w:eastAsia="Arial Unicode MS"/>
                      <w:bdr w:val="none" w:sz="0" w:space="0" w:color="auto" w:frame="1"/>
                      <w:lang w:eastAsia="en-US"/>
                    </w:rPr>
                  </w:pPr>
                  <w:r>
                    <w:rPr>
                      <w:rFonts w:eastAsia="Arial Unicode MS"/>
                      <w:bdr w:val="none" w:sz="0" w:space="0" w:color="auto" w:frame="1"/>
                      <w:lang w:eastAsia="en-US"/>
                    </w:rPr>
                    <w:t>___________________________</w:t>
                  </w:r>
                </w:p>
                <w:p w14:paraId="67E51F0D" w14:textId="77777777" w:rsidR="00565BE6" w:rsidRDefault="00565BE6" w:rsidP="00565BE6">
                  <w:pPr>
                    <w:spacing w:before="120" w:after="120"/>
                    <w:jc w:val="both"/>
                    <w:rPr>
                      <w:rFonts w:eastAsia="Calibri"/>
                      <w:bdr w:val="none" w:sz="0" w:space="0" w:color="auto" w:frame="1"/>
                      <w:lang w:eastAsia="en-US"/>
                    </w:rPr>
                  </w:pPr>
                  <w:r>
                    <w:rPr>
                      <w:rFonts w:eastAsia="Arial Unicode MS"/>
                      <w:bdr w:val="none" w:sz="0" w:space="0" w:color="auto" w:frame="1"/>
                      <w:lang w:eastAsia="en-US"/>
                    </w:rPr>
                    <w:t>(</w:t>
                  </w:r>
                  <w:r>
                    <w:rPr>
                      <w:rFonts w:eastAsia="Calibri"/>
                      <w:i/>
                      <w:bdr w:val="none" w:sz="0" w:space="0" w:color="auto" w:frame="1"/>
                      <w:lang w:eastAsia="en-US"/>
                    </w:rPr>
                    <w:t>parašas)                                    A.V.</w:t>
                  </w:r>
                </w:p>
              </w:tc>
              <w:tc>
                <w:tcPr>
                  <w:tcW w:w="4678" w:type="dxa"/>
                  <w:gridSpan w:val="4"/>
                  <w:hideMark/>
                </w:tcPr>
                <w:p w14:paraId="5BE52823" w14:textId="77777777" w:rsidR="00565BE6" w:rsidRDefault="00565BE6" w:rsidP="00565BE6">
                  <w:pPr>
                    <w:spacing w:before="120" w:after="120"/>
                    <w:jc w:val="both"/>
                    <w:rPr>
                      <w:rFonts w:eastAsia="Calibri"/>
                      <w:b/>
                      <w:bdr w:val="none" w:sz="0" w:space="0" w:color="auto" w:frame="1"/>
                      <w:lang w:eastAsia="en-US"/>
                    </w:rPr>
                  </w:pPr>
                  <w:r>
                    <w:rPr>
                      <w:rFonts w:eastAsia="Calibri"/>
                      <w:b/>
                      <w:bdr w:val="none" w:sz="0" w:space="0" w:color="auto" w:frame="1"/>
                      <w:lang w:eastAsia="en-US"/>
                    </w:rPr>
                    <w:t>Tiekėjas</w:t>
                  </w:r>
                </w:p>
                <w:p w14:paraId="283C6D14" w14:textId="77777777" w:rsidR="00B54093" w:rsidRPr="00B54093" w:rsidRDefault="00565BE6" w:rsidP="00B54093">
                  <w:pPr>
                    <w:jc w:val="both"/>
                    <w:rPr>
                      <w:rFonts w:eastAsia="Calibri"/>
                      <w:b/>
                      <w:bdr w:val="none" w:sz="0" w:space="0" w:color="auto" w:frame="1"/>
                      <w:lang w:eastAsia="en-US"/>
                    </w:rPr>
                  </w:pPr>
                  <w:r w:rsidRPr="00B54093">
                    <w:rPr>
                      <w:rFonts w:eastAsia="Calibri"/>
                      <w:b/>
                      <w:bdr w:val="none" w:sz="0" w:space="0" w:color="auto" w:frame="1"/>
                      <w:lang w:eastAsia="en-US"/>
                    </w:rPr>
                    <w:t>UAB „Lidl Lietuva“</w:t>
                  </w:r>
                  <w:r w:rsidR="00B54093" w:rsidRPr="00B54093">
                    <w:rPr>
                      <w:rFonts w:eastAsia="Calibri"/>
                      <w:b/>
                      <w:bdr w:val="none" w:sz="0" w:space="0" w:color="auto" w:frame="1"/>
                      <w:lang w:eastAsia="en-US"/>
                    </w:rPr>
                    <w:t xml:space="preserve"> </w:t>
                  </w:r>
                </w:p>
                <w:p w14:paraId="50F322DC" w14:textId="31317122" w:rsidR="00720187" w:rsidRPr="00B54093" w:rsidRDefault="00565BE6" w:rsidP="00B54093">
                  <w:pPr>
                    <w:jc w:val="both"/>
                    <w:rPr>
                      <w:noProof/>
                    </w:rPr>
                  </w:pPr>
                  <w:r w:rsidRPr="00B54093">
                    <w:rPr>
                      <w:noProof/>
                    </w:rPr>
                    <w:t xml:space="preserve">Finansų, apskaitos ir mokesčių departamento vadovė </w:t>
                  </w:r>
                </w:p>
                <w:p w14:paraId="139A08BB" w14:textId="69AA9A6C" w:rsidR="00565BE6" w:rsidRPr="00B54093" w:rsidRDefault="00565BE6" w:rsidP="00B54093">
                  <w:pPr>
                    <w:jc w:val="both"/>
                    <w:rPr>
                      <w:noProof/>
                    </w:rPr>
                  </w:pPr>
                  <w:r w:rsidRPr="00B54093">
                    <w:rPr>
                      <w:noProof/>
                    </w:rPr>
                    <w:t xml:space="preserve">Jurgita Maždžierė      </w:t>
                  </w:r>
                </w:p>
                <w:p w14:paraId="68C62BC2" w14:textId="77777777" w:rsidR="00565BE6" w:rsidRPr="00B54093" w:rsidRDefault="00565BE6" w:rsidP="00565BE6">
                  <w:pPr>
                    <w:spacing w:before="120" w:after="120"/>
                    <w:jc w:val="both"/>
                    <w:rPr>
                      <w:rFonts w:eastAsia="Arial Unicode MS"/>
                      <w:bdr w:val="none" w:sz="0" w:space="0" w:color="auto" w:frame="1"/>
                      <w:lang w:eastAsia="en-US"/>
                    </w:rPr>
                  </w:pPr>
                  <w:r w:rsidRPr="00B54093">
                    <w:rPr>
                      <w:rFonts w:eastAsia="Arial Unicode MS"/>
                      <w:bdr w:val="none" w:sz="0" w:space="0" w:color="auto" w:frame="1"/>
                      <w:lang w:eastAsia="en-US"/>
                    </w:rPr>
                    <w:t>___________________________</w:t>
                  </w:r>
                </w:p>
                <w:p w14:paraId="6345CBEB" w14:textId="15899FD9" w:rsidR="00565BE6" w:rsidRPr="00B54093" w:rsidRDefault="00565BE6" w:rsidP="00565BE6">
                  <w:pPr>
                    <w:spacing w:before="240"/>
                    <w:jc w:val="both"/>
                    <w:rPr>
                      <w:noProof/>
                    </w:rPr>
                  </w:pPr>
                  <w:r w:rsidRPr="00B54093">
                    <w:rPr>
                      <w:rFonts w:eastAsia="Arial Unicode MS"/>
                      <w:bdr w:val="none" w:sz="0" w:space="0" w:color="auto" w:frame="1"/>
                      <w:lang w:eastAsia="en-US"/>
                    </w:rPr>
                    <w:t>(</w:t>
                  </w:r>
                  <w:r w:rsidRPr="00B54093">
                    <w:rPr>
                      <w:rFonts w:eastAsia="Calibri"/>
                      <w:i/>
                      <w:lang w:eastAsia="en-US"/>
                    </w:rPr>
                    <w:t>parašas)                                    A.V.</w:t>
                  </w:r>
                  <w:r w:rsidRPr="00B54093">
                    <w:rPr>
                      <w:noProof/>
                    </w:rPr>
                    <w:t xml:space="preserve">                                                     </w:t>
                  </w:r>
                </w:p>
                <w:p w14:paraId="04723323" w14:textId="0FDB6544" w:rsidR="00565BE6" w:rsidRPr="00B54093" w:rsidRDefault="00565BE6" w:rsidP="00B54093">
                  <w:pPr>
                    <w:spacing w:before="240"/>
                    <w:jc w:val="both"/>
                    <w:rPr>
                      <w:rFonts w:eastAsia="Arial Unicode MS"/>
                      <w:bdr w:val="none" w:sz="0" w:space="0" w:color="auto" w:frame="1"/>
                      <w:lang w:eastAsia="en-US"/>
                    </w:rPr>
                  </w:pPr>
                  <w:r w:rsidRPr="00B54093">
                    <w:rPr>
                      <w:noProof/>
                    </w:rPr>
                    <w:t>Apskaitos skyriaus vadovė</w:t>
                  </w:r>
                </w:p>
                <w:p w14:paraId="2C20669C" w14:textId="77777777" w:rsidR="00565BE6" w:rsidRPr="00B54093" w:rsidRDefault="00565BE6" w:rsidP="00565BE6">
                  <w:pPr>
                    <w:pStyle w:val="Betarp"/>
                    <w:tabs>
                      <w:tab w:val="left" w:pos="5295"/>
                    </w:tabs>
                    <w:rPr>
                      <w:rFonts w:ascii="Times New Roman" w:hAnsi="Times New Roman"/>
                      <w:noProof/>
                      <w:sz w:val="24"/>
                      <w:szCs w:val="24"/>
                    </w:rPr>
                  </w:pPr>
                  <w:r w:rsidRPr="00B54093">
                    <w:rPr>
                      <w:rFonts w:ascii="Times New Roman" w:hAnsi="Times New Roman"/>
                      <w:noProof/>
                      <w:sz w:val="24"/>
                      <w:szCs w:val="24"/>
                    </w:rPr>
                    <w:t xml:space="preserve">Ksenia Mikhalchuk          </w:t>
                  </w:r>
                </w:p>
                <w:p w14:paraId="226C3311" w14:textId="77777777" w:rsidR="00565BE6" w:rsidRPr="00B54093" w:rsidRDefault="00565BE6" w:rsidP="00565BE6">
                  <w:pPr>
                    <w:spacing w:before="120" w:after="120"/>
                    <w:jc w:val="both"/>
                    <w:rPr>
                      <w:rFonts w:eastAsia="Calibri"/>
                      <w:bdr w:val="none" w:sz="0" w:space="0" w:color="auto" w:frame="1"/>
                      <w:lang w:eastAsia="en-US"/>
                    </w:rPr>
                  </w:pPr>
                  <w:r w:rsidRPr="00B54093">
                    <w:rPr>
                      <w:rFonts w:eastAsia="Calibri"/>
                      <w:bdr w:val="none" w:sz="0" w:space="0" w:color="auto" w:frame="1"/>
                      <w:lang w:eastAsia="en-US"/>
                    </w:rPr>
                    <w:t>__________________________</w:t>
                  </w:r>
                </w:p>
                <w:p w14:paraId="2BEFC7F7" w14:textId="77777777" w:rsidR="00565BE6" w:rsidRDefault="00565BE6" w:rsidP="00565BE6">
                  <w:pPr>
                    <w:spacing w:before="120" w:after="120"/>
                    <w:jc w:val="both"/>
                    <w:rPr>
                      <w:rFonts w:eastAsia="Calibri"/>
                      <w:bdr w:val="none" w:sz="0" w:space="0" w:color="auto" w:frame="1"/>
                      <w:lang w:eastAsia="en-US"/>
                    </w:rPr>
                  </w:pPr>
                  <w:r w:rsidRPr="00B54093">
                    <w:rPr>
                      <w:rFonts w:eastAsia="Arial Unicode MS"/>
                      <w:bdr w:val="none" w:sz="0" w:space="0" w:color="auto" w:frame="1"/>
                      <w:lang w:eastAsia="en-US"/>
                    </w:rPr>
                    <w:t>(</w:t>
                  </w:r>
                  <w:r w:rsidRPr="00B54093">
                    <w:rPr>
                      <w:rFonts w:eastAsia="Calibri"/>
                      <w:i/>
                      <w:bdr w:val="none" w:sz="0" w:space="0" w:color="auto" w:frame="1"/>
                      <w:lang w:eastAsia="en-US"/>
                    </w:rPr>
                    <w:t>parašas)                                   A.V.</w:t>
                  </w:r>
                </w:p>
              </w:tc>
            </w:tr>
          </w:tbl>
          <w:p w14:paraId="585BAF84" w14:textId="77777777" w:rsidR="00DC338D" w:rsidRPr="00B54093" w:rsidRDefault="00DC338D" w:rsidP="00DC338D">
            <w:pPr>
              <w:jc w:val="both"/>
              <w:rPr>
                <w:rFonts w:eastAsia="Arial Unicode MS"/>
                <w:lang w:eastAsia="en-US"/>
              </w:rPr>
            </w:pPr>
          </w:p>
          <w:p w14:paraId="7345A257" w14:textId="50695203" w:rsidR="00DC338D" w:rsidRPr="00B54093" w:rsidRDefault="00DC338D" w:rsidP="00B54093">
            <w:pPr>
              <w:rPr>
                <w:rFonts w:eastAsia="Arial Unicode MS"/>
                <w:lang w:eastAsia="en-US"/>
              </w:rPr>
            </w:pPr>
          </w:p>
        </w:tc>
      </w:tr>
    </w:tbl>
    <w:p w14:paraId="4F1B8547" w14:textId="0BB73F90" w:rsidR="00594896" w:rsidRPr="00AB0A69" w:rsidRDefault="00594896" w:rsidP="00594896">
      <w:pPr>
        <w:rPr>
          <w:color w:val="000000"/>
        </w:rPr>
      </w:pPr>
    </w:p>
    <w:sectPr w:rsidR="00594896" w:rsidRPr="00AB0A69" w:rsidSect="00451389">
      <w:footerReference w:type="default" r:id="rId9"/>
      <w:pgSz w:w="11906" w:h="16838"/>
      <w:pgMar w:top="1701"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0E4B" w16cex:dateUtc="2023-05-22T12:52:00Z"/>
  <w16cex:commentExtensible w16cex:durableId="2816E7BB" w16cex:dateUtc="2023-05-23T04:20:00Z"/>
  <w16cex:commentExtensible w16cex:durableId="28161186" w16cex:dateUtc="2023-05-22T13:06:00Z"/>
  <w16cex:commentExtensible w16cex:durableId="28161245" w16cex:dateUtc="2023-05-22T13:09:00Z"/>
  <w16cex:commentExtensible w16cex:durableId="281613D9" w16cex:dateUtc="2023-05-22T13:16:00Z"/>
  <w16cex:commentExtensible w16cex:durableId="28161A72" w16cex:dateUtc="2023-05-22T13:44:00Z"/>
  <w16cex:commentExtensible w16cex:durableId="28161AEB" w16cex:dateUtc="2023-05-22T13:46:00Z"/>
  <w16cex:commentExtensible w16cex:durableId="28161B86" w16cex:dateUtc="2023-05-22T13:49:00Z"/>
  <w16cex:commentExtensible w16cex:durableId="281620B2" w16cex:dateUtc="2023-05-22T14:11:00Z"/>
  <w16cex:commentExtensible w16cex:durableId="2816E890" w16cex:dateUtc="2023-05-23T04:24:00Z"/>
  <w16cex:commentExtensible w16cex:durableId="2816E89A" w16cex:dateUtc="2023-05-23T04:24:00Z"/>
  <w16cex:commentExtensible w16cex:durableId="28162115" w16cex:dateUtc="2023-05-22T14:12:00Z"/>
  <w16cex:commentExtensible w16cex:durableId="281622B7" w16cex:dateUtc="2023-05-22T14:19:00Z"/>
  <w16cex:commentExtensible w16cex:durableId="2816ECA5" w16cex:dateUtc="2023-05-23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84581" w16cid:durableId="28160E4B"/>
  <w16cid:commentId w16cid:paraId="0138ED28" w16cid:durableId="2816E7BB"/>
  <w16cid:commentId w16cid:paraId="1CD298F2" w16cid:durableId="28161186"/>
  <w16cid:commentId w16cid:paraId="2690DCF9" w16cid:durableId="28161245"/>
  <w16cid:commentId w16cid:paraId="3FBB3C85" w16cid:durableId="281613D9"/>
  <w16cid:commentId w16cid:paraId="0730F79A" w16cid:durableId="28161A72"/>
  <w16cid:commentId w16cid:paraId="2937C8CA" w16cid:durableId="28161AEB"/>
  <w16cid:commentId w16cid:paraId="643681D7" w16cid:durableId="28161B86"/>
  <w16cid:commentId w16cid:paraId="5BCC6346" w16cid:durableId="281620B2"/>
  <w16cid:commentId w16cid:paraId="00D0A567" w16cid:durableId="2816E890"/>
  <w16cid:commentId w16cid:paraId="6174480F" w16cid:durableId="2816E89A"/>
  <w16cid:commentId w16cid:paraId="7E28A01B" w16cid:durableId="28162115"/>
  <w16cid:commentId w16cid:paraId="645C2601" w16cid:durableId="281622B7"/>
  <w16cid:commentId w16cid:paraId="5EC46E05" w16cid:durableId="2816EC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9BE2D" w14:textId="77777777" w:rsidR="00695E92" w:rsidRDefault="00695E92" w:rsidP="001D0C94">
      <w:r>
        <w:separator/>
      </w:r>
    </w:p>
  </w:endnote>
  <w:endnote w:type="continuationSeparator" w:id="0">
    <w:p w14:paraId="56403B6B" w14:textId="77777777" w:rsidR="00695E92" w:rsidRDefault="00695E92" w:rsidP="001D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6432" w14:textId="1A921E4F" w:rsidR="00B54093" w:rsidRDefault="00B54093" w:rsidP="00B54093">
    <w:pPr>
      <w:pStyle w:val="Porat"/>
      <w:jc w:val="right"/>
    </w:pPr>
    <w:r w:rsidRPr="008F253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69E00" w14:textId="77777777" w:rsidR="00695E92" w:rsidRDefault="00695E92" w:rsidP="001D0C94">
      <w:r>
        <w:separator/>
      </w:r>
    </w:p>
  </w:footnote>
  <w:footnote w:type="continuationSeparator" w:id="0">
    <w:p w14:paraId="2159FB52" w14:textId="77777777" w:rsidR="00695E92" w:rsidRDefault="00695E92" w:rsidP="001D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75190"/>
    <w:multiLevelType w:val="multilevel"/>
    <w:tmpl w:val="52223C2E"/>
    <w:lvl w:ilvl="0">
      <w:start w:val="1"/>
      <w:numFmt w:val="decimal"/>
      <w:lvlText w:val="%1."/>
      <w:lvlJc w:val="left"/>
      <w:pPr>
        <w:tabs>
          <w:tab w:val="num" w:pos="170"/>
        </w:tabs>
        <w:ind w:left="170" w:hanging="170"/>
      </w:pPr>
      <w:rPr>
        <w:b/>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350"/>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A8E6A2F"/>
    <w:multiLevelType w:val="multilevel"/>
    <w:tmpl w:val="6218AC68"/>
    <w:lvl w:ilvl="0">
      <w:start w:val="2"/>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sz w:val="24"/>
        <w:szCs w:val="24"/>
      </w:rPr>
    </w:lvl>
    <w:lvl w:ilvl="2">
      <w:start w:val="2"/>
      <w:numFmt w:val="decimal"/>
      <w:lvlText w:val="%1.%2.%3."/>
      <w:lvlJc w:val="left"/>
      <w:pPr>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51365A6"/>
    <w:multiLevelType w:val="hybridMultilevel"/>
    <w:tmpl w:val="4508CF82"/>
    <w:lvl w:ilvl="0" w:tplc="7BF623BC">
      <w:start w:val="1"/>
      <w:numFmt w:val="upperLetter"/>
      <w:lvlText w:val="(%1)"/>
      <w:lvlJc w:val="left"/>
      <w:pPr>
        <w:ind w:left="1671" w:hanging="360"/>
      </w:pPr>
    </w:lvl>
    <w:lvl w:ilvl="1" w:tplc="04270019">
      <w:start w:val="1"/>
      <w:numFmt w:val="lowerLetter"/>
      <w:lvlText w:val="%2."/>
      <w:lvlJc w:val="left"/>
      <w:pPr>
        <w:ind w:left="2391" w:hanging="360"/>
      </w:pPr>
    </w:lvl>
    <w:lvl w:ilvl="2" w:tplc="0427001B">
      <w:start w:val="1"/>
      <w:numFmt w:val="lowerRoman"/>
      <w:lvlText w:val="%3."/>
      <w:lvlJc w:val="right"/>
      <w:pPr>
        <w:ind w:left="3111" w:hanging="180"/>
      </w:pPr>
    </w:lvl>
    <w:lvl w:ilvl="3" w:tplc="0427000F">
      <w:start w:val="1"/>
      <w:numFmt w:val="decimal"/>
      <w:lvlText w:val="%4."/>
      <w:lvlJc w:val="left"/>
      <w:pPr>
        <w:ind w:left="3831" w:hanging="360"/>
      </w:pPr>
    </w:lvl>
    <w:lvl w:ilvl="4" w:tplc="04270019">
      <w:start w:val="1"/>
      <w:numFmt w:val="lowerLetter"/>
      <w:lvlText w:val="%5."/>
      <w:lvlJc w:val="left"/>
      <w:pPr>
        <w:ind w:left="4551" w:hanging="360"/>
      </w:pPr>
    </w:lvl>
    <w:lvl w:ilvl="5" w:tplc="0427001B">
      <w:start w:val="1"/>
      <w:numFmt w:val="lowerRoman"/>
      <w:lvlText w:val="%6."/>
      <w:lvlJc w:val="right"/>
      <w:pPr>
        <w:ind w:left="5271" w:hanging="180"/>
      </w:pPr>
    </w:lvl>
    <w:lvl w:ilvl="6" w:tplc="0427000F">
      <w:start w:val="1"/>
      <w:numFmt w:val="decimal"/>
      <w:lvlText w:val="%7."/>
      <w:lvlJc w:val="left"/>
      <w:pPr>
        <w:ind w:left="5991" w:hanging="360"/>
      </w:pPr>
    </w:lvl>
    <w:lvl w:ilvl="7" w:tplc="04270019">
      <w:start w:val="1"/>
      <w:numFmt w:val="lowerLetter"/>
      <w:lvlText w:val="%8."/>
      <w:lvlJc w:val="left"/>
      <w:pPr>
        <w:ind w:left="6711" w:hanging="360"/>
      </w:pPr>
    </w:lvl>
    <w:lvl w:ilvl="8" w:tplc="0427001B">
      <w:start w:val="1"/>
      <w:numFmt w:val="lowerRoman"/>
      <w:lvlText w:val="%9."/>
      <w:lvlJc w:val="right"/>
      <w:pPr>
        <w:ind w:left="7431" w:hanging="180"/>
      </w:pPr>
    </w:lvl>
  </w:abstractNum>
  <w:abstractNum w:abstractNumId="3" w15:restartNumberingAfterBreak="0">
    <w:nsid w:val="756E5C2A"/>
    <w:multiLevelType w:val="hybridMultilevel"/>
    <w:tmpl w:val="E984F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96"/>
    <w:rsid w:val="00124C4D"/>
    <w:rsid w:val="001D0C94"/>
    <w:rsid w:val="00201460"/>
    <w:rsid w:val="00213407"/>
    <w:rsid w:val="00263F91"/>
    <w:rsid w:val="00267186"/>
    <w:rsid w:val="002A3FA6"/>
    <w:rsid w:val="002B2104"/>
    <w:rsid w:val="003E22A8"/>
    <w:rsid w:val="00413051"/>
    <w:rsid w:val="00451389"/>
    <w:rsid w:val="004B652A"/>
    <w:rsid w:val="004C2FA2"/>
    <w:rsid w:val="00565BE6"/>
    <w:rsid w:val="00594896"/>
    <w:rsid w:val="00610FA8"/>
    <w:rsid w:val="006920FC"/>
    <w:rsid w:val="00695E92"/>
    <w:rsid w:val="00701FDF"/>
    <w:rsid w:val="00720187"/>
    <w:rsid w:val="0075344D"/>
    <w:rsid w:val="0076285B"/>
    <w:rsid w:val="00852608"/>
    <w:rsid w:val="008C6D68"/>
    <w:rsid w:val="00905FAB"/>
    <w:rsid w:val="00997037"/>
    <w:rsid w:val="00A03CCF"/>
    <w:rsid w:val="00A73D3C"/>
    <w:rsid w:val="00AB09C4"/>
    <w:rsid w:val="00AB0A69"/>
    <w:rsid w:val="00AC1B80"/>
    <w:rsid w:val="00B54093"/>
    <w:rsid w:val="00BB1565"/>
    <w:rsid w:val="00C6007D"/>
    <w:rsid w:val="00CB54A8"/>
    <w:rsid w:val="00D53122"/>
    <w:rsid w:val="00D910E3"/>
    <w:rsid w:val="00DC338D"/>
    <w:rsid w:val="00DD7ACD"/>
    <w:rsid w:val="00E84A15"/>
    <w:rsid w:val="00FC5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F529"/>
  <w15:chartTrackingRefBased/>
  <w15:docId w15:val="{7ECD8A88-8482-429E-8EA8-5C02C043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89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94896"/>
    <w:rPr>
      <w:color w:val="0000FF"/>
      <w:u w:val="single"/>
    </w:rPr>
  </w:style>
  <w:style w:type="paragraph" w:styleId="Porat">
    <w:name w:val="footer"/>
    <w:basedOn w:val="prastasis"/>
    <w:link w:val="PoratDiagrama"/>
    <w:uiPriority w:val="99"/>
    <w:rsid w:val="00594896"/>
    <w:pPr>
      <w:tabs>
        <w:tab w:val="center" w:pos="4819"/>
        <w:tab w:val="right" w:pos="9638"/>
      </w:tabs>
    </w:pPr>
  </w:style>
  <w:style w:type="character" w:customStyle="1" w:styleId="PoratDiagrama">
    <w:name w:val="Poraštė Diagrama"/>
    <w:basedOn w:val="Numatytasispastraiposriftas"/>
    <w:link w:val="Porat"/>
    <w:uiPriority w:val="99"/>
    <w:rsid w:val="00594896"/>
    <w:rPr>
      <w:rFonts w:ascii="Times New Roman" w:eastAsia="Times New Roman" w:hAnsi="Times New Roman" w:cs="Times New Roman"/>
      <w:sz w:val="24"/>
      <w:szCs w:val="24"/>
      <w:lang w:eastAsia="lt-LT"/>
    </w:rPr>
  </w:style>
  <w:style w:type="paragraph" w:styleId="Pataisymai">
    <w:name w:val="Revision"/>
    <w:hidden/>
    <w:uiPriority w:val="99"/>
    <w:semiHidden/>
    <w:rsid w:val="00594896"/>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D0C94"/>
    <w:pPr>
      <w:tabs>
        <w:tab w:val="center" w:pos="4819"/>
        <w:tab w:val="right" w:pos="9638"/>
      </w:tabs>
    </w:pPr>
  </w:style>
  <w:style w:type="character" w:customStyle="1" w:styleId="AntratsDiagrama">
    <w:name w:val="Antraštės Diagrama"/>
    <w:basedOn w:val="Numatytasispastraiposriftas"/>
    <w:link w:val="Antrats"/>
    <w:uiPriority w:val="99"/>
    <w:rsid w:val="001D0C94"/>
    <w:rPr>
      <w:rFonts w:ascii="Times New Roman" w:eastAsia="Times New Roman" w:hAnsi="Times New Roman" w:cs="Times New Roman"/>
      <w:sz w:val="24"/>
      <w:szCs w:val="24"/>
      <w:lang w:eastAsia="lt-LT"/>
    </w:rPr>
  </w:style>
  <w:style w:type="paragraph" w:styleId="Betarp">
    <w:name w:val="No Spacing"/>
    <w:uiPriority w:val="1"/>
    <w:qFormat/>
    <w:rsid w:val="00A03CCF"/>
    <w:pPr>
      <w:spacing w:after="0" w:line="240" w:lineRule="auto"/>
    </w:pPr>
    <w:rPr>
      <w:rFonts w:ascii="Calibri" w:eastAsia="PMingLiU" w:hAnsi="Calibri" w:cs="Times New Roman"/>
      <w:snapToGrid w:val="0"/>
      <w:lang w:eastAsia="de-DE"/>
    </w:rPr>
  </w:style>
  <w:style w:type="character" w:styleId="Komentaronuoroda">
    <w:name w:val="annotation reference"/>
    <w:basedOn w:val="Numatytasispastraiposriftas"/>
    <w:uiPriority w:val="99"/>
    <w:semiHidden/>
    <w:unhideWhenUsed/>
    <w:rsid w:val="00413051"/>
    <w:rPr>
      <w:sz w:val="16"/>
      <w:szCs w:val="16"/>
    </w:rPr>
  </w:style>
  <w:style w:type="paragraph" w:styleId="Komentarotekstas">
    <w:name w:val="annotation text"/>
    <w:basedOn w:val="prastasis"/>
    <w:link w:val="KomentarotekstasDiagrama"/>
    <w:uiPriority w:val="99"/>
    <w:semiHidden/>
    <w:unhideWhenUsed/>
    <w:rsid w:val="00413051"/>
    <w:rPr>
      <w:sz w:val="20"/>
      <w:szCs w:val="20"/>
    </w:rPr>
  </w:style>
  <w:style w:type="character" w:customStyle="1" w:styleId="KomentarotekstasDiagrama">
    <w:name w:val="Komentaro tekstas Diagrama"/>
    <w:basedOn w:val="Numatytasispastraiposriftas"/>
    <w:link w:val="Komentarotekstas"/>
    <w:uiPriority w:val="99"/>
    <w:semiHidden/>
    <w:rsid w:val="0041305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3051"/>
    <w:rPr>
      <w:b/>
      <w:bCs/>
    </w:rPr>
  </w:style>
  <w:style w:type="character" w:customStyle="1" w:styleId="KomentarotemaDiagrama">
    <w:name w:val="Komentaro tema Diagrama"/>
    <w:basedOn w:val="KomentarotekstasDiagrama"/>
    <w:link w:val="Komentarotema"/>
    <w:uiPriority w:val="99"/>
    <w:semiHidden/>
    <w:rsid w:val="00413051"/>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701FDF"/>
    <w:pPr>
      <w:ind w:left="720"/>
      <w:contextualSpacing/>
    </w:pPr>
  </w:style>
  <w:style w:type="paragraph" w:styleId="Debesliotekstas">
    <w:name w:val="Balloon Text"/>
    <w:basedOn w:val="prastasis"/>
    <w:link w:val="DebesliotekstasDiagrama"/>
    <w:uiPriority w:val="99"/>
    <w:semiHidden/>
    <w:unhideWhenUsed/>
    <w:rsid w:val="00B540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09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ereksoniene@pangreitoji.l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FF52-BF02-4F0B-ADF3-F6468781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18117</Words>
  <Characters>10328</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Markūnaitė</dc:creator>
  <cp:keywords/>
  <dc:description/>
  <cp:lastModifiedBy>Saulius Vaitkūnas</cp:lastModifiedBy>
  <cp:revision>8</cp:revision>
  <dcterms:created xsi:type="dcterms:W3CDTF">2023-05-23T04:25:00Z</dcterms:created>
  <dcterms:modified xsi:type="dcterms:W3CDTF">2023-05-24T05:43:00Z</dcterms:modified>
</cp:coreProperties>
</file>