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256" w:rsidRDefault="00C43256" w:rsidP="00931838">
      <w:pPr>
        <w:pStyle w:val="Heading"/>
      </w:pPr>
    </w:p>
    <w:p w:rsidR="00C43256" w:rsidRDefault="00C43256" w:rsidP="00C43256">
      <w:pPr>
        <w:pStyle w:val="Heading"/>
        <w:jc w:val="center"/>
      </w:pPr>
      <w:r>
        <w:t xml:space="preserve">VIEŠOJO PREKIŲ PIRKIMO-PARDAVIMO SUTARTIS Nr. </w:t>
      </w:r>
      <w:r w:rsidR="00931838">
        <w:t>S2-</w:t>
      </w:r>
      <w:r w:rsidR="00DB5BFB">
        <w:t>58</w:t>
      </w:r>
    </w:p>
    <w:p w:rsidR="00C43256" w:rsidRDefault="00C43256" w:rsidP="00C43256">
      <w:pPr>
        <w:pStyle w:val="Heading"/>
        <w:jc w:val="center"/>
        <w:rPr>
          <w:color w:val="C13B2B"/>
        </w:rPr>
      </w:pPr>
    </w:p>
    <w:p w:rsidR="00C43256" w:rsidRDefault="00C43256" w:rsidP="00C43256">
      <w:pPr>
        <w:pStyle w:val="Heading"/>
        <w:jc w:val="center"/>
        <w:rPr>
          <w:color w:val="auto"/>
        </w:rPr>
      </w:pPr>
      <w:r>
        <w:rPr>
          <w:color w:val="auto"/>
          <w:lang w:val="pt-PT"/>
        </w:rPr>
        <w:t>FARMACIJOS PRODUKTŲ PIRKIMAS</w:t>
      </w:r>
    </w:p>
    <w:p w:rsidR="00C43256" w:rsidRDefault="00C43256" w:rsidP="00C43256">
      <w:pPr>
        <w:pStyle w:val="Body2"/>
        <w:jc w:val="center"/>
        <w:rPr>
          <w:lang w:val="lt-LT"/>
        </w:rPr>
      </w:pPr>
    </w:p>
    <w:p w:rsidR="00C43256" w:rsidRDefault="00C43256" w:rsidP="00C43256">
      <w:pPr>
        <w:pStyle w:val="Body2"/>
        <w:jc w:val="center"/>
        <w:rPr>
          <w:lang w:val="lt-LT"/>
        </w:rPr>
      </w:pPr>
      <w:r>
        <w:rPr>
          <w:lang w:val="lt-LT"/>
        </w:rPr>
        <w:t xml:space="preserve">2023 m. </w:t>
      </w:r>
      <w:r w:rsidR="009568DB">
        <w:rPr>
          <w:lang w:val="lt-LT"/>
        </w:rPr>
        <w:t>birželio</w:t>
      </w:r>
      <w:r w:rsidR="00931838">
        <w:rPr>
          <w:lang w:val="lt-LT"/>
        </w:rPr>
        <w:t xml:space="preserve"> mėn.  </w:t>
      </w:r>
      <w:r w:rsidR="00DB5BFB">
        <w:rPr>
          <w:lang w:val="lt-LT"/>
        </w:rPr>
        <w:t>14</w:t>
      </w:r>
      <w:bookmarkStart w:id="0" w:name="_GoBack"/>
      <w:bookmarkEnd w:id="0"/>
      <w:r w:rsidR="00931838">
        <w:rPr>
          <w:lang w:val="lt-LT"/>
        </w:rPr>
        <w:t xml:space="preserve">   </w:t>
      </w:r>
      <w:r>
        <w:rPr>
          <w:lang w:val="lt-LT"/>
        </w:rPr>
        <w:t xml:space="preserve"> d.</w:t>
      </w:r>
    </w:p>
    <w:p w:rsidR="00C43256" w:rsidRDefault="00C43256" w:rsidP="00C43256">
      <w:pPr>
        <w:pStyle w:val="Body2"/>
        <w:jc w:val="center"/>
        <w:rPr>
          <w:lang w:val="lt-LT"/>
        </w:rPr>
      </w:pPr>
      <w:r>
        <w:rPr>
          <w:lang w:val="lt-LT"/>
        </w:rPr>
        <w:t>Šilalė</w:t>
      </w:r>
    </w:p>
    <w:p w:rsidR="00C43256" w:rsidRDefault="00C43256" w:rsidP="00C43256">
      <w:pPr>
        <w:pStyle w:val="Body2"/>
        <w:rPr>
          <w:lang w:val="lt-LT"/>
        </w:rPr>
      </w:pP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</w:r>
      <w:r w:rsidR="00931838" w:rsidRPr="00931838">
        <w:rPr>
          <w:bCs/>
          <w:color w:val="auto"/>
          <w:lang w:val="lt-LT"/>
        </w:rPr>
        <w:t>UAB „</w:t>
      </w:r>
      <w:proofErr w:type="spellStart"/>
      <w:r w:rsidR="00392408">
        <w:rPr>
          <w:bCs/>
          <w:color w:val="auto"/>
          <w:lang w:val="lt-LT"/>
        </w:rPr>
        <w:t>Entafarma</w:t>
      </w:r>
      <w:proofErr w:type="spellEnd"/>
      <w:r w:rsidR="00931838" w:rsidRPr="00931838">
        <w:rPr>
          <w:bCs/>
          <w:color w:val="auto"/>
          <w:lang w:val="lt-LT"/>
        </w:rPr>
        <w:t xml:space="preserve">“ </w:t>
      </w:r>
      <w:r w:rsidRPr="00931838">
        <w:rPr>
          <w:color w:val="auto"/>
          <w:lang w:val="lt-LT"/>
        </w:rPr>
        <w:t xml:space="preserve"> </w:t>
      </w:r>
      <w:r>
        <w:rPr>
          <w:lang w:val="lt-LT"/>
        </w:rPr>
        <w:t>(toli</w:t>
      </w:r>
      <w:r w:rsidR="00931838">
        <w:rPr>
          <w:lang w:val="lt-LT"/>
        </w:rPr>
        <w:t xml:space="preserve">au - Pardavėjas), atstovaujama </w:t>
      </w:r>
      <w:r w:rsidR="00392408">
        <w:rPr>
          <w:lang w:val="lt-LT"/>
        </w:rPr>
        <w:t>konkursų skyriaus vadovo Aurimo Kirkliausko,</w:t>
      </w:r>
      <w:r w:rsidR="00931838">
        <w:rPr>
          <w:lang w:val="lt-LT"/>
        </w:rPr>
        <w:t xml:space="preserve"> veikiančio </w:t>
      </w:r>
      <w:r>
        <w:rPr>
          <w:lang w:val="lt-LT"/>
        </w:rPr>
        <w:t xml:space="preserve"> pagal </w:t>
      </w:r>
      <w:r w:rsidR="001E27C7" w:rsidRPr="001E27C7">
        <w:rPr>
          <w:lang w:val="lt-LT"/>
        </w:rPr>
        <w:t>UAB „</w:t>
      </w:r>
      <w:proofErr w:type="spellStart"/>
      <w:r w:rsidR="001E27C7" w:rsidRPr="001E27C7">
        <w:rPr>
          <w:lang w:val="lt-LT"/>
        </w:rPr>
        <w:t>Entafrma</w:t>
      </w:r>
      <w:proofErr w:type="spellEnd"/>
      <w:r w:rsidR="001E27C7" w:rsidRPr="001E27C7">
        <w:rPr>
          <w:lang w:val="lt-LT"/>
        </w:rPr>
        <w:t>“ generalinio direktoriaus Tauro Endriukaičio 2023 m. sausio 2 d. įgaliojimą  Nr. ENT/Į/2023/01/02</w:t>
      </w:r>
      <w:r w:rsidRPr="001E27C7">
        <w:rPr>
          <w:lang w:val="lt-LT"/>
        </w:rPr>
        <w:t xml:space="preserve">, </w:t>
      </w:r>
    </w:p>
    <w:p w:rsidR="00C43256" w:rsidRPr="00DA7ECC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</w:r>
      <w:r w:rsidRPr="00DA7ECC">
        <w:rPr>
          <w:lang w:val="lt-LT"/>
        </w:rPr>
        <w:t>ir</w:t>
      </w:r>
    </w:p>
    <w:p w:rsidR="00C43256" w:rsidRPr="00DA7ECC" w:rsidRDefault="00C43256" w:rsidP="00C43256">
      <w:pPr>
        <w:pStyle w:val="Body2"/>
        <w:rPr>
          <w:lang w:val="lt-LT"/>
        </w:rPr>
      </w:pPr>
      <w:r w:rsidRPr="00DA7ECC">
        <w:rPr>
          <w:lang w:val="lt-LT"/>
        </w:rPr>
        <w:tab/>
      </w:r>
      <w:r w:rsidR="00931838" w:rsidRPr="00DC68DB">
        <w:rPr>
          <w:color w:val="auto"/>
          <w:lang w:val="lt-LT"/>
        </w:rPr>
        <w:t xml:space="preserve">VšĮ Šilalės rajono ligoninė </w:t>
      </w:r>
      <w:r w:rsidRPr="00DA7ECC">
        <w:rPr>
          <w:lang w:val="lt-LT"/>
        </w:rPr>
        <w:t>(toliau</w:t>
      </w:r>
      <w:r w:rsidR="00931838" w:rsidRPr="00DA7ECC">
        <w:rPr>
          <w:lang w:val="lt-LT"/>
        </w:rPr>
        <w:t xml:space="preserve"> - Pirkėjas), atstovaujama direktoriaus Osvaldo </w:t>
      </w:r>
      <w:proofErr w:type="spellStart"/>
      <w:r w:rsidR="00931838" w:rsidRPr="00DA7ECC">
        <w:rPr>
          <w:lang w:val="lt-LT"/>
        </w:rPr>
        <w:t>Šarmavičiaus</w:t>
      </w:r>
      <w:proofErr w:type="spellEnd"/>
      <w:r w:rsidR="00931838" w:rsidRPr="00DA7ECC">
        <w:rPr>
          <w:lang w:val="lt-LT"/>
        </w:rPr>
        <w:t>, veikiančio  pagal įstaigos įstatus</w:t>
      </w:r>
      <w:r w:rsidRPr="00DA7ECC">
        <w:rPr>
          <w:lang w:val="lt-LT"/>
        </w:rPr>
        <w:t xml:space="preserve">, </w:t>
      </w:r>
    </w:p>
    <w:p w:rsidR="00C43256" w:rsidRPr="00DA7ECC" w:rsidRDefault="00C43256" w:rsidP="00C43256">
      <w:pPr>
        <w:pStyle w:val="Body2"/>
        <w:rPr>
          <w:lang w:val="lt-LT"/>
        </w:rPr>
      </w:pPr>
    </w:p>
    <w:p w:rsidR="00C43256" w:rsidRPr="00DA7ECC" w:rsidRDefault="00C43256" w:rsidP="00C43256">
      <w:pPr>
        <w:pStyle w:val="Body2"/>
        <w:rPr>
          <w:lang w:val="lt-LT"/>
        </w:rPr>
      </w:pPr>
      <w:r w:rsidRPr="00DA7ECC">
        <w:rPr>
          <w:color w:val="auto"/>
          <w:lang w:val="lt-LT"/>
        </w:rPr>
        <w:tab/>
      </w:r>
      <w:r>
        <w:rPr>
          <w:color w:val="auto"/>
          <w:lang w:val="fr-FR"/>
        </w:rPr>
        <w:t>toliau Pardav</w:t>
      </w:r>
      <w:r w:rsidRPr="00DA7ECC">
        <w:rPr>
          <w:color w:val="auto"/>
          <w:lang w:val="lt-LT"/>
        </w:rPr>
        <w:t>ė</w:t>
      </w:r>
      <w:r>
        <w:rPr>
          <w:color w:val="auto"/>
          <w:lang w:val="es-ES_tradnl"/>
        </w:rPr>
        <w:t xml:space="preserve">jas ir </w:t>
      </w:r>
      <w:r w:rsidRPr="00DA7ECC">
        <w:rPr>
          <w:color w:val="auto"/>
          <w:lang w:val="lt-LT"/>
        </w:rPr>
        <w:t xml:space="preserve">Pirkėjas kiekvienas atskirai gali </w:t>
      </w:r>
      <w:proofErr w:type="spellStart"/>
      <w:r w:rsidRPr="00DA7ECC">
        <w:rPr>
          <w:color w:val="auto"/>
          <w:lang w:val="lt-LT"/>
        </w:rPr>
        <w:t>bū</w:t>
      </w:r>
      <w:proofErr w:type="spellEnd"/>
      <w:r>
        <w:rPr>
          <w:color w:val="auto"/>
          <w:lang w:val="it-IT"/>
        </w:rPr>
        <w:t xml:space="preserve">ti vadinami </w:t>
      </w:r>
      <w:r w:rsidRPr="00DA7ECC">
        <w:rPr>
          <w:color w:val="auto"/>
          <w:lang w:val="lt-LT"/>
        </w:rPr>
        <w:t>„Š</w:t>
      </w:r>
      <w:r>
        <w:rPr>
          <w:color w:val="auto"/>
          <w:lang w:val="fr-FR"/>
        </w:rPr>
        <w:t>alimi</w:t>
      </w:r>
      <w:r w:rsidRPr="00DA7ECC">
        <w:rPr>
          <w:color w:val="auto"/>
          <w:lang w:val="lt-LT"/>
        </w:rPr>
        <w:t>“, o abu kartu – „Š</w:t>
      </w:r>
      <w:r>
        <w:rPr>
          <w:color w:val="auto"/>
          <w:lang w:val="fr-FR"/>
        </w:rPr>
        <w:t>alimis</w:t>
      </w:r>
      <w:r w:rsidRPr="00DA7ECC">
        <w:rPr>
          <w:color w:val="auto"/>
          <w:lang w:val="lt-LT"/>
        </w:rPr>
        <w:t xml:space="preserve">“, sudarė šią sutartį (toliau – Sutartis), vadovaujantis skelbiamos apklausos būdu atlikto viešojo pirkimo „Farmacijos produktų pirkimas“ </w:t>
      </w:r>
      <w:r w:rsidRPr="00DA7ECC">
        <w:rPr>
          <w:lang w:val="lt-LT"/>
        </w:rPr>
        <w:t xml:space="preserve">sąlygomis </w:t>
      </w:r>
      <w:r>
        <w:rPr>
          <w:lang w:val="es-ES_tradnl"/>
        </w:rPr>
        <w:t>ir susitar</w:t>
      </w:r>
      <w:r w:rsidRPr="00DA7ECC">
        <w:rPr>
          <w:lang w:val="lt-LT"/>
        </w:rPr>
        <w:t>ė dėl toliau išvardytų sąlygų.</w:t>
      </w:r>
    </w:p>
    <w:p w:rsidR="00C43256" w:rsidRPr="00DA7ECC" w:rsidRDefault="00C43256" w:rsidP="00C43256">
      <w:pPr>
        <w:pStyle w:val="Body2"/>
        <w:rPr>
          <w:lang w:val="lt-LT"/>
        </w:rPr>
      </w:pPr>
    </w:p>
    <w:p w:rsidR="00C43256" w:rsidRDefault="00C43256" w:rsidP="00C43256">
      <w:pPr>
        <w:pStyle w:val="Heading"/>
      </w:pPr>
      <w:r>
        <w:tab/>
        <w:t xml:space="preserve">1. SUTARTIES OBJEKTAS </w:t>
      </w:r>
    </w:p>
    <w:p w:rsidR="00C43256" w:rsidRDefault="00C43256" w:rsidP="00C43256">
      <w:pPr>
        <w:pStyle w:val="Body2"/>
        <w:rPr>
          <w:b/>
          <w:bCs/>
          <w:caps/>
          <w:lang w:val="lt-LT"/>
        </w:rPr>
      </w:pP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 xml:space="preserve">1.1. Pardavėjas įsipareigoja pagal Pirkėjo poreikį Pirkėjui </w:t>
      </w:r>
      <w:r>
        <w:rPr>
          <w:lang w:val="it-IT"/>
        </w:rPr>
        <w:t>parduo</w:t>
      </w:r>
      <w:proofErr w:type="spellStart"/>
      <w:r>
        <w:rPr>
          <w:lang w:val="lt-LT"/>
        </w:rPr>
        <w:t>ti</w:t>
      </w:r>
      <w:proofErr w:type="spellEnd"/>
      <w:r>
        <w:rPr>
          <w:lang w:val="lt-LT"/>
        </w:rPr>
        <w:t xml:space="preserve"> ir neatlygintinai pristatyti S</w:t>
      </w:r>
      <w:proofErr w:type="spellStart"/>
      <w:r>
        <w:rPr>
          <w:lang w:val="de-DE"/>
        </w:rPr>
        <w:t>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nurodyt</w:t>
      </w:r>
      <w:r>
        <w:rPr>
          <w:lang w:val="lt-LT"/>
        </w:rPr>
        <w:t>as</w:t>
      </w:r>
      <w:proofErr w:type="spellEnd"/>
      <w:r>
        <w:rPr>
          <w:lang w:val="lt-LT"/>
        </w:rPr>
        <w:t xml:space="preserve"> prekes (toliau - prekės)</w:t>
      </w:r>
      <w:r>
        <w:rPr>
          <w:color w:val="C13B2B"/>
          <w:lang w:val="lt-LT"/>
        </w:rPr>
        <w:t>,</w:t>
      </w:r>
      <w:r>
        <w:rPr>
          <w:lang w:val="pt-PT"/>
        </w:rPr>
        <w:t xml:space="preserve"> o Pirk</w:t>
      </w:r>
      <w:r>
        <w:rPr>
          <w:lang w:val="lt-LT"/>
        </w:rPr>
        <w:t>ė</w:t>
      </w:r>
      <w:r>
        <w:rPr>
          <w:lang w:val="es-ES_tradnl"/>
        </w:rPr>
        <w:t xml:space="preserve">jas </w:t>
      </w:r>
      <w:r>
        <w:rPr>
          <w:lang w:val="lt-LT"/>
        </w:rPr>
        <w:t>įsipareigoja, esant prekių poreikiui, pateikti Pardavėjui užsakymą, priimti prekes ir už jas sumokė</w:t>
      </w:r>
      <w:r>
        <w:rPr>
          <w:lang w:val="it-IT"/>
        </w:rPr>
        <w:t xml:space="preserve">ti </w:t>
      </w:r>
      <w:r>
        <w:rPr>
          <w:lang w:val="lt-LT"/>
        </w:rPr>
        <w:t xml:space="preserve">pagal </w:t>
      </w:r>
      <w:proofErr w:type="spellStart"/>
      <w:r>
        <w:rPr>
          <w:lang w:val="de-DE"/>
        </w:rPr>
        <w:t>Sutarties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nurodyt</w:t>
      </w:r>
      <w:r>
        <w:rPr>
          <w:lang w:val="lt-LT"/>
        </w:rPr>
        <w:t>us</w:t>
      </w:r>
      <w:proofErr w:type="spellEnd"/>
      <w:r>
        <w:rPr>
          <w:lang w:val="lt-LT"/>
        </w:rPr>
        <w:t xml:space="preserve"> įkainius.</w:t>
      </w:r>
    </w:p>
    <w:p w:rsidR="00C43256" w:rsidRDefault="00C43256" w:rsidP="00C43256">
      <w:pPr>
        <w:pStyle w:val="Body2"/>
      </w:pPr>
      <w:r>
        <w:rPr>
          <w:lang w:val="lt-LT"/>
        </w:rPr>
        <w:tab/>
      </w:r>
      <w:r>
        <w:t xml:space="preserve">1.2.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planuojamas</w:t>
      </w:r>
      <w:proofErr w:type="spellEnd"/>
      <w:r>
        <w:t xml:space="preserve"> </w:t>
      </w:r>
      <w:proofErr w:type="spellStart"/>
      <w:r>
        <w:t>pirkti</w:t>
      </w:r>
      <w:proofErr w:type="spellEnd"/>
      <w:r>
        <w:t xml:space="preserve"> </w:t>
      </w:r>
      <w:proofErr w:type="spellStart"/>
      <w:r>
        <w:t>preliminarus</w:t>
      </w:r>
      <w:proofErr w:type="spellEnd"/>
      <w:r>
        <w:t xml:space="preserve"> </w:t>
      </w:r>
      <w:proofErr w:type="spellStart"/>
      <w:r>
        <w:t>kiekvienos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. </w:t>
      </w:r>
      <w:proofErr w:type="spellStart"/>
      <w:r>
        <w:t>Pirkė</w:t>
      </w:r>
      <w:proofErr w:type="spellEnd"/>
      <w:r>
        <w:rPr>
          <w:lang w:val="es-ES_tradnl"/>
        </w:rPr>
        <w:t>jas ne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nupirkti</w:t>
      </w:r>
      <w:proofErr w:type="spellEnd"/>
      <w:r>
        <w:t xml:space="preserve"> </w:t>
      </w:r>
      <w:proofErr w:type="spellStart"/>
      <w:r>
        <w:t>konkretaus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kiekio</w:t>
      </w:r>
      <w:proofErr w:type="spellEnd"/>
      <w:r>
        <w:t xml:space="preserve">.  </w:t>
      </w:r>
    </w:p>
    <w:p w:rsidR="00C43256" w:rsidRDefault="00C43256" w:rsidP="00C43256">
      <w:pPr>
        <w:pStyle w:val="Body2"/>
      </w:pPr>
      <w:r>
        <w:tab/>
        <w:t xml:space="preserve">1.3.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nupirkti</w:t>
      </w:r>
      <w:proofErr w:type="spellEnd"/>
      <w:r>
        <w:t xml:space="preserve"> </w:t>
      </w:r>
      <w:proofErr w:type="spellStart"/>
      <w:r>
        <w:t>mažesnį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didesnį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kiekį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viršyti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8.1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maksimalios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. </w:t>
      </w:r>
    </w:p>
    <w:p w:rsidR="00C43256" w:rsidRDefault="00C43256" w:rsidP="00C43256">
      <w:pPr>
        <w:pStyle w:val="Body2"/>
      </w:pPr>
      <w:r>
        <w:tab/>
        <w:t xml:space="preserve">1.4.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pridėtą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techninę</w:t>
      </w:r>
      <w:proofErr w:type="spellEnd"/>
      <w:r>
        <w:t xml:space="preserve"> </w:t>
      </w:r>
      <w:proofErr w:type="spellStart"/>
      <w:r>
        <w:t>specifikaciją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 xml:space="preserve">1.5. </w:t>
      </w:r>
      <w:proofErr w:type="spellStart"/>
      <w:r>
        <w:t>Pirkėjas</w:t>
      </w:r>
      <w:proofErr w:type="spellEnd"/>
      <w:r>
        <w:t xml:space="preserve">,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poreikiui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Pardavėjo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nenurodyt</w:t>
      </w:r>
      <w:proofErr w:type="spellEnd"/>
      <w:r>
        <w:t xml:space="preserve">ų,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susijusių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, </w:t>
      </w:r>
      <w:proofErr w:type="spellStart"/>
      <w:r>
        <w:t>neviršijant</w:t>
      </w:r>
      <w:proofErr w:type="spellEnd"/>
      <w:r>
        <w:t xml:space="preserve"> 10% </w:t>
      </w:r>
      <w:proofErr w:type="spellStart"/>
      <w:r>
        <w:t>maksimalios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8.1 </w:t>
      </w:r>
      <w:proofErr w:type="spellStart"/>
      <w:r>
        <w:t>punkte</w:t>
      </w:r>
      <w:proofErr w:type="spellEnd"/>
      <w:r>
        <w:t xml:space="preserve">.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tokias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apmoka</w:t>
      </w:r>
      <w:proofErr w:type="spellEnd"/>
      <w:r>
        <w:t xml:space="preserve"> ne </w:t>
      </w:r>
      <w:proofErr w:type="spellStart"/>
      <w:r>
        <w:t>didesnė</w:t>
      </w:r>
      <w:proofErr w:type="spellEnd"/>
      <w:r>
        <w:rPr>
          <w:lang w:val="it-IT"/>
        </w:rPr>
        <w:t xml:space="preserve">mis nei susitarimo </w:t>
      </w:r>
      <w:proofErr w:type="spellStart"/>
      <w:r>
        <w:t>užsakyti</w:t>
      </w:r>
      <w:proofErr w:type="spellEnd"/>
      <w:r>
        <w:t xml:space="preserve"> </w:t>
      </w:r>
      <w:proofErr w:type="spellStart"/>
      <w:r>
        <w:rPr>
          <w:lang w:val="de-DE"/>
        </w:rPr>
        <w:t>Sutarties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nenurodyt</w:t>
      </w:r>
      <w:proofErr w:type="spellEnd"/>
      <w:r>
        <w:t xml:space="preserve">as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pasiraš</w:t>
      </w:r>
      <w:proofErr w:type="spellEnd"/>
      <w:r>
        <w:rPr>
          <w:lang w:val="es-ES_tradnl"/>
        </w:rPr>
        <w:t>ymo dien</w:t>
      </w:r>
      <w:r>
        <w:t xml:space="preserve">ą </w:t>
      </w:r>
      <w:r>
        <w:rPr>
          <w:lang w:val="nl-NL"/>
        </w:rPr>
        <w:t>tiek</w:t>
      </w:r>
      <w:proofErr w:type="spellStart"/>
      <w:r>
        <w:t>ėjo</w:t>
      </w:r>
      <w:proofErr w:type="spellEnd"/>
      <w:r>
        <w:t xml:space="preserve"> </w:t>
      </w:r>
      <w:proofErr w:type="spellStart"/>
      <w:r>
        <w:t>prekybos</w:t>
      </w:r>
      <w:proofErr w:type="spellEnd"/>
      <w:r>
        <w:t xml:space="preserve"> </w:t>
      </w:r>
      <w:proofErr w:type="spellStart"/>
      <w:r>
        <w:t>vietoje</w:t>
      </w:r>
      <w:proofErr w:type="spellEnd"/>
      <w:r>
        <w:t xml:space="preserve">, </w:t>
      </w:r>
      <w:proofErr w:type="spellStart"/>
      <w:r>
        <w:t>kataloge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nurodytomis</w:t>
      </w:r>
      <w:proofErr w:type="spellEnd"/>
      <w:r>
        <w:t xml:space="preserve"> </w:t>
      </w:r>
      <w:proofErr w:type="spellStart"/>
      <w:r>
        <w:t>galiojančiomis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kainomis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tokios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neskelbiamos</w:t>
      </w:r>
      <w:proofErr w:type="spellEnd"/>
      <w:r>
        <w:t xml:space="preserve">, </w:t>
      </w:r>
      <w:proofErr w:type="spellStart"/>
      <w:r>
        <w:t>tiekė</w:t>
      </w:r>
      <w:proofErr w:type="spellEnd"/>
      <w:r>
        <w:rPr>
          <w:lang w:val="es-ES_tradnl"/>
        </w:rPr>
        <w:t>jo pasi</w:t>
      </w:r>
      <w:proofErr w:type="spellStart"/>
      <w:r>
        <w:t>ūlytomis</w:t>
      </w:r>
      <w:proofErr w:type="spellEnd"/>
      <w:r>
        <w:t xml:space="preserve">, </w:t>
      </w:r>
      <w:proofErr w:type="spellStart"/>
      <w:r>
        <w:t>konkurencingomis</w:t>
      </w:r>
      <w:proofErr w:type="spellEnd"/>
      <w:r>
        <w:t xml:space="preserve"> ir </w:t>
      </w:r>
      <w:proofErr w:type="spellStart"/>
      <w:r>
        <w:t>rinką</w:t>
      </w:r>
      <w:proofErr w:type="spellEnd"/>
      <w:r>
        <w:t xml:space="preserve"> </w:t>
      </w:r>
      <w:proofErr w:type="spellStart"/>
      <w:r>
        <w:t>atitinkančiomis</w:t>
      </w:r>
      <w:proofErr w:type="spellEnd"/>
      <w:r>
        <w:t xml:space="preserve"> </w:t>
      </w:r>
      <w:proofErr w:type="spellStart"/>
      <w:r>
        <w:t>kainomis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</w:r>
    </w:p>
    <w:p w:rsidR="00C43256" w:rsidRDefault="00C43256" w:rsidP="00C43256">
      <w:pPr>
        <w:pStyle w:val="Heading"/>
      </w:pPr>
      <w:r>
        <w:tab/>
        <w:t>2. PREKIŲ UŽSAKYMO, TIEKIMO IR PRIĖMIMO TVARKA</w:t>
      </w:r>
    </w:p>
    <w:p w:rsidR="00C43256" w:rsidRDefault="00C43256" w:rsidP="00C43256">
      <w:pPr>
        <w:pStyle w:val="Body2"/>
        <w:rPr>
          <w:b/>
          <w:bCs/>
          <w:caps/>
          <w:color w:val="auto"/>
          <w:lang w:val="lt-LT"/>
        </w:rPr>
      </w:pP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2.1. Sutarties galiojimo laikotarpiu Pirkėjas prekes užsako teikdamas Pardavėjui užsakymus, perduodamus telefonu arba raštu (faksu arba </w:t>
      </w:r>
      <w:r w:rsidR="00931838">
        <w:rPr>
          <w:color w:val="auto"/>
          <w:lang w:val="lt-LT"/>
        </w:rPr>
        <w:t>elektroniniu paštu)</w:t>
      </w:r>
      <w:r>
        <w:rPr>
          <w:color w:val="auto"/>
          <w:lang w:val="lt-LT"/>
        </w:rPr>
        <w:t>. Už</w:t>
      </w:r>
      <w:r>
        <w:rPr>
          <w:color w:val="auto"/>
          <w:lang w:val="it-IT"/>
        </w:rPr>
        <w:t>sakymai gali b</w:t>
      </w:r>
      <w:proofErr w:type="spellStart"/>
      <w:r>
        <w:rPr>
          <w:color w:val="auto"/>
          <w:lang w:val="lt-LT"/>
        </w:rPr>
        <w:t>ūti</w:t>
      </w:r>
      <w:proofErr w:type="spellEnd"/>
      <w:r>
        <w:rPr>
          <w:color w:val="auto"/>
          <w:lang w:val="lt-LT"/>
        </w:rPr>
        <w:t xml:space="preserve"> teikiami visą S</w:t>
      </w:r>
      <w:r>
        <w:rPr>
          <w:color w:val="auto"/>
          <w:lang w:val="it-IT"/>
        </w:rPr>
        <w:t>utarties galiojimo laikotarp</w:t>
      </w:r>
      <w:r>
        <w:rPr>
          <w:color w:val="auto"/>
          <w:lang w:val="lt-LT"/>
        </w:rPr>
        <w:t>į</w:t>
      </w:r>
      <w:r>
        <w:rPr>
          <w:color w:val="auto"/>
          <w:lang w:val="de-DE"/>
        </w:rPr>
        <w:t xml:space="preserve">, </w:t>
      </w:r>
      <w:proofErr w:type="spellStart"/>
      <w:r>
        <w:rPr>
          <w:color w:val="auto"/>
          <w:lang w:val="de-DE"/>
        </w:rPr>
        <w:t>nurodant</w:t>
      </w:r>
      <w:proofErr w:type="spellEnd"/>
      <w:r>
        <w:rPr>
          <w:color w:val="auto"/>
          <w:lang w:val="de-DE"/>
        </w:rPr>
        <w:t xml:space="preserve"> </w:t>
      </w:r>
      <w:proofErr w:type="spellStart"/>
      <w:r>
        <w:rPr>
          <w:color w:val="auto"/>
          <w:lang w:val="de-DE"/>
        </w:rPr>
        <w:t>konkre</w:t>
      </w:r>
      <w:r>
        <w:rPr>
          <w:color w:val="auto"/>
          <w:lang w:val="lt-LT"/>
        </w:rPr>
        <w:t>čiu</w:t>
      </w:r>
      <w:proofErr w:type="spellEnd"/>
      <w:r>
        <w:rPr>
          <w:color w:val="auto"/>
          <w:lang w:val="lt-LT"/>
        </w:rPr>
        <w:t xml:space="preserve"> atveju užsakomų prekių kiekį.</w:t>
      </w: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>2.2. Pardavė</w:t>
      </w:r>
      <w:r>
        <w:rPr>
          <w:color w:val="auto"/>
          <w:lang w:val="es-ES_tradnl"/>
        </w:rPr>
        <w:t xml:space="preserve">jas </w:t>
      </w:r>
      <w:r>
        <w:rPr>
          <w:color w:val="auto"/>
          <w:lang w:val="lt-LT"/>
        </w:rPr>
        <w:t xml:space="preserve">savo įsipareigojimus, nurodytus Sutarties 1.1 punkte įvykdo ne vėliau kaip per tris darbo </w:t>
      </w:r>
      <w:r>
        <w:rPr>
          <w:color w:val="auto"/>
          <w:lang w:val="nl-NL"/>
        </w:rPr>
        <w:t>dien</w:t>
      </w:r>
      <w:proofErr w:type="spellStart"/>
      <w:r>
        <w:rPr>
          <w:color w:val="auto"/>
          <w:lang w:val="lt-LT"/>
        </w:rPr>
        <w:t>as</w:t>
      </w:r>
      <w:proofErr w:type="spellEnd"/>
      <w:r>
        <w:rPr>
          <w:color w:val="auto"/>
          <w:lang w:val="lt-LT"/>
        </w:rPr>
        <w:t xml:space="preserve"> nuo užsakymo pateikimo dienos.</w:t>
      </w: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>2.3. Pirkėjas pasirašo Pardavėjo pateiktą perdavimo-priėmimo aktą arba kitą prekių pristatymą patvirtinantį dokumentą (pvz. sąskaitą-faktūrą), jei prekė</w:t>
      </w:r>
      <w:r>
        <w:rPr>
          <w:lang w:val="pt-PT"/>
        </w:rPr>
        <w:t xml:space="preserve">s atitinka </w:t>
      </w:r>
      <w:r>
        <w:rPr>
          <w:lang w:val="lt-LT"/>
        </w:rPr>
        <w:t>Sutarties reikalavimus ir yra tinkamai pristatytos.</w:t>
      </w:r>
    </w:p>
    <w:p w:rsidR="00C43256" w:rsidRDefault="00C43256" w:rsidP="00C43256">
      <w:pPr>
        <w:pStyle w:val="Heading"/>
      </w:pPr>
      <w:r>
        <w:tab/>
        <w:t>3. SUBTIEKIMAS</w:t>
      </w:r>
    </w:p>
    <w:p w:rsidR="00C43256" w:rsidRDefault="00C43256" w:rsidP="00C43256">
      <w:pPr>
        <w:pStyle w:val="Body2"/>
        <w:rPr>
          <w:lang w:val="lt-LT"/>
        </w:rPr>
      </w:pPr>
    </w:p>
    <w:p w:rsidR="00C43256" w:rsidRDefault="00C43256" w:rsidP="00931838">
      <w:pPr>
        <w:pStyle w:val="Body2"/>
        <w:rPr>
          <w:lang w:val="lt-LT"/>
        </w:rPr>
      </w:pPr>
      <w:r>
        <w:rPr>
          <w:lang w:val="lt-LT"/>
        </w:rPr>
        <w:tab/>
        <w:t xml:space="preserve">3.1. </w:t>
      </w:r>
      <w:r w:rsidR="00931838">
        <w:rPr>
          <w:lang w:val="lt-LT"/>
        </w:rPr>
        <w:t>Sutarties vykdymui subtiekėjai nepasitelkiami.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 xml:space="preserve">4. PREKIŲ </w:t>
      </w:r>
      <w:r>
        <w:rPr>
          <w:lang w:val="de-DE"/>
        </w:rPr>
        <w:t>KAINA IR APMOK</w:t>
      </w:r>
      <w:r>
        <w:t>ĖJIMO TVARKA</w:t>
      </w:r>
    </w:p>
    <w:p w:rsidR="00C43256" w:rsidRPr="00392408" w:rsidRDefault="00C43256" w:rsidP="00C43256">
      <w:pPr>
        <w:pStyle w:val="Body2"/>
        <w:rPr>
          <w:b/>
          <w:bCs/>
          <w:caps/>
          <w:lang w:val="lt-LT"/>
        </w:rPr>
      </w:pPr>
    </w:p>
    <w:p w:rsidR="00C43256" w:rsidRPr="00392408" w:rsidRDefault="00C43256" w:rsidP="00C43256">
      <w:pPr>
        <w:pStyle w:val="Body2"/>
        <w:rPr>
          <w:lang w:val="lt-LT"/>
        </w:rPr>
      </w:pPr>
      <w:r w:rsidRPr="00392408">
        <w:rPr>
          <w:lang w:val="lt-LT"/>
        </w:rPr>
        <w:tab/>
        <w:t xml:space="preserve">4.1. Į </w:t>
      </w:r>
      <w:proofErr w:type="spellStart"/>
      <w:r>
        <w:rPr>
          <w:lang w:val="de-DE"/>
        </w:rPr>
        <w:t>Sutarties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priede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nurodyt</w:t>
      </w:r>
      <w:proofErr w:type="spellEnd"/>
      <w:r w:rsidRPr="00392408">
        <w:rPr>
          <w:lang w:val="lt-LT"/>
        </w:rPr>
        <w:t>ą(-</w:t>
      </w:r>
      <w:proofErr w:type="spellStart"/>
      <w:r w:rsidRPr="00392408">
        <w:rPr>
          <w:lang w:val="lt-LT"/>
        </w:rPr>
        <w:t>us</w:t>
      </w:r>
      <w:proofErr w:type="spellEnd"/>
      <w:r w:rsidRPr="00392408">
        <w:rPr>
          <w:lang w:val="lt-LT"/>
        </w:rPr>
        <w:t>) įkainį(-</w:t>
      </w:r>
      <w:proofErr w:type="spellStart"/>
      <w:r w:rsidRPr="00392408">
        <w:rPr>
          <w:lang w:val="lt-LT"/>
        </w:rPr>
        <w:t>ius</w:t>
      </w:r>
      <w:proofErr w:type="spellEnd"/>
      <w:r w:rsidRPr="00392408">
        <w:rPr>
          <w:lang w:val="lt-LT"/>
        </w:rPr>
        <w:t xml:space="preserve">) įtraukti visi Pardavėjui privalomi mokėti </w:t>
      </w:r>
      <w:proofErr w:type="spellStart"/>
      <w:r w:rsidRPr="00392408">
        <w:rPr>
          <w:lang w:val="lt-LT"/>
        </w:rPr>
        <w:t>mokesč</w:t>
      </w:r>
      <w:proofErr w:type="spellEnd"/>
      <w:r>
        <w:rPr>
          <w:lang w:val="pt-PT"/>
        </w:rPr>
        <w:t>iai</w:t>
      </w:r>
      <w:r w:rsidRPr="00392408">
        <w:rPr>
          <w:lang w:val="lt-LT"/>
        </w:rPr>
        <w:t xml:space="preserve"> ir visos su prekių tiekimu susijusios išlaidos.</w:t>
      </w:r>
    </w:p>
    <w:p w:rsidR="00C43256" w:rsidRPr="00392408" w:rsidRDefault="00C43256" w:rsidP="00C43256">
      <w:pPr>
        <w:pStyle w:val="Body2"/>
        <w:rPr>
          <w:lang w:val="lt-LT"/>
        </w:rPr>
      </w:pPr>
      <w:r w:rsidRPr="00392408">
        <w:rPr>
          <w:lang w:val="lt-LT"/>
        </w:rPr>
        <w:lastRenderedPageBreak/>
        <w:tab/>
        <w:t>4.2. Sutartyje nurodytas(-i) į</w:t>
      </w:r>
      <w:proofErr w:type="spellStart"/>
      <w:r>
        <w:rPr>
          <w:lang w:val="de-DE"/>
        </w:rPr>
        <w:t>kainis</w:t>
      </w:r>
      <w:proofErr w:type="spellEnd"/>
      <w:r>
        <w:rPr>
          <w:lang w:val="de-DE"/>
        </w:rPr>
        <w:t>(-</w:t>
      </w:r>
      <w:proofErr w:type="spellStart"/>
      <w:r>
        <w:rPr>
          <w:lang w:val="de-DE"/>
        </w:rPr>
        <w:t>iai</w:t>
      </w:r>
      <w:proofErr w:type="spellEnd"/>
      <w:r>
        <w:rPr>
          <w:lang w:val="de-DE"/>
        </w:rPr>
        <w:t xml:space="preserve">) </w:t>
      </w:r>
      <w:proofErr w:type="spellStart"/>
      <w:r>
        <w:rPr>
          <w:lang w:val="de-DE"/>
        </w:rPr>
        <w:t>nebus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kei</w:t>
      </w:r>
      <w:r w:rsidRPr="00392408">
        <w:rPr>
          <w:lang w:val="lt-LT"/>
        </w:rPr>
        <w:t>čiamas</w:t>
      </w:r>
      <w:proofErr w:type="spellEnd"/>
      <w:r w:rsidRPr="00392408">
        <w:rPr>
          <w:lang w:val="lt-LT"/>
        </w:rPr>
        <w:t>(-i), išskyrus, kai Sutarties galiojimo laikotarpiu pasikeičia pridėtinė</w:t>
      </w:r>
      <w:r>
        <w:rPr>
          <w:lang w:val="nl-NL"/>
        </w:rPr>
        <w:t>s vert</w:t>
      </w:r>
      <w:r w:rsidRPr="00392408">
        <w:rPr>
          <w:lang w:val="lt-LT"/>
        </w:rPr>
        <w:t>ės mokestis (toliau – PVM). Pasikeitus PVM, už prekes, pristatytas po naujo PVM tarifo įsigaliojimo, atsiskaitoma taikant naują PVM tarifą.</w:t>
      </w:r>
    </w:p>
    <w:p w:rsidR="00C43256" w:rsidRPr="00931838" w:rsidRDefault="00C43256" w:rsidP="00C43256">
      <w:pPr>
        <w:pStyle w:val="Body2"/>
        <w:rPr>
          <w:color w:val="auto"/>
          <w:lang w:val="pt-PT"/>
        </w:rPr>
      </w:pPr>
      <w:r w:rsidRPr="00392408">
        <w:rPr>
          <w:color w:val="auto"/>
          <w:lang w:val="lt-LT"/>
        </w:rPr>
        <w:tab/>
        <w:t xml:space="preserve">4.3. Pirkėjas apmoka Pardavėjui už prekes ne vėliau kaip per 30 </w:t>
      </w:r>
      <w:r>
        <w:rPr>
          <w:color w:val="auto"/>
          <w:lang w:val="it-IT"/>
        </w:rPr>
        <w:t>kalendorini</w:t>
      </w:r>
      <w:r w:rsidRPr="00392408">
        <w:rPr>
          <w:color w:val="auto"/>
          <w:lang w:val="lt-LT"/>
        </w:rPr>
        <w:t xml:space="preserve">ų </w:t>
      </w:r>
      <w:r>
        <w:rPr>
          <w:color w:val="auto"/>
          <w:lang w:val="de-DE"/>
        </w:rPr>
        <w:t>dien</w:t>
      </w:r>
      <w:r w:rsidRPr="00392408">
        <w:rPr>
          <w:color w:val="auto"/>
          <w:lang w:val="lt-LT"/>
        </w:rPr>
        <w:t xml:space="preserve">ų </w:t>
      </w:r>
      <w:r>
        <w:rPr>
          <w:color w:val="auto"/>
          <w:lang w:val="it-IT"/>
        </w:rPr>
        <w:t>nuo s</w:t>
      </w:r>
      <w:proofErr w:type="spellStart"/>
      <w:r w:rsidRPr="00392408">
        <w:rPr>
          <w:color w:val="auto"/>
          <w:lang w:val="lt-LT"/>
        </w:rPr>
        <w:t>ąskaitos</w:t>
      </w:r>
      <w:proofErr w:type="spellEnd"/>
      <w:r w:rsidRPr="00392408">
        <w:rPr>
          <w:color w:val="auto"/>
          <w:lang w:val="lt-LT"/>
        </w:rPr>
        <w:t xml:space="preserve"> </w:t>
      </w:r>
      <w:proofErr w:type="spellStart"/>
      <w:r w:rsidRPr="00392408">
        <w:rPr>
          <w:color w:val="auto"/>
          <w:lang w:val="lt-LT"/>
        </w:rPr>
        <w:t>faktū</w:t>
      </w:r>
      <w:proofErr w:type="spellEnd"/>
      <w:r>
        <w:rPr>
          <w:color w:val="auto"/>
          <w:lang w:val="es-ES_tradnl"/>
        </w:rPr>
        <w:t xml:space="preserve">ros </w:t>
      </w:r>
      <w:r w:rsidRPr="00392408">
        <w:rPr>
          <w:color w:val="auto"/>
          <w:lang w:val="lt-LT"/>
        </w:rPr>
        <w:t xml:space="preserve">ir Šalių pasirašyto prekių </w:t>
      </w:r>
      <w:r>
        <w:rPr>
          <w:color w:val="auto"/>
          <w:lang w:val="pt-PT"/>
        </w:rPr>
        <w:t>perdavimo-pri</w:t>
      </w:r>
      <w:r w:rsidRPr="00392408">
        <w:rPr>
          <w:color w:val="auto"/>
          <w:lang w:val="lt-LT"/>
        </w:rPr>
        <w:t xml:space="preserve">ėmimo akto arba kito prekių pristatymą patvirtinančio dokumento </w:t>
      </w:r>
      <w:r>
        <w:rPr>
          <w:color w:val="auto"/>
          <w:lang w:val="pt-PT"/>
        </w:rPr>
        <w:t>gavimo dienos. Pardav</w:t>
      </w:r>
      <w:proofErr w:type="spellStart"/>
      <w:r>
        <w:rPr>
          <w:color w:val="auto"/>
        </w:rPr>
        <w:t>ėjo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pateiktoje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sąskaitoje-faktūroje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turi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bū</w:t>
      </w:r>
      <w:r>
        <w:rPr>
          <w:color w:val="auto"/>
          <w:lang w:val="de-DE"/>
        </w:rPr>
        <w:t>ti</w:t>
      </w:r>
      <w:proofErr w:type="spellEnd"/>
      <w:r>
        <w:rPr>
          <w:color w:val="auto"/>
          <w:lang w:val="de-DE"/>
        </w:rPr>
        <w:t xml:space="preserve"> </w:t>
      </w:r>
      <w:proofErr w:type="spellStart"/>
      <w:r>
        <w:rPr>
          <w:color w:val="auto"/>
          <w:lang w:val="de-DE"/>
        </w:rPr>
        <w:t>nurodoma</w:t>
      </w:r>
      <w:proofErr w:type="spellEnd"/>
      <w:r>
        <w:rPr>
          <w:color w:val="auto"/>
          <w:lang w:val="de-DE"/>
        </w:rPr>
        <w:t xml:space="preserve"> </w:t>
      </w:r>
      <w:r>
        <w:rPr>
          <w:color w:val="auto"/>
        </w:rPr>
        <w:t>S</w:t>
      </w:r>
      <w:r>
        <w:rPr>
          <w:color w:val="auto"/>
          <w:lang w:val="pt-PT"/>
        </w:rPr>
        <w:t>utarties data ir numeris.</w:t>
      </w:r>
    </w:p>
    <w:p w:rsidR="00C43256" w:rsidRDefault="00C43256" w:rsidP="00C43256">
      <w:pPr>
        <w:pStyle w:val="Body2"/>
      </w:pPr>
      <w:r>
        <w:tab/>
        <w:t xml:space="preserve">4.4.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</w:t>
      </w:r>
      <w:proofErr w:type="spellEnd"/>
      <w:r>
        <w:rPr>
          <w:lang w:val="pt-PT"/>
        </w:rPr>
        <w:t>ros teikiamos tik elektroniniu b</w:t>
      </w:r>
      <w:proofErr w:type="spellStart"/>
      <w:r>
        <w:t>ūdu</w:t>
      </w:r>
      <w:proofErr w:type="spellEnd"/>
      <w:r>
        <w:t xml:space="preserve">. </w:t>
      </w:r>
      <w:proofErr w:type="spellStart"/>
      <w:r>
        <w:t>Elektroninės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</w:t>
      </w:r>
      <w:proofErr w:type="spellEnd"/>
      <w:r>
        <w:rPr>
          <w:lang w:val="pt-PT"/>
        </w:rPr>
        <w:t>ros, atitinkan</w:t>
      </w:r>
      <w:r>
        <w:t>č</w:t>
      </w:r>
      <w:r>
        <w:rPr>
          <w:lang w:val="pt-PT"/>
        </w:rPr>
        <w:t>ios Europos elektronini</w:t>
      </w:r>
      <w:r>
        <w:t xml:space="preserve">ų </w:t>
      </w:r>
      <w:proofErr w:type="spellStart"/>
      <w:r>
        <w:t>sąskaitų</w:t>
      </w:r>
      <w:proofErr w:type="spellEnd"/>
      <w:r>
        <w:t xml:space="preserve"> </w:t>
      </w:r>
      <w:r>
        <w:rPr>
          <w:lang w:val="da-DK"/>
        </w:rPr>
        <w:t>fakt</w:t>
      </w:r>
      <w:proofErr w:type="spellStart"/>
      <w:r>
        <w:t>ūrų</w:t>
      </w:r>
      <w:proofErr w:type="spellEnd"/>
      <w:r>
        <w:t xml:space="preserve"> </w:t>
      </w:r>
      <w:proofErr w:type="spellStart"/>
      <w:r>
        <w:t>standartą</w:t>
      </w:r>
      <w:proofErr w:type="spellEnd"/>
      <w:r>
        <w:t xml:space="preserve">, </w:t>
      </w:r>
      <w:proofErr w:type="spellStart"/>
      <w:r>
        <w:t>kurio</w:t>
      </w:r>
      <w:proofErr w:type="spellEnd"/>
      <w:r>
        <w:t xml:space="preserve"> </w:t>
      </w:r>
      <w:proofErr w:type="spellStart"/>
      <w:r>
        <w:t>nuoroda</w:t>
      </w:r>
      <w:proofErr w:type="spellEnd"/>
      <w:r>
        <w:t xml:space="preserve"> </w:t>
      </w:r>
      <w:proofErr w:type="spellStart"/>
      <w:r>
        <w:t>paskelbta</w:t>
      </w:r>
      <w:proofErr w:type="spellEnd"/>
      <w:r>
        <w:t xml:space="preserve"> 2017 m. </w:t>
      </w:r>
      <w:proofErr w:type="spellStart"/>
      <w:r>
        <w:t>spalio</w:t>
      </w:r>
      <w:proofErr w:type="spellEnd"/>
      <w:r>
        <w:t xml:space="preserve"> 16 d.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įgyvendinimo</w:t>
      </w:r>
      <w:proofErr w:type="spellEnd"/>
      <w:r>
        <w:t xml:space="preserve"> </w:t>
      </w:r>
      <w:proofErr w:type="spellStart"/>
      <w:r>
        <w:t>sprendime</w:t>
      </w:r>
      <w:proofErr w:type="spellEnd"/>
      <w:r>
        <w:t xml:space="preserve"> (ES) 2017/1870 </w:t>
      </w:r>
      <w:proofErr w:type="spellStart"/>
      <w:r>
        <w:t>dė</w:t>
      </w:r>
      <w:proofErr w:type="spellEnd"/>
      <w:r>
        <w:rPr>
          <w:lang w:val="it-IT"/>
        </w:rPr>
        <w:t xml:space="preserve">l nuorodos </w:t>
      </w:r>
      <w:r>
        <w:t xml:space="preserve">į </w:t>
      </w:r>
      <w:r>
        <w:rPr>
          <w:lang w:val="pt-PT"/>
        </w:rPr>
        <w:t>Europos elektronini</w:t>
      </w:r>
      <w:r>
        <w:t xml:space="preserve">ų </w:t>
      </w:r>
      <w:proofErr w:type="spellStart"/>
      <w:r>
        <w:t>sąskaitų</w:t>
      </w:r>
      <w:proofErr w:type="spellEnd"/>
      <w:r>
        <w:t xml:space="preserve"> </w:t>
      </w:r>
      <w:r>
        <w:rPr>
          <w:lang w:val="da-DK"/>
        </w:rPr>
        <w:t>fakt</w:t>
      </w:r>
      <w:proofErr w:type="spellStart"/>
      <w:r>
        <w:t>ūrų</w:t>
      </w:r>
      <w:proofErr w:type="spellEnd"/>
      <w:r>
        <w:t xml:space="preserve"> </w:t>
      </w:r>
      <w:proofErr w:type="spellStart"/>
      <w:r>
        <w:t>standartą</w:t>
      </w:r>
      <w:proofErr w:type="spellEnd"/>
      <w:r>
        <w:t xml:space="preserve"> ir </w:t>
      </w:r>
      <w:proofErr w:type="spellStart"/>
      <w:r>
        <w:t>sintaksių</w:t>
      </w:r>
      <w:proofErr w:type="spellEnd"/>
      <w:r>
        <w:t xml:space="preserve"> </w:t>
      </w:r>
      <w:proofErr w:type="spellStart"/>
      <w:r>
        <w:t>sąraš</w:t>
      </w:r>
      <w:proofErr w:type="spellEnd"/>
      <w:r>
        <w:rPr>
          <w:lang w:val="pt-PT"/>
        </w:rPr>
        <w:t>o paskelbimo pagal Europos Parlamento ir Tarybos direktyv</w:t>
      </w:r>
      <w:r>
        <w:t>ą 2014/55/ES (OL 2017 L 266, p. 19) (</w:t>
      </w:r>
      <w:proofErr w:type="spellStart"/>
      <w:r>
        <w:t>toliau</w:t>
      </w:r>
      <w:proofErr w:type="spellEnd"/>
      <w:r>
        <w:t xml:space="preserve"> – </w:t>
      </w:r>
      <w:r>
        <w:rPr>
          <w:lang w:val="pt-PT"/>
        </w:rPr>
        <w:t>Europos elektronini</w:t>
      </w:r>
      <w:r>
        <w:t xml:space="preserve">ų </w:t>
      </w:r>
      <w:proofErr w:type="spellStart"/>
      <w:r>
        <w:t>sąskaitų</w:t>
      </w:r>
      <w:proofErr w:type="spellEnd"/>
      <w:r>
        <w:t xml:space="preserve"> </w:t>
      </w:r>
      <w:r>
        <w:rPr>
          <w:lang w:val="da-DK"/>
        </w:rPr>
        <w:t>fakt</w:t>
      </w:r>
      <w:proofErr w:type="spellStart"/>
      <w:r>
        <w:t>ūrų</w:t>
      </w:r>
      <w:proofErr w:type="spellEnd"/>
      <w:r>
        <w:t xml:space="preserve"> </w:t>
      </w:r>
      <w:proofErr w:type="spellStart"/>
      <w:r>
        <w:rPr>
          <w:lang w:val="de-DE"/>
        </w:rPr>
        <w:t>standartas</w:t>
      </w:r>
      <w:proofErr w:type="spellEnd"/>
      <w:r>
        <w:rPr>
          <w:lang w:val="de-DE"/>
        </w:rPr>
        <w:t xml:space="preserve">), </w:t>
      </w:r>
      <w:proofErr w:type="spellStart"/>
      <w:r>
        <w:rPr>
          <w:lang w:val="de-DE"/>
        </w:rPr>
        <w:t>teikiamos</w:t>
      </w:r>
      <w:proofErr w:type="spellEnd"/>
      <w:r>
        <w:rPr>
          <w:lang w:val="de-DE"/>
        </w:rPr>
        <w:t xml:space="preserve"> </w:t>
      </w:r>
      <w:proofErr w:type="spellStart"/>
      <w:r>
        <w:t>Pardavėjo</w:t>
      </w:r>
      <w:proofErr w:type="spellEnd"/>
      <w:r>
        <w:t xml:space="preserve"> </w:t>
      </w:r>
      <w:proofErr w:type="spellStart"/>
      <w:r>
        <w:t>pasirinktomis</w:t>
      </w:r>
      <w:proofErr w:type="spellEnd"/>
      <w:r>
        <w:t xml:space="preserve"> </w:t>
      </w:r>
      <w:proofErr w:type="spellStart"/>
      <w:r>
        <w:t>priemonė</w:t>
      </w:r>
      <w:proofErr w:type="spellEnd"/>
      <w:r>
        <w:rPr>
          <w:lang w:val="pt-PT"/>
        </w:rPr>
        <w:t>mis.</w:t>
      </w:r>
      <w:r>
        <w:t> </w:t>
      </w:r>
      <w:r>
        <w:rPr>
          <w:lang w:val="pt-PT"/>
        </w:rPr>
        <w:t>Europos elektronini</w:t>
      </w:r>
      <w:r>
        <w:t xml:space="preserve">ų </w:t>
      </w:r>
      <w:proofErr w:type="spellStart"/>
      <w:r>
        <w:t>sąskaitų</w:t>
      </w:r>
      <w:proofErr w:type="spellEnd"/>
      <w:r>
        <w:t xml:space="preserve"> </w:t>
      </w:r>
      <w:r>
        <w:rPr>
          <w:lang w:val="da-DK"/>
        </w:rPr>
        <w:t>fakt</w:t>
      </w:r>
      <w:proofErr w:type="spellStart"/>
      <w:r>
        <w:t>ūrų</w:t>
      </w:r>
      <w:proofErr w:type="spellEnd"/>
      <w:r>
        <w:t> </w:t>
      </w:r>
      <w:r>
        <w:rPr>
          <w:lang w:val="it-IT"/>
        </w:rPr>
        <w:t>standarto neatitinkan</w:t>
      </w:r>
      <w:r>
        <w:t>č</w:t>
      </w:r>
      <w:r>
        <w:rPr>
          <w:lang w:val="es-ES_tradnl"/>
        </w:rPr>
        <w:t>ios elektronin</w:t>
      </w:r>
      <w:proofErr w:type="spellStart"/>
      <w:r>
        <w:t>ės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faktūros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</w:t>
      </w:r>
      <w:proofErr w:type="spellEnd"/>
      <w:r>
        <w:rPr>
          <w:lang w:val="es-ES_tradnl"/>
        </w:rPr>
        <w:t>ti teikiamos tik naudojantis informacin</w:t>
      </w:r>
      <w:r>
        <w:t>ė</w:t>
      </w:r>
      <w:r>
        <w:rPr>
          <w:lang w:val="pt-PT"/>
        </w:rPr>
        <w:t xml:space="preserve">s sistemos </w:t>
      </w:r>
      <w:r>
        <w:t xml:space="preserve">„E. </w:t>
      </w:r>
      <w:proofErr w:type="spellStart"/>
      <w:proofErr w:type="gramStart"/>
      <w:r>
        <w:t>sąskaita</w:t>
      </w:r>
      <w:proofErr w:type="spellEnd"/>
      <w:proofErr w:type="gramEnd"/>
      <w:r>
        <w:t xml:space="preserve">“ </w:t>
      </w:r>
      <w:proofErr w:type="spellStart"/>
      <w:r>
        <w:t>priemonėmis</w:t>
      </w:r>
      <w:proofErr w:type="spellEnd"/>
      <w:r>
        <w:t xml:space="preserve"> (</w:t>
      </w:r>
      <w:proofErr w:type="spellStart"/>
      <w:r>
        <w:t>žr</w:t>
      </w:r>
      <w:proofErr w:type="spellEnd"/>
      <w:r>
        <w:t xml:space="preserve">. </w:t>
      </w:r>
      <w:hyperlink r:id="rId5" w:history="1">
        <w:r>
          <w:rPr>
            <w:rStyle w:val="Hipersaitas"/>
          </w:rPr>
          <w:t>www.esaskaita.eu</w:t>
        </w:r>
      </w:hyperlink>
      <w:r>
        <w:t xml:space="preserve">). </w:t>
      </w:r>
      <w:proofErr w:type="spellStart"/>
      <w:r>
        <w:t>Paslauga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apmokama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finansų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 E</w:t>
      </w:r>
      <w:r>
        <w:rPr>
          <w:lang w:val="nl-NL"/>
        </w:rPr>
        <w:t>lektronin</w:t>
      </w:r>
      <w:proofErr w:type="spellStart"/>
      <w:r>
        <w:t>ės</w:t>
      </w:r>
      <w:proofErr w:type="spellEnd"/>
      <w:r>
        <w:t xml:space="preserve"> </w:t>
      </w:r>
      <w:proofErr w:type="spellStart"/>
      <w:r>
        <w:t>sąskaito</w:t>
      </w:r>
      <w:proofErr w:type="spellEnd"/>
      <w:r>
        <w:rPr>
          <w:lang w:val="da-DK"/>
        </w:rPr>
        <w:t>s fakt</w:t>
      </w:r>
      <w:proofErr w:type="spellStart"/>
      <w:r>
        <w:t>ūros</w:t>
      </w:r>
      <w:proofErr w:type="spellEnd"/>
      <w:r>
        <w:t xml:space="preserve"> </w:t>
      </w:r>
      <w:proofErr w:type="spellStart"/>
      <w:r>
        <w:t>priimamos</w:t>
      </w:r>
      <w:proofErr w:type="spellEnd"/>
      <w:r>
        <w:rPr>
          <w:lang w:val="es-ES_tradnl"/>
        </w:rPr>
        <w:t xml:space="preserve"> ir apdoroja</w:t>
      </w:r>
      <w:proofErr w:type="spellStart"/>
      <w:r>
        <w:t>mos</w:t>
      </w:r>
      <w:proofErr w:type="spellEnd"/>
      <w:r>
        <w:rPr>
          <w:lang w:val="it-IT"/>
        </w:rPr>
        <w:t xml:space="preserve"> naudodamasi informacin</w:t>
      </w:r>
      <w:r>
        <w:t>ė</w:t>
      </w:r>
      <w:r>
        <w:rPr>
          <w:lang w:val="pt-PT"/>
        </w:rPr>
        <w:t xml:space="preserve">s sistemos </w:t>
      </w:r>
      <w:r>
        <w:t>„E. </w:t>
      </w:r>
      <w:proofErr w:type="spellStart"/>
      <w:r>
        <w:t>sąskaita</w:t>
      </w:r>
      <w:proofErr w:type="spellEnd"/>
      <w:proofErr w:type="gramStart"/>
      <w:r>
        <w:t xml:space="preserve">“ </w:t>
      </w:r>
      <w:proofErr w:type="spellStart"/>
      <w:r>
        <w:t>priemonė</w:t>
      </w:r>
      <w:proofErr w:type="spellEnd"/>
      <w:r>
        <w:rPr>
          <w:lang w:val="pt-PT"/>
        </w:rPr>
        <w:t>mis</w:t>
      </w:r>
      <w:proofErr w:type="gramEnd"/>
      <w:r>
        <w:rPr>
          <w:lang w:val="pt-PT"/>
        </w:rPr>
        <w:t>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>5. PREKIŲ KOKYBĖ IR GARANTIJA</w:t>
      </w:r>
    </w:p>
    <w:p w:rsidR="00C43256" w:rsidRDefault="00C43256" w:rsidP="00C43256">
      <w:pPr>
        <w:pStyle w:val="Body2"/>
        <w:rPr>
          <w:b/>
          <w:bCs/>
          <w:caps/>
          <w:lang w:val="lt-LT"/>
        </w:rPr>
      </w:pPr>
    </w:p>
    <w:p w:rsidR="00C43256" w:rsidRDefault="00C43256" w:rsidP="00C43256">
      <w:pPr>
        <w:pStyle w:val="Body2"/>
      </w:pPr>
      <w:r>
        <w:rPr>
          <w:lang w:val="lt-LT"/>
        </w:rPr>
        <w:tab/>
        <w:t xml:space="preserve">5.1. Pardavėjas garantuoja parduodamų prekių kokybę.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kokybė</w:t>
      </w:r>
      <w:proofErr w:type="spellEnd"/>
      <w:r>
        <w:t>, ž</w:t>
      </w:r>
      <w:r>
        <w:rPr>
          <w:lang w:val="pt-PT"/>
        </w:rPr>
        <w:t xml:space="preserve">enklinimas ir </w:t>
      </w:r>
      <w:proofErr w:type="spellStart"/>
      <w:r>
        <w:t>įpakavimas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standartus</w:t>
      </w:r>
      <w:proofErr w:type="spellEnd"/>
      <w:r>
        <w:t xml:space="preserve">. </w:t>
      </w:r>
    </w:p>
    <w:p w:rsidR="00C43256" w:rsidRDefault="00C43256" w:rsidP="00C43256">
      <w:pPr>
        <w:pStyle w:val="Body2"/>
      </w:pPr>
      <w:r>
        <w:tab/>
        <w:t xml:space="preserve">5.2.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suteikiama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garantija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trumpesnis</w:t>
      </w:r>
      <w:proofErr w:type="spellEnd"/>
      <w:r>
        <w:t xml:space="preserve">, </w:t>
      </w:r>
      <w:proofErr w:type="spellStart"/>
      <w:r>
        <w:t>nei</w:t>
      </w:r>
      <w:proofErr w:type="spellEnd"/>
      <w:r>
        <w:t xml:space="preserve"> </w:t>
      </w:r>
      <w:proofErr w:type="spellStart"/>
      <w:r>
        <w:t>reikalaujama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aktus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pateiktoje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t</w:t>
      </w:r>
      <w:proofErr w:type="spellStart"/>
      <w:r>
        <w:rPr>
          <w:lang w:val="de-DE"/>
        </w:rPr>
        <w:t>echnin</w:t>
      </w:r>
      <w:r>
        <w:t>ėje</w:t>
      </w:r>
      <w:proofErr w:type="spellEnd"/>
      <w:r>
        <w:t xml:space="preserve"> </w:t>
      </w:r>
      <w:proofErr w:type="spellStart"/>
      <w:r>
        <w:t>specifikacijoje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ilgesnis</w:t>
      </w:r>
      <w:proofErr w:type="spellEnd"/>
      <w:r>
        <w:t xml:space="preserve"> </w:t>
      </w:r>
      <w:proofErr w:type="spellStart"/>
      <w:r>
        <w:t>reikalaujamas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minimalus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, </w:t>
      </w:r>
      <w:proofErr w:type="spellStart"/>
      <w:r>
        <w:t>prekei</w:t>
      </w:r>
      <w:proofErr w:type="spellEnd"/>
      <w:r>
        <w:t xml:space="preserve"> </w:t>
      </w:r>
      <w:proofErr w:type="spellStart"/>
      <w:r>
        <w:t>taikomas</w:t>
      </w:r>
      <w:proofErr w:type="spellEnd"/>
      <w:r>
        <w:t xml:space="preserve"> ne </w:t>
      </w:r>
      <w:proofErr w:type="spellStart"/>
      <w:r>
        <w:t>trumpesnis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pateiktoje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rPr>
          <w:lang w:val="de-DE"/>
        </w:rPr>
        <w:t>technin</w:t>
      </w:r>
      <w:r>
        <w:t>ėje</w:t>
      </w:r>
      <w:proofErr w:type="spellEnd"/>
      <w:r>
        <w:t xml:space="preserve"> </w:t>
      </w:r>
      <w:proofErr w:type="spellStart"/>
      <w:r>
        <w:t>specifikacijoje</w:t>
      </w:r>
      <w:proofErr w:type="spellEnd"/>
      <w:r>
        <w:t>.</w:t>
      </w:r>
    </w:p>
    <w:p w:rsidR="00C43256" w:rsidRDefault="00C43256" w:rsidP="00C43256">
      <w:pPr>
        <w:pStyle w:val="Body2"/>
        <w:rPr>
          <w:lang w:val="pt-PT"/>
        </w:rPr>
      </w:pPr>
      <w:r>
        <w:tab/>
        <w:t xml:space="preserve">5.3. </w:t>
      </w:r>
      <w:proofErr w:type="spellStart"/>
      <w:r>
        <w:t>Garantinis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pradedamas</w:t>
      </w:r>
      <w:proofErr w:type="spellEnd"/>
      <w:r>
        <w:t xml:space="preserve"> </w:t>
      </w:r>
      <w:proofErr w:type="spellStart"/>
      <w:r>
        <w:t>skaič</w:t>
      </w:r>
      <w:proofErr w:type="spellEnd"/>
      <w:r>
        <w:rPr>
          <w:lang w:val="it-IT"/>
        </w:rPr>
        <w:t>iuoti nuo preki</w:t>
      </w:r>
      <w:r>
        <w:t xml:space="preserve">ų </w:t>
      </w:r>
      <w:r>
        <w:rPr>
          <w:lang w:val="pt-PT"/>
        </w:rPr>
        <w:t>perdavimo - pri</w:t>
      </w:r>
      <w:proofErr w:type="spellStart"/>
      <w:r>
        <w:t>ėmimo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lygiaverčio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pasiraš</w:t>
      </w:r>
      <w:proofErr w:type="spellEnd"/>
      <w:r>
        <w:rPr>
          <w:lang w:val="pt-PT"/>
        </w:rPr>
        <w:t>ymo dienos.</w:t>
      </w:r>
    </w:p>
    <w:p w:rsidR="00931838" w:rsidRDefault="00931838" w:rsidP="00C43256">
      <w:pPr>
        <w:pStyle w:val="Body2"/>
        <w:rPr>
          <w:lang w:val="pt-PT"/>
        </w:rPr>
      </w:pPr>
    </w:p>
    <w:p w:rsidR="00C43256" w:rsidRDefault="00C43256" w:rsidP="00C43256">
      <w:pPr>
        <w:pStyle w:val="Heading"/>
      </w:pPr>
      <w:r>
        <w:tab/>
        <w:t>6</w:t>
      </w:r>
      <w:r>
        <w:rPr>
          <w:lang w:val="de-DE"/>
        </w:rPr>
        <w:t>. SUSIRA</w:t>
      </w:r>
      <w:r>
        <w:t>Š</w:t>
      </w:r>
      <w:r>
        <w:rPr>
          <w:lang w:val="de-DE"/>
        </w:rPr>
        <w:t>IN</w:t>
      </w:r>
      <w:r>
        <w:t>ĖJIMAS</w:t>
      </w:r>
    </w:p>
    <w:p w:rsidR="00C43256" w:rsidRDefault="00C43256" w:rsidP="00C43256">
      <w:pPr>
        <w:pStyle w:val="Body2"/>
        <w:rPr>
          <w:lang w:val="lt-LT"/>
        </w:rPr>
      </w:pPr>
    </w:p>
    <w:p w:rsidR="00C43256" w:rsidRDefault="00C43256" w:rsidP="00C43256">
      <w:pPr>
        <w:pStyle w:val="Body2"/>
      </w:pPr>
      <w:r>
        <w:rPr>
          <w:lang w:val="lt-LT"/>
        </w:rPr>
        <w:tab/>
        <w:t>6.1. Pirkėjo</w:t>
      </w:r>
      <w:r>
        <w:rPr>
          <w:lang w:val="es-ES_tradnl"/>
        </w:rPr>
        <w:t xml:space="preserve"> ir Pardav</w:t>
      </w:r>
      <w:r>
        <w:rPr>
          <w:lang w:val="lt-LT"/>
        </w:rPr>
        <w:t xml:space="preserve">ėjo vienas kitam siunčiami pranešimai turi būti raštiški. Siunčiami pranešimai turi būti siunčiami paštu, elektroniniu paštu, faksu arba įteikiami asmeniškai Sutartyje Šalių </w:t>
      </w:r>
      <w:r>
        <w:rPr>
          <w:lang w:val="pt-PT"/>
        </w:rPr>
        <w:t>nurodytais adresais. Jei adresatas ra</w:t>
      </w:r>
      <w:proofErr w:type="spellStart"/>
      <w:r>
        <w:t>štu</w:t>
      </w:r>
      <w:proofErr w:type="spellEnd"/>
      <w:r>
        <w:t xml:space="preserve"> </w:t>
      </w:r>
      <w:proofErr w:type="spellStart"/>
      <w:r>
        <w:t>praneša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adresą</w:t>
      </w:r>
      <w:proofErr w:type="spellEnd"/>
      <w:r>
        <w:t xml:space="preserve">, tai </w:t>
      </w:r>
      <w:proofErr w:type="spellStart"/>
      <w:r>
        <w:t>dokumentai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pristatomi</w:t>
      </w:r>
      <w:proofErr w:type="spellEnd"/>
      <w:r>
        <w:t xml:space="preserve"> </w:t>
      </w:r>
      <w:proofErr w:type="spellStart"/>
      <w:r>
        <w:t>naujuoju</w:t>
      </w:r>
      <w:proofErr w:type="spellEnd"/>
      <w:r>
        <w:t xml:space="preserve"> </w:t>
      </w:r>
      <w:proofErr w:type="spellStart"/>
      <w:r>
        <w:t>adresu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 xml:space="preserve">6.2.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siuntėjui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nurodo</w:t>
      </w:r>
      <w:proofErr w:type="spellEnd"/>
      <w:r>
        <w:t xml:space="preserve"> </w:t>
      </w:r>
      <w:proofErr w:type="spellStart"/>
      <w:r>
        <w:t>tokį</w:t>
      </w:r>
      <w:proofErr w:type="spellEnd"/>
      <w:r>
        <w:t xml:space="preserve"> </w:t>
      </w:r>
      <w:proofErr w:type="spellStart"/>
      <w:r>
        <w:t>reikalavimą</w:t>
      </w:r>
      <w:proofErr w:type="spellEnd"/>
      <w:r>
        <w:t xml:space="preserve"> </w:t>
      </w:r>
      <w:proofErr w:type="spellStart"/>
      <w:r>
        <w:t>pranešime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atsakymo</w:t>
      </w:r>
      <w:proofErr w:type="spellEnd"/>
      <w:r>
        <w:t xml:space="preserve"> į </w:t>
      </w:r>
      <w:proofErr w:type="spellStart"/>
      <w:r>
        <w:t>raštišką</w:t>
      </w:r>
      <w:proofErr w:type="spellEnd"/>
      <w:r>
        <w:t xml:space="preserve"> </w:t>
      </w:r>
      <w:proofErr w:type="spellStart"/>
      <w:r>
        <w:t>pranešimą</w:t>
      </w:r>
      <w:proofErr w:type="spellEnd"/>
      <w:r>
        <w:t xml:space="preserve"> </w:t>
      </w:r>
      <w:r>
        <w:rPr>
          <w:lang w:val="it-IT"/>
        </w:rPr>
        <w:t>gavimo terminas, siunt</w:t>
      </w:r>
      <w:r>
        <w:t>ė</w:t>
      </w:r>
      <w:r>
        <w:rPr>
          <w:lang w:val="pt-PT"/>
        </w:rPr>
        <w:t>jas prane</w:t>
      </w:r>
      <w:proofErr w:type="spellStart"/>
      <w:r>
        <w:t>šime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reikalavimą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praneš</w:t>
      </w:r>
      <w:proofErr w:type="spellEnd"/>
      <w:r>
        <w:rPr>
          <w:lang w:val="it-IT"/>
        </w:rPr>
        <w:t>imo gavim</w:t>
      </w:r>
      <w:r>
        <w:t xml:space="preserve">ą. Bet </w:t>
      </w:r>
      <w:proofErr w:type="spellStart"/>
      <w:r>
        <w:t>kuriuo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siuntėjas</w:t>
      </w:r>
      <w:proofErr w:type="spellEnd"/>
      <w:r>
        <w:t xml:space="preserve"> </w:t>
      </w:r>
      <w:proofErr w:type="spellStart"/>
      <w:r>
        <w:t>imasi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, </w:t>
      </w:r>
      <w:proofErr w:type="spellStart"/>
      <w:r>
        <w:t>būtinų</w:t>
      </w:r>
      <w:proofErr w:type="spellEnd"/>
      <w:r>
        <w:t xml:space="preserve"> </w:t>
      </w:r>
      <w:proofErr w:type="gramStart"/>
      <w:r>
        <w:rPr>
          <w:lang w:val="pt-PT"/>
        </w:rPr>
        <w:t>jo</w:t>
      </w:r>
      <w:proofErr w:type="gramEnd"/>
      <w:r>
        <w:rPr>
          <w:lang w:val="pt-PT"/>
        </w:rPr>
        <w:t xml:space="preserve"> prane</w:t>
      </w:r>
      <w:r>
        <w:t>š</w:t>
      </w:r>
      <w:r>
        <w:rPr>
          <w:lang w:val="pt-PT"/>
        </w:rPr>
        <w:t>imo gavimui u</w:t>
      </w:r>
      <w:proofErr w:type="spellStart"/>
      <w:r>
        <w:t>žtikrinti</w:t>
      </w:r>
      <w:proofErr w:type="spellEnd"/>
      <w:r>
        <w:t>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>7. ŠALIŲ ATSAKOMYBĖ</w:t>
      </w:r>
    </w:p>
    <w:p w:rsidR="00C43256" w:rsidRDefault="00C43256" w:rsidP="00C43256">
      <w:pPr>
        <w:pStyle w:val="Body2"/>
        <w:rPr>
          <w:b/>
          <w:bCs/>
          <w:caps/>
          <w:lang w:val="lt-LT"/>
        </w:rPr>
      </w:pP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7.1. </w:t>
      </w:r>
      <w:proofErr w:type="spellStart"/>
      <w:r>
        <w:rPr>
          <w:color w:val="auto"/>
          <w:lang w:val="lt-LT"/>
        </w:rPr>
        <w:t>Pirkė</w:t>
      </w:r>
      <w:proofErr w:type="spellEnd"/>
      <w:r>
        <w:rPr>
          <w:color w:val="auto"/>
          <w:lang w:val="es-ES_tradnl"/>
        </w:rPr>
        <w:t>jas, u</w:t>
      </w:r>
      <w:proofErr w:type="spellStart"/>
      <w:r>
        <w:rPr>
          <w:color w:val="auto"/>
          <w:lang w:val="lt-LT"/>
        </w:rPr>
        <w:t>ždelsęs</w:t>
      </w:r>
      <w:proofErr w:type="spellEnd"/>
      <w:r>
        <w:rPr>
          <w:color w:val="auto"/>
          <w:lang w:val="lt-LT"/>
        </w:rPr>
        <w:t xml:space="preserve"> sumokėti Sutarties 4.3 punkte numatyta tvarka, įsipareigoja Pardavėjui pareikalavus mokė</w:t>
      </w:r>
      <w:r>
        <w:rPr>
          <w:color w:val="auto"/>
          <w:lang w:val="it-IT"/>
        </w:rPr>
        <w:t>ti Pardav</w:t>
      </w:r>
      <w:proofErr w:type="spellStart"/>
      <w:r>
        <w:rPr>
          <w:color w:val="auto"/>
          <w:lang w:val="lt-LT"/>
        </w:rPr>
        <w:t>ėjui</w:t>
      </w:r>
      <w:proofErr w:type="spellEnd"/>
      <w:r>
        <w:rPr>
          <w:color w:val="auto"/>
          <w:lang w:val="lt-LT"/>
        </w:rPr>
        <w:t xml:space="preserve"> 0,02 % </w:t>
      </w:r>
      <w:r>
        <w:rPr>
          <w:color w:val="auto"/>
          <w:lang w:val="it-IT"/>
        </w:rPr>
        <w:t>delspinigius nuo neapmok</w:t>
      </w:r>
      <w:r>
        <w:rPr>
          <w:color w:val="auto"/>
          <w:lang w:val="lt-LT"/>
        </w:rPr>
        <w:t>ė</w:t>
      </w:r>
      <w:r>
        <w:rPr>
          <w:color w:val="auto"/>
          <w:lang w:val="es-ES_tradnl"/>
        </w:rPr>
        <w:t>tos s</w:t>
      </w:r>
      <w:proofErr w:type="spellStart"/>
      <w:r>
        <w:rPr>
          <w:color w:val="auto"/>
          <w:lang w:val="lt-LT"/>
        </w:rPr>
        <w:t>ąskaitos</w:t>
      </w:r>
      <w:proofErr w:type="spellEnd"/>
      <w:r>
        <w:rPr>
          <w:color w:val="auto"/>
          <w:lang w:val="lt-LT"/>
        </w:rPr>
        <w:t xml:space="preserve"> </w:t>
      </w:r>
      <w:proofErr w:type="spellStart"/>
      <w:r>
        <w:rPr>
          <w:color w:val="auto"/>
          <w:lang w:val="lt-LT"/>
        </w:rPr>
        <w:t>dydž</w:t>
      </w:r>
      <w:proofErr w:type="spellEnd"/>
      <w:r>
        <w:rPr>
          <w:color w:val="auto"/>
          <w:lang w:val="it-IT"/>
        </w:rPr>
        <w:t>io, u</w:t>
      </w:r>
      <w:r>
        <w:rPr>
          <w:color w:val="auto"/>
          <w:lang w:val="lt-LT"/>
        </w:rPr>
        <w:t xml:space="preserve">ž kiekvieną uždelstą </w:t>
      </w:r>
      <w:r>
        <w:rPr>
          <w:color w:val="auto"/>
          <w:lang w:val="de-DE"/>
        </w:rPr>
        <w:t>dien</w:t>
      </w:r>
      <w:r>
        <w:rPr>
          <w:color w:val="auto"/>
          <w:lang w:val="lt-LT"/>
        </w:rPr>
        <w:t>ą.</w:t>
      </w: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>7.2. Pardavė</w:t>
      </w:r>
      <w:r>
        <w:rPr>
          <w:color w:val="auto"/>
          <w:lang w:val="es-ES_tradnl"/>
        </w:rPr>
        <w:t>jas, u</w:t>
      </w:r>
      <w:proofErr w:type="spellStart"/>
      <w:r>
        <w:rPr>
          <w:color w:val="auto"/>
          <w:lang w:val="lt-LT"/>
        </w:rPr>
        <w:t>ždelsęs</w:t>
      </w:r>
      <w:proofErr w:type="spellEnd"/>
      <w:r>
        <w:rPr>
          <w:color w:val="auto"/>
          <w:lang w:val="lt-LT"/>
        </w:rPr>
        <w:t xml:space="preserve"> pristatyti Prekes arba įvykdyti garantinius įsipareigojimus Sutartyje numatytais terminais, moka Pirkėjui 0,02</w:t>
      </w:r>
      <w:r>
        <w:rPr>
          <w:color w:val="auto"/>
          <w:lang w:val="it-IT"/>
        </w:rPr>
        <w:t xml:space="preserve"> % delspinigius </w:t>
      </w:r>
      <w:r>
        <w:rPr>
          <w:color w:val="auto"/>
          <w:lang w:val="lt-LT"/>
        </w:rPr>
        <w:t xml:space="preserve">nuo nepristatytų / nepataisytų prekių vertės už kiekvieną uždelstą </w:t>
      </w:r>
      <w:r>
        <w:rPr>
          <w:color w:val="auto"/>
          <w:lang w:val="de-DE"/>
        </w:rPr>
        <w:t>dien</w:t>
      </w:r>
      <w:r>
        <w:rPr>
          <w:color w:val="auto"/>
          <w:lang w:val="lt-LT"/>
        </w:rPr>
        <w:t>ą.</w:t>
      </w: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7.3. Pirkėjui nutraukus Sutartį </w:t>
      </w:r>
      <w:proofErr w:type="spellStart"/>
      <w:r>
        <w:rPr>
          <w:color w:val="auto"/>
          <w:lang w:val="lt-LT"/>
        </w:rPr>
        <w:t>dė</w:t>
      </w:r>
      <w:proofErr w:type="spellEnd"/>
      <w:r>
        <w:rPr>
          <w:color w:val="auto"/>
          <w:lang w:val="nl-NL"/>
        </w:rPr>
        <w:t xml:space="preserve">l esminio Sutarties </w:t>
      </w:r>
      <w:r>
        <w:rPr>
          <w:color w:val="auto"/>
          <w:lang w:val="lt-LT"/>
        </w:rPr>
        <w:t xml:space="preserve">pažeidimo, Pardavėjas įsipareigoja sumokėti </w:t>
      </w:r>
      <w:proofErr w:type="spellStart"/>
      <w:r>
        <w:rPr>
          <w:color w:val="auto"/>
          <w:lang w:val="lt-LT"/>
        </w:rPr>
        <w:t>Pirkė</w:t>
      </w:r>
      <w:proofErr w:type="spellEnd"/>
      <w:r>
        <w:rPr>
          <w:color w:val="auto"/>
          <w:lang w:val="fr-FR"/>
        </w:rPr>
        <w:t>jui</w:t>
      </w:r>
      <w:r>
        <w:rPr>
          <w:color w:val="auto"/>
          <w:lang w:val="lt-LT"/>
        </w:rPr>
        <w:t xml:space="preserve"> 10 % </w:t>
      </w:r>
      <w:proofErr w:type="spellStart"/>
      <w:r>
        <w:rPr>
          <w:color w:val="auto"/>
          <w:lang w:val="lt-LT"/>
        </w:rPr>
        <w:t>dydž</w:t>
      </w:r>
      <w:proofErr w:type="spellEnd"/>
      <w:r>
        <w:rPr>
          <w:color w:val="auto"/>
          <w:lang w:val="pt-PT"/>
        </w:rPr>
        <w:t>io netesybas (baud</w:t>
      </w:r>
      <w:r>
        <w:rPr>
          <w:color w:val="auto"/>
          <w:lang w:val="lt-LT"/>
        </w:rPr>
        <w:t>ą) nuo bendros Sutarties kainos be PVM nurodytos Sutarties priede.</w:t>
      </w:r>
      <w:r>
        <w:rPr>
          <w:lang w:val="lt-LT"/>
        </w:rPr>
        <w:tab/>
      </w:r>
      <w:r>
        <w:rPr>
          <w:lang w:val="lt-LT"/>
        </w:rPr>
        <w:tab/>
      </w:r>
    </w:p>
    <w:p w:rsidR="00C43256" w:rsidRDefault="00C43256" w:rsidP="00C43256">
      <w:pPr>
        <w:pStyle w:val="Heading"/>
      </w:pPr>
      <w:r>
        <w:tab/>
        <w:t>8. SUTARTIES GALIOJIMAS IR SUSTABDYMAS</w:t>
      </w:r>
    </w:p>
    <w:p w:rsidR="00C43256" w:rsidRDefault="00C43256" w:rsidP="00C43256">
      <w:pPr>
        <w:pStyle w:val="Body2"/>
        <w:rPr>
          <w:b/>
          <w:bCs/>
          <w:caps/>
          <w:lang w:val="lt-LT"/>
        </w:rPr>
      </w:pPr>
    </w:p>
    <w:p w:rsidR="00C43256" w:rsidRDefault="00C43256" w:rsidP="00C43256">
      <w:pPr>
        <w:pStyle w:val="Body2"/>
        <w:rPr>
          <w:color w:val="auto"/>
          <w:lang w:val="lt-LT"/>
        </w:rPr>
      </w:pPr>
      <w:r>
        <w:rPr>
          <w:color w:val="auto"/>
          <w:lang w:val="lt-LT"/>
        </w:rPr>
        <w:tab/>
        <w:t xml:space="preserve">8.1. </w:t>
      </w:r>
      <w:r>
        <w:rPr>
          <w:lang w:val="lt-LT"/>
        </w:rPr>
        <w:t>S</w:t>
      </w:r>
      <w:r>
        <w:rPr>
          <w:lang w:val="fr-FR"/>
        </w:rPr>
        <w:t xml:space="preserve">utartis </w:t>
      </w:r>
      <w:r>
        <w:rPr>
          <w:lang w:val="lt-LT"/>
        </w:rPr>
        <w:t>į</w:t>
      </w:r>
      <w:r w:rsidR="00931838">
        <w:rPr>
          <w:lang w:val="lt-LT"/>
        </w:rPr>
        <w:t xml:space="preserve">sigalioja 2023 metų </w:t>
      </w:r>
      <w:r w:rsidR="009568DB">
        <w:rPr>
          <w:lang w:val="lt-LT"/>
        </w:rPr>
        <w:t>birželio 15</w:t>
      </w:r>
      <w:r>
        <w:rPr>
          <w:lang w:val="lt-LT"/>
        </w:rPr>
        <w:t xml:space="preserve"> d. ir galioja kol Pardavėjas parduoda Pirkėjui prekių </w:t>
      </w:r>
      <w:r w:rsidRPr="001E658B">
        <w:rPr>
          <w:sz w:val="24"/>
          <w:szCs w:val="24"/>
          <w:lang w:val="lt-LT"/>
        </w:rPr>
        <w:t xml:space="preserve">už </w:t>
      </w:r>
      <w:r w:rsidR="009568DB">
        <w:rPr>
          <w:sz w:val="24"/>
          <w:szCs w:val="24"/>
          <w:lang w:val="lt-LT"/>
        </w:rPr>
        <w:t>3981,60</w:t>
      </w:r>
      <w:r>
        <w:rPr>
          <w:lang w:val="lt-LT"/>
        </w:rPr>
        <w:t xml:space="preserve"> </w:t>
      </w:r>
      <w:r>
        <w:rPr>
          <w:lang w:val="de-DE"/>
        </w:rPr>
        <w:t xml:space="preserve">EUR </w:t>
      </w:r>
      <w:proofErr w:type="spellStart"/>
      <w:r>
        <w:rPr>
          <w:lang w:val="de-DE"/>
        </w:rPr>
        <w:t>sum</w:t>
      </w:r>
      <w:proofErr w:type="spellEnd"/>
      <w:r>
        <w:rPr>
          <w:lang w:val="lt-LT"/>
        </w:rPr>
        <w:t>ą su PVM, tačiau ne ilgiau kaip 12 mėnesių</w:t>
      </w:r>
      <w:r>
        <w:rPr>
          <w:lang w:val="it-IT"/>
        </w:rPr>
        <w:t xml:space="preserve"> nuo Sutarties </w:t>
      </w:r>
      <w:r>
        <w:rPr>
          <w:lang w:val="lt-LT"/>
        </w:rPr>
        <w:t>į</w:t>
      </w:r>
      <w:r>
        <w:rPr>
          <w:lang w:val="it-IT"/>
        </w:rPr>
        <w:t>sigaliojimo dienos.</w:t>
      </w: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lastRenderedPageBreak/>
        <w:tab/>
        <w:t>8.2</w:t>
      </w:r>
      <w:r>
        <w:rPr>
          <w:lang w:val="it-IT"/>
        </w:rPr>
        <w:t xml:space="preserve">. Esant nuo </w:t>
      </w:r>
      <w:r>
        <w:rPr>
          <w:lang w:val="lt-LT"/>
        </w:rPr>
        <w:t xml:space="preserve">Pirkėjo nepriklausančioms aplinkybėms dėl kurių Pirkėjas </w:t>
      </w:r>
      <w:r>
        <w:rPr>
          <w:lang w:val="it-IT"/>
        </w:rPr>
        <w:t xml:space="preserve">negali </w:t>
      </w:r>
      <w:r>
        <w:rPr>
          <w:lang w:val="lt-LT"/>
        </w:rPr>
        <w:t xml:space="preserve">priimti Prekių, Pirkėjas turi teisę reikalauti sustabdyti Prekių pristatymą iki atitinkamų aplinkybių </w:t>
      </w:r>
      <w:r>
        <w:rPr>
          <w:lang w:val="it-IT"/>
        </w:rPr>
        <w:t>pasibaigimo.</w:t>
      </w:r>
      <w:r>
        <w:rPr>
          <w:lang w:val="lt-LT"/>
        </w:rPr>
        <w:t xml:space="preserve"> Pirkėjas nekompensuoja Pardavėjui dėl tokio sustabdymo kilusių Pardavėjo išlaidų.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Jei</w:t>
      </w:r>
      <w:proofErr w:type="spellEnd"/>
      <w:r>
        <w:rPr>
          <w:lang w:val="de-DE"/>
        </w:rPr>
        <w:t xml:space="preserve"> </w:t>
      </w:r>
      <w:r>
        <w:rPr>
          <w:lang w:val="lt-LT"/>
        </w:rPr>
        <w:t>Prekių pristatymo sustabdymas trunka ilgiau, kaip 90 dienų, Pardavėjas turi teisę nutraukti Sutartį.</w:t>
      </w: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>8.3. Jei bet kuri Sutarties nuostata tampa ar pripažįstama visiškai ar iš dalies negaliojančia, tai neturi įtakos kitų Sutarties nuostatų galiojimui.</w:t>
      </w: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</w:p>
    <w:p w:rsidR="00C43256" w:rsidRDefault="00C43256" w:rsidP="00C43256">
      <w:pPr>
        <w:pStyle w:val="Heading"/>
      </w:pPr>
      <w:r>
        <w:tab/>
        <w:t>9</w:t>
      </w:r>
      <w:r>
        <w:rPr>
          <w:lang w:val="de-DE"/>
        </w:rPr>
        <w:t>. SUTARTIES NUTRAUKIMAS</w:t>
      </w:r>
    </w:p>
    <w:p w:rsidR="00C43256" w:rsidRDefault="00C43256" w:rsidP="00C43256">
      <w:pPr>
        <w:pStyle w:val="Body2"/>
        <w:rPr>
          <w:b/>
          <w:bCs/>
        </w:rPr>
      </w:pPr>
    </w:p>
    <w:p w:rsidR="00C43256" w:rsidRDefault="00C43256" w:rsidP="00C43256">
      <w:pPr>
        <w:pStyle w:val="Body2"/>
      </w:pPr>
      <w:r>
        <w:tab/>
        <w:t xml:space="preserve">9.1.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š</w:t>
      </w:r>
      <w:r>
        <w:rPr>
          <w:lang w:val="pt-PT"/>
        </w:rPr>
        <w:t>iais atvejais:</w:t>
      </w:r>
    </w:p>
    <w:p w:rsidR="00C43256" w:rsidRDefault="00C43256" w:rsidP="00C43256">
      <w:pPr>
        <w:pStyle w:val="Body2"/>
      </w:pPr>
      <w:r>
        <w:tab/>
        <w:t>9.1</w:t>
      </w:r>
      <w:r>
        <w:rPr>
          <w:lang w:val="es-ES_tradnl"/>
        </w:rPr>
        <w:t xml:space="preserve">.1. </w:t>
      </w:r>
      <w:proofErr w:type="gramStart"/>
      <w:r>
        <w:rPr>
          <w:lang w:val="es-ES_tradnl"/>
        </w:rPr>
        <w:t>vienos</w:t>
      </w:r>
      <w:proofErr w:type="gramEnd"/>
      <w:r>
        <w:rPr>
          <w:lang w:val="es-ES_tradnl"/>
        </w:rP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10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įspėjus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Šalį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 ir tai </w:t>
      </w:r>
      <w:proofErr w:type="spellStart"/>
      <w:r>
        <w:t>yra</w:t>
      </w:r>
      <w:proofErr w:type="spellEnd"/>
      <w:r>
        <w:t xml:space="preserve"> </w:t>
      </w:r>
      <w:proofErr w:type="spellStart"/>
      <w:r>
        <w:t>esminis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paž</w:t>
      </w:r>
      <w:proofErr w:type="spellEnd"/>
      <w:r>
        <w:rPr>
          <w:lang w:val="pt-PT"/>
        </w:rPr>
        <w:t>eidimas. Nustatydamos esmin</w:t>
      </w:r>
      <w:r>
        <w:t xml:space="preserve">į </w:t>
      </w:r>
      <w:r>
        <w:rPr>
          <w:lang w:val="fr-FR"/>
        </w:rPr>
        <w:t>sutarties pa</w:t>
      </w:r>
      <w:r>
        <w:t>ž</w:t>
      </w:r>
      <w:proofErr w:type="spellStart"/>
      <w:r>
        <w:rPr>
          <w:lang w:val="de-DE"/>
        </w:rPr>
        <w:t>eidim</w:t>
      </w:r>
      <w:proofErr w:type="spellEnd"/>
      <w:r>
        <w:t xml:space="preserve">ą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vadovautis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civilinio</w:t>
      </w:r>
      <w:proofErr w:type="spellEnd"/>
      <w:r>
        <w:t xml:space="preserve"> </w:t>
      </w:r>
      <w:proofErr w:type="spellStart"/>
      <w:r>
        <w:t>kodekso</w:t>
      </w:r>
      <w:proofErr w:type="spellEnd"/>
      <w:r>
        <w:t xml:space="preserve"> 6.217 str. </w:t>
      </w:r>
      <w:proofErr w:type="spellStart"/>
      <w:proofErr w:type="gramStart"/>
      <w:r>
        <w:t>nuostatomis</w:t>
      </w:r>
      <w:proofErr w:type="spellEnd"/>
      <w:proofErr w:type="gramEnd"/>
      <w:r>
        <w:t>.</w:t>
      </w:r>
    </w:p>
    <w:p w:rsidR="00C43256" w:rsidRDefault="00C43256" w:rsidP="00C43256">
      <w:pPr>
        <w:pStyle w:val="Body2"/>
      </w:pPr>
      <w:r>
        <w:tab/>
        <w:t xml:space="preserve">9.1.2.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sprendimu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30 </w:t>
      </w:r>
      <w:proofErr w:type="spellStart"/>
      <w:r>
        <w:t>kalendorinių</w:t>
      </w:r>
      <w:proofErr w:type="spellEnd"/>
      <w:r>
        <w:t xml:space="preserve"> </w:t>
      </w:r>
      <w:r>
        <w:rPr>
          <w:lang w:val="de-DE"/>
        </w:rPr>
        <w:t>dien</w:t>
      </w:r>
      <w:r>
        <w:t xml:space="preserve">ų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įspė</w:t>
      </w:r>
      <w:proofErr w:type="spellEnd"/>
      <w:r>
        <w:rPr>
          <w:lang w:val="es-ES_tradnl"/>
        </w:rPr>
        <w:t xml:space="preserve">jus </w:t>
      </w:r>
      <w:proofErr w:type="spellStart"/>
      <w:r>
        <w:t>Pardavėją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90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>9.1.3</w:t>
      </w:r>
      <w:proofErr w:type="gramStart"/>
      <w:r>
        <w:rPr>
          <w:lang w:val="es-ES_tradnl"/>
        </w:rPr>
        <w:t>.  abiej</w:t>
      </w:r>
      <w:r>
        <w:t>ų</w:t>
      </w:r>
      <w:proofErr w:type="gram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rašytiniu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 xml:space="preserve">. </w:t>
      </w:r>
    </w:p>
    <w:p w:rsidR="00C43256" w:rsidRDefault="00C43256" w:rsidP="00C43256">
      <w:pPr>
        <w:pStyle w:val="Body2"/>
      </w:pPr>
      <w:r>
        <w:tab/>
        <w:t>9.2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Nutraukus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Sutart</w:t>
      </w:r>
      <w:proofErr w:type="spellEnd"/>
      <w:r>
        <w:t xml:space="preserve">į </w:t>
      </w:r>
      <w:proofErr w:type="spellStart"/>
      <w:r>
        <w:t>ar</w:t>
      </w:r>
      <w:proofErr w:type="spellEnd"/>
      <w:r>
        <w:t xml:space="preserve"> jai </w:t>
      </w:r>
      <w:proofErr w:type="spellStart"/>
      <w:r>
        <w:t>pasibaigus</w:t>
      </w:r>
      <w:proofErr w:type="spellEnd"/>
      <w:r>
        <w:t xml:space="preserve">, </w:t>
      </w:r>
      <w:proofErr w:type="spellStart"/>
      <w:r>
        <w:t>lieka</w:t>
      </w:r>
      <w:proofErr w:type="spellEnd"/>
      <w:r>
        <w:t xml:space="preserve"> </w:t>
      </w:r>
      <w:proofErr w:type="spellStart"/>
      <w:r>
        <w:t>galioti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nuostatos</w:t>
      </w:r>
      <w:proofErr w:type="spellEnd"/>
      <w:r>
        <w:t xml:space="preserve">,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atsakomybe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atsiskaitymais</w:t>
      </w:r>
      <w:proofErr w:type="spellEnd"/>
      <w:r>
        <w:t xml:space="preserve"> tarp </w:t>
      </w:r>
      <w:proofErr w:type="spellStart"/>
      <w:r>
        <w:t>Šalių</w:t>
      </w:r>
      <w:proofErr w:type="spellEnd"/>
      <w:r>
        <w:t xml:space="preserve"> </w:t>
      </w:r>
      <w:r>
        <w:rPr>
          <w:lang w:val="pt-PT"/>
        </w:rPr>
        <w:t>pagal Sutart</w:t>
      </w:r>
      <w:r>
        <w:t xml:space="preserve">į,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nuostatos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aiškiai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, </w:t>
      </w:r>
      <w:proofErr w:type="spellStart"/>
      <w:r>
        <w:t>išlieka</w:t>
      </w:r>
      <w:proofErr w:type="spellEnd"/>
      <w:r>
        <w:t xml:space="preserve"> </w:t>
      </w:r>
      <w:proofErr w:type="spellStart"/>
      <w:r>
        <w:t>galioti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išlikti</w:t>
      </w:r>
      <w:proofErr w:type="spellEnd"/>
      <w:r>
        <w:t xml:space="preserve"> </w:t>
      </w:r>
      <w:proofErr w:type="spellStart"/>
      <w:r>
        <w:t>galioti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visiškai</w:t>
      </w:r>
      <w:proofErr w:type="spellEnd"/>
      <w:r>
        <w:t xml:space="preserve"> </w:t>
      </w:r>
      <w:proofErr w:type="spellStart"/>
      <w:r>
        <w:t>įvykdyta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>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 xml:space="preserve">10. </w:t>
      </w:r>
      <w:r>
        <w:rPr>
          <w:lang w:val="de-DE"/>
        </w:rPr>
        <w:t>NENUGALIMOS J</w:t>
      </w:r>
      <w:r>
        <w:t>Ė</w:t>
      </w:r>
      <w:r>
        <w:rPr>
          <w:lang w:val="de-DE"/>
        </w:rPr>
        <w:t>GOS (FORCE MAJEURE) APLINKYB</w:t>
      </w:r>
      <w:r>
        <w:t>ĖS</w:t>
      </w:r>
    </w:p>
    <w:p w:rsidR="00C43256" w:rsidRDefault="00C43256" w:rsidP="00C43256">
      <w:pPr>
        <w:pStyle w:val="Body2"/>
        <w:rPr>
          <w:b/>
          <w:bCs/>
          <w:caps/>
        </w:rPr>
      </w:pPr>
    </w:p>
    <w:p w:rsidR="00C43256" w:rsidRDefault="00C43256" w:rsidP="00C43256">
      <w:pPr>
        <w:pStyle w:val="Body2"/>
      </w:pPr>
      <w:r>
        <w:tab/>
        <w:t xml:space="preserve">10.1. </w:t>
      </w:r>
      <w:proofErr w:type="spellStart"/>
      <w:r>
        <w:t>Taikomos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civilinio</w:t>
      </w:r>
      <w:proofErr w:type="spellEnd"/>
      <w:r>
        <w:t xml:space="preserve"> </w:t>
      </w:r>
      <w:proofErr w:type="spellStart"/>
      <w:r>
        <w:t>kodekso</w:t>
      </w:r>
      <w:proofErr w:type="spellEnd"/>
      <w:r>
        <w:t xml:space="preserve"> 6.212 str. </w:t>
      </w:r>
      <w:proofErr w:type="spellStart"/>
      <w:r>
        <w:t>nuostatos</w:t>
      </w:r>
      <w:proofErr w:type="spellEnd"/>
      <w:r>
        <w:t>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>11. TAIKYTINA TEISĖ</w:t>
      </w:r>
    </w:p>
    <w:p w:rsidR="00C43256" w:rsidRDefault="00C43256" w:rsidP="00C43256">
      <w:pPr>
        <w:pStyle w:val="Body2"/>
        <w:rPr>
          <w:b/>
          <w:bCs/>
        </w:rPr>
      </w:pPr>
    </w:p>
    <w:p w:rsidR="00C43256" w:rsidRDefault="00C43256" w:rsidP="00C43256">
      <w:pPr>
        <w:pStyle w:val="Body2"/>
      </w:pPr>
      <w:r>
        <w:tab/>
        <w:t xml:space="preserve">11.1. </w:t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 ir </w:t>
      </w:r>
      <w:proofErr w:type="spellStart"/>
      <w:r>
        <w:t>ji</w:t>
      </w:r>
      <w:proofErr w:type="spellEnd"/>
      <w:r>
        <w:t xml:space="preserve"> </w:t>
      </w:r>
      <w:proofErr w:type="spellStart"/>
      <w:r>
        <w:t>aiš</w:t>
      </w:r>
      <w:proofErr w:type="spellEnd"/>
      <w:r>
        <w:rPr>
          <w:lang w:val="es-ES_tradnl"/>
        </w:rPr>
        <w:t>kinama pagal Lietuvos Respublikos teis</w:t>
      </w:r>
      <w:r>
        <w:t>ę.</w:t>
      </w:r>
    </w:p>
    <w:p w:rsidR="00C43256" w:rsidRDefault="00C43256" w:rsidP="00C43256">
      <w:pPr>
        <w:pStyle w:val="Heading"/>
      </w:pPr>
    </w:p>
    <w:p w:rsidR="00C43256" w:rsidRDefault="00C43256" w:rsidP="00C43256">
      <w:pPr>
        <w:pStyle w:val="Heading"/>
      </w:pPr>
      <w:r>
        <w:tab/>
        <w:t>12</w:t>
      </w:r>
      <w:r>
        <w:rPr>
          <w:lang w:val="de-DE"/>
        </w:rPr>
        <w:t>. GIN</w:t>
      </w:r>
      <w:r>
        <w:t>ČŲ SPRENDIMO TVARKA</w:t>
      </w:r>
    </w:p>
    <w:p w:rsidR="00C43256" w:rsidRDefault="00C43256" w:rsidP="00C43256">
      <w:pPr>
        <w:pStyle w:val="Body2"/>
        <w:rPr>
          <w:b/>
          <w:bCs/>
          <w:lang w:val="lt-LT"/>
        </w:rPr>
      </w:pP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>12.1. Šalių tarpusavio prieštaravimai ir nesutarimai sprendžiami derybomis. Prieštaravimai ir nesutarimai, kurių nepavyksta iš</w:t>
      </w:r>
      <w:proofErr w:type="spellStart"/>
      <w:r>
        <w:rPr>
          <w:lang w:val="de-DE"/>
        </w:rPr>
        <w:t>spr</w:t>
      </w:r>
      <w:r>
        <w:rPr>
          <w:lang w:val="lt-LT"/>
        </w:rPr>
        <w:t>ęsti</w:t>
      </w:r>
      <w:proofErr w:type="spellEnd"/>
      <w:r>
        <w:rPr>
          <w:lang w:val="lt-LT"/>
        </w:rPr>
        <w:t xml:space="preserve"> derybomis per 20 dienų terminą</w:t>
      </w:r>
      <w:r>
        <w:rPr>
          <w:lang w:val="it-IT"/>
        </w:rPr>
        <w:t>, sprend</w:t>
      </w:r>
      <w:r>
        <w:rPr>
          <w:lang w:val="lt-LT"/>
        </w:rPr>
        <w:t>ž</w:t>
      </w:r>
      <w:r>
        <w:rPr>
          <w:lang w:val="es-ES_tradnl"/>
        </w:rPr>
        <w:t>iami Lietuvos Respublikos teis</w:t>
      </w:r>
      <w:r>
        <w:rPr>
          <w:lang w:val="lt-LT"/>
        </w:rPr>
        <w:t>ės aktų nustatyta tvarka Lietuvos Respublikos teismuose.</w:t>
      </w:r>
    </w:p>
    <w:p w:rsidR="00C43256" w:rsidRDefault="00C43256" w:rsidP="00C43256">
      <w:pPr>
        <w:pStyle w:val="Body2"/>
        <w:rPr>
          <w:lang w:val="lt-LT"/>
        </w:rPr>
      </w:pPr>
    </w:p>
    <w:p w:rsidR="00C43256" w:rsidRDefault="00C43256" w:rsidP="00C43256">
      <w:pPr>
        <w:pStyle w:val="Heading"/>
      </w:pPr>
      <w:r>
        <w:tab/>
        <w:t>13. KITOS NUOSTATOS</w:t>
      </w:r>
    </w:p>
    <w:p w:rsidR="00C43256" w:rsidRDefault="00C43256" w:rsidP="00C43256">
      <w:pPr>
        <w:pStyle w:val="Body2"/>
        <w:rPr>
          <w:lang w:val="lt-LT"/>
        </w:rPr>
      </w:pP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 xml:space="preserve">13.1. Sutarties sąlygos gali būti </w:t>
      </w:r>
      <w:proofErr w:type="spellStart"/>
      <w:r>
        <w:rPr>
          <w:lang w:val="lt-LT"/>
        </w:rPr>
        <w:t>keič</w:t>
      </w:r>
      <w:proofErr w:type="spellEnd"/>
      <w:r>
        <w:rPr>
          <w:lang w:val="it-IT"/>
        </w:rPr>
        <w:t>iamos</w:t>
      </w:r>
      <w:r>
        <w:rPr>
          <w:lang w:val="lt-LT"/>
        </w:rPr>
        <w:t xml:space="preserve"> tik vadovaujantis Viešųjų pirkimų įstatymo 89 straipsnio nuostatomis.</w:t>
      </w:r>
    </w:p>
    <w:p w:rsidR="00C43256" w:rsidRDefault="00C43256" w:rsidP="00C43256">
      <w:pPr>
        <w:pStyle w:val="Body2"/>
        <w:rPr>
          <w:lang w:val="lt-LT"/>
        </w:rPr>
      </w:pPr>
      <w:r>
        <w:rPr>
          <w:lang w:val="lt-LT"/>
        </w:rPr>
        <w:tab/>
        <w:t>13.2. Sutarties sąlygų keitimu nebus laikomas Sutarties sąlygų koregavimas joje numatytomis aplinkybėmis, jeigu š</w:t>
      </w:r>
      <w:r>
        <w:rPr>
          <w:lang w:val="pt-PT"/>
        </w:rPr>
        <w:t>ios aplinkyb</w:t>
      </w:r>
      <w:r>
        <w:rPr>
          <w:lang w:val="lt-LT"/>
        </w:rPr>
        <w:t>ės nustatytos aiškiai ir</w:t>
      </w:r>
      <w:r>
        <w:rPr>
          <w:lang w:val="fr-FR"/>
        </w:rPr>
        <w:t xml:space="preserve"> nedviprasmi</w:t>
      </w:r>
      <w:proofErr w:type="spellStart"/>
      <w:r>
        <w:rPr>
          <w:lang w:val="lt-LT"/>
        </w:rPr>
        <w:t>škai</w:t>
      </w:r>
      <w:proofErr w:type="spellEnd"/>
      <w:r>
        <w:rPr>
          <w:lang w:val="lt-LT"/>
        </w:rPr>
        <w:t xml:space="preserve"> bei</w:t>
      </w:r>
      <w:r>
        <w:rPr>
          <w:lang w:val="es-ES_tradnl"/>
        </w:rPr>
        <w:t xml:space="preserve"> buvo pateiktos </w:t>
      </w:r>
      <w:r>
        <w:rPr>
          <w:lang w:val="lt-LT"/>
        </w:rPr>
        <w:t>pirkimo sąlygose.</w:t>
      </w:r>
    </w:p>
    <w:p w:rsidR="00C43256" w:rsidRDefault="00C43256" w:rsidP="00C43256">
      <w:pPr>
        <w:pStyle w:val="Body2"/>
      </w:pPr>
      <w:r>
        <w:rPr>
          <w:lang w:val="lt-LT"/>
        </w:rPr>
        <w:tab/>
      </w:r>
      <w:r>
        <w:t xml:space="preserve">13.3.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paskirtas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, </w:t>
      </w:r>
      <w:proofErr w:type="spellStart"/>
      <w:r>
        <w:t>atsakingas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 w:rsidR="00931838" w:rsidRPr="00953450">
        <w:rPr>
          <w:color w:val="auto"/>
        </w:rPr>
        <w:t>vaistų</w:t>
      </w:r>
      <w:proofErr w:type="spellEnd"/>
      <w:r w:rsidR="00931838" w:rsidRPr="00953450">
        <w:rPr>
          <w:color w:val="auto"/>
        </w:rPr>
        <w:t xml:space="preserve"> </w:t>
      </w:r>
      <w:proofErr w:type="spellStart"/>
      <w:r w:rsidR="00931838" w:rsidRPr="00953450">
        <w:rPr>
          <w:color w:val="auto"/>
        </w:rPr>
        <w:t>sandėlio</w:t>
      </w:r>
      <w:proofErr w:type="spellEnd"/>
      <w:r w:rsidR="00931838" w:rsidRPr="00953450">
        <w:rPr>
          <w:color w:val="auto"/>
        </w:rPr>
        <w:t xml:space="preserve"> </w:t>
      </w:r>
      <w:proofErr w:type="spellStart"/>
      <w:r w:rsidR="00931838" w:rsidRPr="00953450">
        <w:rPr>
          <w:color w:val="auto"/>
        </w:rPr>
        <w:t>vedėja</w:t>
      </w:r>
      <w:proofErr w:type="spellEnd"/>
      <w:r w:rsidR="00931838" w:rsidRPr="00953450">
        <w:rPr>
          <w:color w:val="auto"/>
        </w:rPr>
        <w:t xml:space="preserve"> Rita </w:t>
      </w:r>
      <w:proofErr w:type="spellStart"/>
      <w:r w:rsidR="00931838" w:rsidRPr="00953450">
        <w:rPr>
          <w:color w:val="auto"/>
        </w:rPr>
        <w:t>Montrimienė</w:t>
      </w:r>
      <w:proofErr w:type="spellEnd"/>
      <w:r w:rsidR="00931838" w:rsidRPr="00953450">
        <w:rPr>
          <w:color w:val="auto"/>
        </w:rPr>
        <w:t>.</w:t>
      </w:r>
      <w:r w:rsidRPr="00953450">
        <w:rPr>
          <w:color w:val="auto"/>
        </w:rPr>
        <w:t xml:space="preserve"> </w:t>
      </w:r>
      <w:proofErr w:type="spellStart"/>
      <w:r>
        <w:t>Pirkė</w:t>
      </w:r>
      <w:proofErr w:type="spellEnd"/>
      <w:r>
        <w:rPr>
          <w:lang w:val="pt-PT"/>
        </w:rPr>
        <w:t>jo paskirtas asmuo, atsakingas u</w:t>
      </w:r>
      <w:r>
        <w:t>ž S</w:t>
      </w:r>
      <w:proofErr w:type="spellStart"/>
      <w:r>
        <w:rPr>
          <w:lang w:val="de-DE"/>
        </w:rPr>
        <w:t>utarties</w:t>
      </w:r>
      <w:proofErr w:type="spellEnd"/>
      <w:r>
        <w:rPr>
          <w:lang w:val="de-DE"/>
        </w:rPr>
        <w:t xml:space="preserve"> ir </w:t>
      </w:r>
      <w:proofErr w:type="spellStart"/>
      <w:r>
        <w:rPr>
          <w:lang w:val="de-DE"/>
        </w:rPr>
        <w:t>pakeitim</w:t>
      </w:r>
      <w:proofErr w:type="spellEnd"/>
      <w:r>
        <w:t xml:space="preserve">ų </w:t>
      </w:r>
      <w:proofErr w:type="spellStart"/>
      <w:r>
        <w:t>paskelbimą</w:t>
      </w:r>
      <w:proofErr w:type="spellEnd"/>
      <w:r>
        <w:t xml:space="preserve"> </w:t>
      </w:r>
      <w:r>
        <w:rPr>
          <w:lang w:val="pt-PT"/>
        </w:rPr>
        <w:t xml:space="preserve">pagal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86 </w:t>
      </w:r>
      <w:proofErr w:type="spellStart"/>
      <w:r>
        <w:t>straipsnio</w:t>
      </w:r>
      <w:proofErr w:type="spellEnd"/>
      <w:r>
        <w:t xml:space="preserve"> 9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nuostatas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 w:rsidR="00953450" w:rsidRPr="00953450">
        <w:rPr>
          <w:color w:val="auto"/>
        </w:rPr>
        <w:t>ūkio</w:t>
      </w:r>
      <w:proofErr w:type="spellEnd"/>
      <w:r w:rsidR="00953450" w:rsidRPr="00953450">
        <w:rPr>
          <w:color w:val="auto"/>
        </w:rPr>
        <w:t xml:space="preserve"> </w:t>
      </w:r>
      <w:proofErr w:type="spellStart"/>
      <w:r w:rsidR="00953450" w:rsidRPr="00953450">
        <w:rPr>
          <w:color w:val="auto"/>
        </w:rPr>
        <w:t>administratorius</w:t>
      </w:r>
      <w:proofErr w:type="spellEnd"/>
      <w:r w:rsidR="00953450" w:rsidRPr="00953450">
        <w:rPr>
          <w:color w:val="auto"/>
        </w:rPr>
        <w:t xml:space="preserve"> Alfonsas Motuzas.</w:t>
      </w:r>
    </w:p>
    <w:p w:rsidR="00C43256" w:rsidRDefault="00C43256" w:rsidP="00C43256">
      <w:pPr>
        <w:pStyle w:val="Body2"/>
      </w:pPr>
      <w:r>
        <w:tab/>
        <w:t xml:space="preserve">13.4.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tikrinama</w:t>
      </w:r>
      <w:proofErr w:type="spellEnd"/>
      <w:r>
        <w:t xml:space="preserve"> </w:t>
      </w:r>
      <w:proofErr w:type="spellStart"/>
      <w:r>
        <w:t>Pardavėjo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 </w:t>
      </w:r>
      <w:proofErr w:type="spellStart"/>
      <w:proofErr w:type="gramStart"/>
      <w:r>
        <w:t>dėl</w:t>
      </w:r>
      <w:proofErr w:type="spellEnd"/>
      <w:proofErr w:type="gram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verstis</w:t>
      </w:r>
      <w:proofErr w:type="spellEnd"/>
      <w:r>
        <w:t xml:space="preserve"> </w:t>
      </w:r>
      <w:proofErr w:type="spellStart"/>
      <w:r>
        <w:t>atitinkama</w:t>
      </w:r>
      <w:proofErr w:type="spellEnd"/>
      <w:r>
        <w:t xml:space="preserve"> </w:t>
      </w:r>
      <w:proofErr w:type="spellStart"/>
      <w:r>
        <w:t>veikla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tikrinama</w:t>
      </w:r>
      <w:proofErr w:type="spellEnd"/>
      <w:r>
        <w:t xml:space="preserve"> ne visa </w:t>
      </w:r>
      <w:proofErr w:type="spellStart"/>
      <w:r>
        <w:t>apimtimi</w:t>
      </w:r>
      <w:proofErr w:type="spellEnd"/>
      <w:r>
        <w:t xml:space="preserve">, </w:t>
      </w:r>
      <w:proofErr w:type="spellStart"/>
      <w:r>
        <w:t>Pardavėjas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vykdys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tokią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turintys</w:t>
      </w:r>
      <w:proofErr w:type="spellEnd"/>
      <w:r>
        <w:t xml:space="preserve"> </w:t>
      </w:r>
      <w:proofErr w:type="spellStart"/>
      <w:r>
        <w:t>asmenys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 xml:space="preserve">13.5.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rPr>
          <w:lang w:val="es-ES_tradnl"/>
        </w:rPr>
        <w:t xml:space="preserve"> laikomasi aplinkos apsaugos, socialin</w:t>
      </w:r>
      <w:r>
        <w:t>ė</w:t>
      </w:r>
      <w:r>
        <w:rPr>
          <w:lang w:val="pt-PT"/>
        </w:rPr>
        <w:t>s ir darbo teis</w:t>
      </w:r>
      <w:proofErr w:type="spellStart"/>
      <w:r>
        <w:t>ės</w:t>
      </w:r>
      <w:proofErr w:type="spellEnd"/>
      <w:r>
        <w:t xml:space="preserve"> </w:t>
      </w:r>
      <w:proofErr w:type="spellStart"/>
      <w:r>
        <w:t>įpareigojimų</w:t>
      </w:r>
      <w:proofErr w:type="spellEnd"/>
      <w:r>
        <w:t xml:space="preserve">, </w:t>
      </w:r>
      <w:proofErr w:type="spellStart"/>
      <w:r>
        <w:t>nustatytų</w:t>
      </w:r>
      <w:proofErr w:type="spellEnd"/>
      <w:r>
        <w:t xml:space="preserve"> </w:t>
      </w:r>
      <w:r>
        <w:rPr>
          <w:lang w:val="fr-FR"/>
        </w:rPr>
        <w:t>Europos S</w:t>
      </w:r>
      <w:r>
        <w:t>ą</w:t>
      </w:r>
      <w:r>
        <w:rPr>
          <w:lang w:val="pt-PT"/>
        </w:rPr>
        <w:t xml:space="preserve">jungos ir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, </w:t>
      </w:r>
      <w:proofErr w:type="spellStart"/>
      <w:r>
        <w:t>kolektyvinė</w:t>
      </w:r>
      <w:proofErr w:type="spellEnd"/>
      <w:r>
        <w:rPr>
          <w:lang w:val="es-ES_tradnl"/>
        </w:rPr>
        <w:t xml:space="preserve">se sutartyse ir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5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nurodytose</w:t>
      </w:r>
      <w:proofErr w:type="spellEnd"/>
      <w:r>
        <w:t xml:space="preserve"> </w:t>
      </w:r>
      <w:proofErr w:type="spellStart"/>
      <w:r>
        <w:t>tarptautinėse</w:t>
      </w:r>
      <w:proofErr w:type="spellEnd"/>
      <w:r>
        <w:t xml:space="preserve"> </w:t>
      </w:r>
      <w:proofErr w:type="spellStart"/>
      <w:r>
        <w:t>konvencijose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 xml:space="preserve">13.6. </w:t>
      </w:r>
      <w:r>
        <w:rPr>
          <w:lang w:val="it-IT"/>
        </w:rPr>
        <w:t>Sutartis sudaroma lietuvi</w:t>
      </w:r>
      <w:r>
        <w:t xml:space="preserve">ų </w:t>
      </w:r>
      <w:proofErr w:type="spellStart"/>
      <w:r>
        <w:t>kalba</w:t>
      </w:r>
      <w:proofErr w:type="spellEnd"/>
      <w:r>
        <w:t>.</w:t>
      </w:r>
    </w:p>
    <w:p w:rsidR="00C43256" w:rsidRDefault="00C43256" w:rsidP="00C43256">
      <w:pPr>
        <w:pStyle w:val="Body2"/>
      </w:pPr>
      <w:r>
        <w:tab/>
        <w:t>13.7</w:t>
      </w:r>
      <w:r>
        <w:rPr>
          <w:lang w:val="fr-FR"/>
        </w:rPr>
        <w:t>. Sutartis sura</w:t>
      </w:r>
      <w:proofErr w:type="spellStart"/>
      <w:r>
        <w:t>šoma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turinč</w:t>
      </w:r>
      <w:proofErr w:type="spellEnd"/>
      <w:r>
        <w:rPr>
          <w:lang w:val="pt-PT"/>
        </w:rPr>
        <w:t>iais vienod</w:t>
      </w:r>
      <w:r>
        <w:t xml:space="preserve">ą </w:t>
      </w:r>
      <w:r>
        <w:rPr>
          <w:lang w:val="nl-NL"/>
        </w:rPr>
        <w:t>juridin</w:t>
      </w:r>
      <w:r>
        <w:t xml:space="preserve">ę </w:t>
      </w:r>
      <w:r>
        <w:rPr>
          <w:lang w:val="fr-FR"/>
        </w:rPr>
        <w:t>gali</w:t>
      </w:r>
      <w:r>
        <w:t xml:space="preserve">ą </w:t>
      </w:r>
      <w:proofErr w:type="spellStart"/>
      <w:r>
        <w:t>egzemplioriais</w:t>
      </w:r>
      <w:proofErr w:type="spellEnd"/>
      <w:r>
        <w:t xml:space="preserve">, </w:t>
      </w:r>
      <w:proofErr w:type="spellStart"/>
      <w:r>
        <w:t>kiekvienai</w:t>
      </w:r>
      <w:proofErr w:type="spellEnd"/>
      <w:r>
        <w:t xml:space="preserve"> Š</w:t>
      </w:r>
      <w:r>
        <w:rPr>
          <w:lang w:val="it-IT"/>
        </w:rPr>
        <w:t>aliai po vien</w:t>
      </w:r>
      <w:r>
        <w:t>ą.</w:t>
      </w:r>
    </w:p>
    <w:p w:rsidR="00C43256" w:rsidRDefault="00C43256" w:rsidP="00C43256">
      <w:pPr>
        <w:pStyle w:val="Heading"/>
      </w:pPr>
      <w:r>
        <w:lastRenderedPageBreak/>
        <w:tab/>
        <w:t>14</w:t>
      </w:r>
      <w:r>
        <w:rPr>
          <w:lang w:val="pt-PT"/>
        </w:rPr>
        <w:t>. SUTARTIES PRIEDAS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Body2"/>
      </w:pPr>
      <w:r>
        <w:tab/>
        <w:t xml:space="preserve">14.1.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t</w:t>
      </w:r>
      <w:proofErr w:type="spellStart"/>
      <w:r>
        <w:rPr>
          <w:lang w:val="de-DE"/>
        </w:rPr>
        <w:t>echnin</w:t>
      </w:r>
      <w:proofErr w:type="spellEnd"/>
      <w:r>
        <w:t xml:space="preserve">ė </w:t>
      </w:r>
      <w:proofErr w:type="spellStart"/>
      <w:r>
        <w:t>specifikacija</w:t>
      </w:r>
      <w:proofErr w:type="spellEnd"/>
      <w:r>
        <w:t xml:space="preserve"> </w:t>
      </w:r>
      <w:proofErr w:type="spellStart"/>
      <w:r w:rsidR="00953450">
        <w:t>su</w:t>
      </w:r>
      <w:proofErr w:type="spellEnd"/>
      <w:r w:rsidR="00953450">
        <w:t xml:space="preserve"> </w:t>
      </w:r>
      <w:proofErr w:type="spellStart"/>
      <w:r w:rsidR="00953450">
        <w:t>Pardavėjo</w:t>
      </w:r>
      <w:proofErr w:type="spellEnd"/>
      <w:r w:rsidR="00953450">
        <w:t xml:space="preserve"> </w:t>
      </w:r>
      <w:proofErr w:type="spellStart"/>
      <w:r w:rsidR="00953450">
        <w:t>pasiūlytomis</w:t>
      </w:r>
      <w:proofErr w:type="spellEnd"/>
      <w:r w:rsidR="00953450">
        <w:t xml:space="preserve"> </w:t>
      </w:r>
      <w:proofErr w:type="spellStart"/>
      <w:r w:rsidR="00953450">
        <w:t>kainomis</w:t>
      </w:r>
      <w:proofErr w:type="spellEnd"/>
      <w:r w:rsidR="00953450">
        <w:t>.</w:t>
      </w:r>
    </w:p>
    <w:p w:rsidR="00C43256" w:rsidRDefault="00C43256" w:rsidP="00C43256">
      <w:pPr>
        <w:pStyle w:val="Body2"/>
      </w:pPr>
    </w:p>
    <w:p w:rsidR="00C43256" w:rsidRDefault="00C43256" w:rsidP="00C43256">
      <w:pPr>
        <w:pStyle w:val="Heading"/>
      </w:pPr>
      <w:r>
        <w:tab/>
        <w:t>15. ŠALIŲ JURIDINIAI ADRESAI, REKVIZITAI IR PARAŠAI</w:t>
      </w:r>
    </w:p>
    <w:p w:rsidR="00C43256" w:rsidRDefault="00C43256" w:rsidP="00C43256">
      <w:pPr>
        <w:pStyle w:val="Body2"/>
        <w:rPr>
          <w:b/>
          <w:bCs/>
        </w:rPr>
      </w:pPr>
    </w:p>
    <w:p w:rsidR="00392408" w:rsidRDefault="00392408" w:rsidP="00392408">
      <w:pPr>
        <w:pStyle w:val="Heading"/>
      </w:pPr>
      <w:r>
        <w:t>PARDAVĖJAS</w:t>
      </w:r>
      <w:r>
        <w:tab/>
      </w:r>
      <w:r>
        <w:tab/>
      </w:r>
      <w:r>
        <w:tab/>
      </w:r>
      <w:r>
        <w:rPr>
          <w:lang w:val="de-DE"/>
        </w:rPr>
        <w:t>PIRK</w:t>
      </w:r>
      <w:r>
        <w:t>ĖJAS</w:t>
      </w:r>
    </w:p>
    <w:p w:rsidR="00392408" w:rsidRPr="00392408" w:rsidRDefault="00392408" w:rsidP="00392408">
      <w:pPr>
        <w:pStyle w:val="Body2"/>
        <w:rPr>
          <w:lang w:val="lt-LT"/>
        </w:rPr>
      </w:pPr>
      <w:r w:rsidRPr="00392408">
        <w:rPr>
          <w:lang w:val="lt-LT"/>
        </w:rPr>
        <w:t>UAB „</w:t>
      </w:r>
      <w:proofErr w:type="spellStart"/>
      <w:r w:rsidRPr="00392408">
        <w:rPr>
          <w:lang w:val="lt-LT"/>
        </w:rPr>
        <w:t>Entafarma</w:t>
      </w:r>
      <w:proofErr w:type="spellEnd"/>
      <w:r w:rsidRPr="00392408">
        <w:rPr>
          <w:lang w:val="lt-LT"/>
        </w:rPr>
        <w:t>“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392408">
        <w:rPr>
          <w:lang w:val="lt-LT"/>
        </w:rPr>
        <w:t>VšĮ Šilalės rajono ligoninė</w:t>
      </w:r>
    </w:p>
    <w:p w:rsidR="00392408" w:rsidRPr="00392408" w:rsidRDefault="00392408" w:rsidP="00392408">
      <w:pPr>
        <w:pStyle w:val="Body2"/>
        <w:rPr>
          <w:lang w:val="lt-LT"/>
        </w:rPr>
      </w:pPr>
      <w:proofErr w:type="spellStart"/>
      <w:r w:rsidRPr="00392408">
        <w:rPr>
          <w:lang w:val="lt-LT"/>
        </w:rPr>
        <w:t>Klonėnų</w:t>
      </w:r>
      <w:proofErr w:type="spellEnd"/>
      <w:r w:rsidRPr="00392408">
        <w:rPr>
          <w:lang w:val="lt-LT"/>
        </w:rPr>
        <w:t xml:space="preserve"> vs. 1, LT-19156 Širvintų r. sav.</w:t>
      </w:r>
      <w:r w:rsidRPr="00392408">
        <w:rPr>
          <w:lang w:val="lt-LT"/>
        </w:rPr>
        <w:tab/>
      </w:r>
      <w:r w:rsidRPr="00392408">
        <w:rPr>
          <w:lang w:val="lt-LT"/>
        </w:rPr>
        <w:tab/>
      </w:r>
      <w:r>
        <w:rPr>
          <w:lang w:val="lt-LT"/>
        </w:rPr>
        <w:t>V</w:t>
      </w:r>
      <w:r w:rsidRPr="00392408">
        <w:rPr>
          <w:lang w:val="lt-LT"/>
        </w:rPr>
        <w:t>ytauto Didžiojo g.19, LT-75132 Šilalė</w:t>
      </w:r>
    </w:p>
    <w:p w:rsidR="00392408" w:rsidRPr="00392408" w:rsidRDefault="00392408" w:rsidP="00392408">
      <w:pPr>
        <w:pStyle w:val="Body2"/>
        <w:rPr>
          <w:lang w:val="lt-LT"/>
        </w:rPr>
      </w:pPr>
      <w:r w:rsidRPr="00392408">
        <w:rPr>
          <w:lang w:val="lt-LT"/>
        </w:rPr>
        <w:t>kodas 174443844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392408">
        <w:rPr>
          <w:lang w:val="lt-LT"/>
        </w:rPr>
        <w:t>kodas 176628756</w:t>
      </w:r>
    </w:p>
    <w:p w:rsidR="00392408" w:rsidRDefault="00392408" w:rsidP="00392408">
      <w:pPr>
        <w:pStyle w:val="Body2"/>
      </w:pPr>
      <w:r>
        <w:t>a/s LT79 7300 0101 6149 4031</w:t>
      </w:r>
      <w:r>
        <w:tab/>
      </w:r>
      <w:r>
        <w:tab/>
        <w:t>a/s LT31 4010 0445 0002 0914</w:t>
      </w:r>
    </w:p>
    <w:p w:rsidR="00392408" w:rsidRDefault="00392408" w:rsidP="00392408">
      <w:pPr>
        <w:pStyle w:val="Body2"/>
      </w:pPr>
      <w:r>
        <w:t xml:space="preserve">AB </w:t>
      </w:r>
      <w:proofErr w:type="spellStart"/>
      <w:r>
        <w:t>Swedbank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Luminor</w:t>
      </w:r>
      <w:proofErr w:type="spellEnd"/>
      <w:r>
        <w:t xml:space="preserve"> Bank AS</w:t>
      </w:r>
    </w:p>
    <w:p w:rsidR="00392408" w:rsidRDefault="00392408" w:rsidP="00392408">
      <w:pPr>
        <w:pStyle w:val="Body2"/>
      </w:pPr>
      <w:proofErr w:type="spellStart"/>
      <w:r>
        <w:t>B.k</w:t>
      </w:r>
      <w:proofErr w:type="spellEnd"/>
      <w:r>
        <w:t>. 73000</w:t>
      </w:r>
      <w:r>
        <w:tab/>
      </w:r>
      <w:r>
        <w:tab/>
      </w:r>
      <w:r>
        <w:tab/>
      </w:r>
      <w:r>
        <w:tab/>
      </w:r>
      <w:proofErr w:type="spellStart"/>
      <w:r>
        <w:t>B.k</w:t>
      </w:r>
      <w:proofErr w:type="spellEnd"/>
      <w:r>
        <w:t>. 40100</w:t>
      </w:r>
    </w:p>
    <w:p w:rsidR="00392408" w:rsidRDefault="00392408" w:rsidP="00392408">
      <w:pPr>
        <w:pStyle w:val="Body2"/>
      </w:pPr>
      <w:r>
        <w:rPr>
          <w:lang w:val="pt-PT"/>
        </w:rPr>
        <w:t>Tel.</w:t>
      </w:r>
      <w:r>
        <w:t xml:space="preserve"> 8-618 82684</w:t>
      </w:r>
      <w:r>
        <w:tab/>
      </w:r>
      <w:r>
        <w:tab/>
      </w:r>
      <w:r>
        <w:tab/>
      </w:r>
      <w:r>
        <w:rPr>
          <w:lang w:val="pt-PT"/>
        </w:rPr>
        <w:t>Tel. 8-449 74235</w:t>
      </w:r>
    </w:p>
    <w:p w:rsidR="00392408" w:rsidRDefault="00392408" w:rsidP="00392408">
      <w:pPr>
        <w:pStyle w:val="Body2"/>
      </w:pPr>
      <w:r>
        <w:t xml:space="preserve">El. p. </w:t>
      </w:r>
      <w:proofErr w:type="spellStart"/>
      <w:r>
        <w:t>info@entafarma.lt</w:t>
      </w:r>
      <w:proofErr w:type="spellEnd"/>
      <w:r>
        <w:tab/>
      </w:r>
      <w:r>
        <w:tab/>
      </w:r>
      <w:r>
        <w:tab/>
        <w:t>El. p. info@silalesligonine.lt</w:t>
      </w:r>
    </w:p>
    <w:p w:rsidR="00392408" w:rsidRDefault="00392408" w:rsidP="00392408">
      <w:pPr>
        <w:pStyle w:val="Body2"/>
      </w:pPr>
    </w:p>
    <w:p w:rsidR="00392408" w:rsidRDefault="00392408" w:rsidP="00392408">
      <w:pPr>
        <w:pStyle w:val="Body2"/>
      </w:pPr>
      <w:proofErr w:type="spellStart"/>
      <w:r>
        <w:t>Konkursų</w:t>
      </w:r>
      <w:proofErr w:type="spellEnd"/>
      <w:r>
        <w:t xml:space="preserve">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ab/>
      </w:r>
      <w:r>
        <w:tab/>
      </w:r>
      <w:r>
        <w:tab/>
      </w:r>
      <w:proofErr w:type="spellStart"/>
      <w:r>
        <w:t>Direktorius</w:t>
      </w:r>
      <w:proofErr w:type="spellEnd"/>
    </w:p>
    <w:p w:rsidR="00392408" w:rsidRDefault="00392408" w:rsidP="00392408">
      <w:pPr>
        <w:pStyle w:val="Body2"/>
      </w:pPr>
      <w:r>
        <w:rPr>
          <w:lang w:val="pt-PT"/>
        </w:rPr>
        <w:t>Aurimas Kirkliauskas</w:t>
      </w:r>
      <w:r w:rsidRPr="002C2859">
        <w:tab/>
      </w:r>
      <w:r>
        <w:tab/>
      </w:r>
      <w:r>
        <w:tab/>
      </w:r>
      <w:r>
        <w:rPr>
          <w:lang w:val="pt-PT"/>
        </w:rPr>
        <w:t>Osvaldas Šarmavičius</w:t>
      </w:r>
    </w:p>
    <w:p w:rsidR="00392408" w:rsidRDefault="00392408" w:rsidP="00392408">
      <w:pPr>
        <w:pStyle w:val="Body2"/>
      </w:pPr>
    </w:p>
    <w:p w:rsidR="00392408" w:rsidRDefault="00392408" w:rsidP="00392408">
      <w:pPr>
        <w:pStyle w:val="Body2"/>
      </w:pPr>
      <w:r>
        <w:t>______________</w:t>
      </w:r>
      <w:r>
        <w:tab/>
      </w:r>
      <w:r>
        <w:tab/>
      </w:r>
      <w:r>
        <w:tab/>
        <w:t>______________</w:t>
      </w:r>
    </w:p>
    <w:p w:rsidR="00392408" w:rsidRDefault="00392408" w:rsidP="00392408">
      <w:pPr>
        <w:pStyle w:val="Body2"/>
      </w:pPr>
      <w:r>
        <w:t xml:space="preserve">       </w:t>
      </w:r>
      <w:r>
        <w:rPr>
          <w:i/>
          <w:iCs/>
        </w:rPr>
        <w:t>(</w:t>
      </w:r>
      <w:proofErr w:type="spellStart"/>
      <w:proofErr w:type="gramStart"/>
      <w:r>
        <w:rPr>
          <w:i/>
          <w:iCs/>
        </w:rPr>
        <w:t>parašas</w:t>
      </w:r>
      <w:proofErr w:type="spellEnd"/>
      <w:proofErr w:type="gramEnd"/>
      <w:r>
        <w:rPr>
          <w:i/>
          <w:iCs/>
        </w:rPr>
        <w:t>)</w:t>
      </w:r>
      <w:r>
        <w:tab/>
      </w:r>
      <w:r>
        <w:tab/>
      </w:r>
      <w:r>
        <w:tab/>
      </w:r>
      <w:r>
        <w:tab/>
        <w:t xml:space="preserve">      </w:t>
      </w:r>
      <w:r>
        <w:rPr>
          <w:i/>
          <w:iCs/>
        </w:rPr>
        <w:t>(</w:t>
      </w:r>
      <w:proofErr w:type="spellStart"/>
      <w:proofErr w:type="gramStart"/>
      <w:r>
        <w:rPr>
          <w:i/>
          <w:iCs/>
        </w:rPr>
        <w:t>parašas</w:t>
      </w:r>
      <w:proofErr w:type="spellEnd"/>
      <w:proofErr w:type="gramEnd"/>
      <w:r>
        <w:rPr>
          <w:i/>
          <w:iCs/>
        </w:rPr>
        <w:t>)</w:t>
      </w:r>
    </w:p>
    <w:p w:rsidR="00953450" w:rsidRDefault="00953450" w:rsidP="00953450">
      <w:pPr>
        <w:pStyle w:val="Body2"/>
        <w:rPr>
          <w:i/>
          <w:iCs/>
        </w:rPr>
      </w:pPr>
      <w:r>
        <w:tab/>
      </w:r>
    </w:p>
    <w:p w:rsidR="00DE6D04" w:rsidRDefault="00DE6D04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/>
    <w:p w:rsidR="00953450" w:rsidRDefault="00953450">
      <w:pPr>
        <w:sectPr w:rsidR="00953450" w:rsidSect="00931838">
          <w:pgSz w:w="11906" w:h="16838"/>
          <w:pgMar w:top="1021" w:right="567" w:bottom="907" w:left="1701" w:header="567" w:footer="567" w:gutter="0"/>
          <w:cols w:space="1296"/>
          <w:docGrid w:linePitch="360"/>
        </w:sectPr>
      </w:pPr>
    </w:p>
    <w:p w:rsidR="00953450" w:rsidRPr="000B290B" w:rsidRDefault="00953450" w:rsidP="000B290B">
      <w:r>
        <w:lastRenderedPageBreak/>
        <w:tab/>
      </w:r>
      <w:r>
        <w:tab/>
      </w:r>
      <w:r>
        <w:tab/>
      </w:r>
      <w:r>
        <w:tab/>
      </w:r>
      <w:r w:rsidR="00DA7ECC">
        <w:tab/>
      </w:r>
      <w:r w:rsidR="00DA7ECC">
        <w:tab/>
      </w:r>
      <w:r w:rsidR="00DA7ECC">
        <w:tab/>
      </w:r>
      <w:r w:rsidR="00DA7ECC">
        <w:tab/>
      </w:r>
      <w:r w:rsidR="00DA7ECC">
        <w:tab/>
      </w:r>
      <w:r w:rsidR="00DA7ECC">
        <w:tab/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priedas</w:t>
      </w:r>
      <w:proofErr w:type="spellEnd"/>
    </w:p>
    <w:p w:rsidR="00953450" w:rsidRDefault="00953450" w:rsidP="00953450">
      <w:pPr>
        <w:pStyle w:val="Body2"/>
        <w:rPr>
          <w:lang w:val="lt-LT"/>
        </w:rPr>
      </w:pPr>
    </w:p>
    <w:p w:rsidR="00716EE3" w:rsidRDefault="008F3612" w:rsidP="005E416D">
      <w:pPr>
        <w:jc w:val="center"/>
        <w:rPr>
          <w:b/>
          <w:lang w:val="lt-LT"/>
        </w:rPr>
      </w:pPr>
      <w:r>
        <w:rPr>
          <w:b/>
          <w:lang w:val="lt-LT"/>
        </w:rPr>
        <w:t>FARMACIJOS PRODUKTŲ SPECIFIKACIJA, KIEKIAI IR KAINOS</w:t>
      </w:r>
    </w:p>
    <w:p w:rsidR="009568DB" w:rsidRDefault="009568DB" w:rsidP="005E416D">
      <w:pPr>
        <w:jc w:val="center"/>
        <w:rPr>
          <w:b/>
          <w:lang w:val="lt-LT"/>
        </w:rPr>
      </w:pPr>
    </w:p>
    <w:p w:rsidR="009568DB" w:rsidRPr="005E416D" w:rsidRDefault="009568DB" w:rsidP="005E416D">
      <w:pPr>
        <w:jc w:val="center"/>
        <w:rPr>
          <w:b/>
          <w:szCs w:val="22"/>
          <w:lang w:val="lt-LT"/>
        </w:rPr>
      </w:pPr>
    </w:p>
    <w:tbl>
      <w:tblPr>
        <w:tblW w:w="14426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720"/>
        <w:gridCol w:w="5310"/>
        <w:gridCol w:w="1195"/>
        <w:gridCol w:w="1418"/>
        <w:gridCol w:w="1814"/>
        <w:gridCol w:w="1417"/>
        <w:gridCol w:w="1418"/>
        <w:gridCol w:w="1134"/>
      </w:tblGrid>
      <w:tr w:rsidR="009568DB" w:rsidRPr="007154ED" w:rsidTr="009568DB">
        <w:trPr>
          <w:trHeight w:val="5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68DB" w:rsidRPr="005E416D" w:rsidRDefault="009568DB" w:rsidP="0029400E">
            <w:pPr>
              <w:jc w:val="center"/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5E416D">
              <w:rPr>
                <w:bCs/>
                <w:sz w:val="22"/>
                <w:szCs w:val="22"/>
              </w:rPr>
              <w:t>Eil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5E416D">
              <w:rPr>
                <w:bCs/>
                <w:sz w:val="22"/>
                <w:szCs w:val="22"/>
              </w:rPr>
              <w:t>Nr</w:t>
            </w:r>
            <w:proofErr w:type="spellEnd"/>
            <w:r w:rsidRPr="005E416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8DB" w:rsidRPr="005E416D" w:rsidRDefault="009568DB" w:rsidP="0029400E">
            <w:pPr>
              <w:jc w:val="center"/>
              <w:rPr>
                <w:bCs/>
                <w:sz w:val="22"/>
                <w:szCs w:val="22"/>
              </w:rPr>
            </w:pPr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416D">
              <w:rPr>
                <w:bCs/>
                <w:sz w:val="22"/>
                <w:szCs w:val="22"/>
              </w:rPr>
              <w:t>Veikliosios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416D">
              <w:rPr>
                <w:bCs/>
                <w:sz w:val="22"/>
                <w:szCs w:val="22"/>
              </w:rPr>
              <w:t>medžiagos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416D">
              <w:rPr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568DB" w:rsidRPr="005E416D" w:rsidRDefault="009568DB" w:rsidP="0029400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E416D">
              <w:rPr>
                <w:bCs/>
                <w:sz w:val="22"/>
                <w:szCs w:val="22"/>
              </w:rPr>
              <w:t>Mato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416D">
              <w:rPr>
                <w:bCs/>
                <w:sz w:val="22"/>
                <w:szCs w:val="22"/>
              </w:rPr>
              <w:t>vienetas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68DB" w:rsidRPr="005E416D" w:rsidRDefault="009568DB" w:rsidP="009568DB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5E416D">
              <w:rPr>
                <w:bCs/>
                <w:sz w:val="22"/>
                <w:szCs w:val="22"/>
              </w:rPr>
              <w:t>Planuojamas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E416D">
              <w:rPr>
                <w:bCs/>
                <w:sz w:val="22"/>
                <w:szCs w:val="22"/>
              </w:rPr>
              <w:t>kiekis</w:t>
            </w:r>
            <w:proofErr w:type="spellEnd"/>
            <w:r w:rsidRPr="005E416D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metams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DB" w:rsidRPr="002A761E" w:rsidRDefault="009568DB" w:rsidP="002A761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Vaistinio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preparato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68DB" w:rsidRPr="002A761E" w:rsidRDefault="00BE0E94" w:rsidP="002A761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Gamintojas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68DB" w:rsidRPr="002A761E" w:rsidRDefault="00BE0E94" w:rsidP="00BE0E9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tab.</w:t>
            </w:r>
            <w:r w:rsidR="009568DB" w:rsidRPr="002A761E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kaina</w:t>
            </w:r>
            <w:proofErr w:type="spellEnd"/>
            <w:r>
              <w:rPr>
                <w:bCs/>
                <w:sz w:val="22"/>
                <w:szCs w:val="22"/>
              </w:rPr>
              <w:t xml:space="preserve"> be</w:t>
            </w:r>
            <w:r w:rsidR="009568DB" w:rsidRPr="002A761E">
              <w:rPr>
                <w:bCs/>
                <w:sz w:val="22"/>
                <w:szCs w:val="22"/>
              </w:rPr>
              <w:t xml:space="preserve"> PVM, EUR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DB" w:rsidRPr="002A761E" w:rsidRDefault="00BE0E94" w:rsidP="002A761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tab.</w:t>
            </w:r>
            <w:r w:rsidRPr="002A761E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kaina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su</w:t>
            </w:r>
            <w:proofErr w:type="spellEnd"/>
            <w:r w:rsidRPr="002A761E">
              <w:rPr>
                <w:bCs/>
                <w:sz w:val="22"/>
                <w:szCs w:val="22"/>
              </w:rPr>
              <w:t xml:space="preserve"> PVM, EUR</w:t>
            </w:r>
          </w:p>
        </w:tc>
      </w:tr>
      <w:tr w:rsidR="009568DB" w:rsidRPr="007154ED" w:rsidTr="009568DB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68DB" w:rsidRPr="007154ED" w:rsidRDefault="009568DB" w:rsidP="0029400E">
            <w:pPr>
              <w:jc w:val="center"/>
              <w:rPr>
                <w:b/>
                <w:bCs/>
                <w:sz w:val="22"/>
                <w:szCs w:val="22"/>
              </w:rPr>
            </w:pPr>
            <w:r w:rsidRPr="007154ED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8DB" w:rsidRPr="007154ED" w:rsidRDefault="009568DB" w:rsidP="0029400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Nirmatrelviras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ritonasviras</w:t>
            </w:r>
            <w:proofErr w:type="spellEnd"/>
            <w:r>
              <w:rPr>
                <w:sz w:val="22"/>
                <w:szCs w:val="22"/>
              </w:rPr>
              <w:t xml:space="preserve"> 150 mg+ 100 mg (</w:t>
            </w:r>
            <w:proofErr w:type="spellStart"/>
            <w:r>
              <w:rPr>
                <w:sz w:val="22"/>
                <w:szCs w:val="22"/>
              </w:rPr>
              <w:t>Paxlovid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568DB" w:rsidRPr="007154ED" w:rsidRDefault="009568DB" w:rsidP="0029400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68DB" w:rsidRPr="007154ED" w:rsidRDefault="009568DB" w:rsidP="002940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8DB" w:rsidRPr="002A761E" w:rsidRDefault="009568DB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Primovir</w:t>
            </w:r>
            <w:proofErr w:type="spellEnd"/>
            <w:r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="00BE0E94">
              <w:rPr>
                <w:bCs/>
                <w:sz w:val="22"/>
                <w:szCs w:val="22"/>
              </w:rPr>
              <w:t>Nirmatrelvir</w:t>
            </w:r>
            <w:proofErr w:type="spellEnd"/>
            <w:r w:rsidR="00BE0E94">
              <w:rPr>
                <w:bCs/>
                <w:sz w:val="22"/>
                <w:szCs w:val="22"/>
              </w:rPr>
              <w:t xml:space="preserve">/Ritonavir) 150mg/100 mg </w:t>
            </w:r>
            <w:proofErr w:type="spellStart"/>
            <w:r w:rsidR="00BE0E94">
              <w:rPr>
                <w:bCs/>
                <w:sz w:val="22"/>
                <w:szCs w:val="22"/>
              </w:rPr>
              <w:t>tabletės</w:t>
            </w:r>
            <w:proofErr w:type="spellEnd"/>
            <w:r w:rsidR="00BE0E94">
              <w:rPr>
                <w:bCs/>
                <w:sz w:val="22"/>
                <w:szCs w:val="22"/>
              </w:rPr>
              <w:t xml:space="preserve"> N30 (</w:t>
            </w:r>
            <w:proofErr w:type="spellStart"/>
            <w:r w:rsidR="00BE0E94">
              <w:rPr>
                <w:bCs/>
                <w:sz w:val="22"/>
                <w:szCs w:val="22"/>
              </w:rPr>
              <w:t>Vardinis</w:t>
            </w:r>
            <w:proofErr w:type="spellEnd"/>
            <w:r w:rsidR="00BE0E9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8DB" w:rsidRPr="002A761E" w:rsidRDefault="00BE0E94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Astrica</w:t>
            </w:r>
            <w:proofErr w:type="spellEnd"/>
            <w:r>
              <w:rPr>
                <w:bCs/>
                <w:sz w:val="22"/>
                <w:szCs w:val="22"/>
              </w:rPr>
              <w:t xml:space="preserve"> Healthcare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68DB" w:rsidRPr="002A761E" w:rsidRDefault="00BE0E94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8DB" w:rsidRPr="002A761E" w:rsidRDefault="00BE0E94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6,636</w:t>
            </w:r>
          </w:p>
        </w:tc>
      </w:tr>
      <w:tr w:rsidR="00BE0E94" w:rsidRPr="007154ED" w:rsidTr="009568DB">
        <w:trPr>
          <w:trHeight w:val="12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E94" w:rsidRPr="007154ED" w:rsidRDefault="00BE0E94" w:rsidP="002940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0E94" w:rsidRDefault="00BE0E94" w:rsidP="0029400E">
            <w:pPr>
              <w:rPr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E0E94" w:rsidRDefault="00BE0E94" w:rsidP="00294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0E94" w:rsidRDefault="00BE0E94" w:rsidP="002940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94" w:rsidRDefault="00BE0E94" w:rsidP="002A761E">
            <w:pPr>
              <w:snapToGrid w:val="0"/>
              <w:ind w:right="2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E94" w:rsidRPr="00A14CCB" w:rsidRDefault="00BE0E94" w:rsidP="002A761E">
            <w:pPr>
              <w:snapToGrid w:val="0"/>
              <w:ind w:right="26"/>
              <w:jc w:val="center"/>
              <w:rPr>
                <w:b/>
                <w:bCs/>
                <w:sz w:val="22"/>
                <w:szCs w:val="22"/>
              </w:rPr>
            </w:pPr>
            <w:r w:rsidRPr="00A14CCB">
              <w:rPr>
                <w:b/>
                <w:bCs/>
                <w:sz w:val="22"/>
                <w:szCs w:val="22"/>
              </w:rPr>
              <w:t>VISO: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0E94" w:rsidRPr="00A14CCB" w:rsidRDefault="00BE0E94" w:rsidP="002A761E">
            <w:pPr>
              <w:snapToGrid w:val="0"/>
              <w:ind w:right="26"/>
              <w:jc w:val="center"/>
              <w:rPr>
                <w:b/>
                <w:bCs/>
                <w:sz w:val="22"/>
                <w:szCs w:val="22"/>
              </w:rPr>
            </w:pPr>
            <w:r w:rsidRPr="00A14CCB">
              <w:rPr>
                <w:b/>
                <w:bCs/>
                <w:sz w:val="22"/>
                <w:szCs w:val="22"/>
              </w:rPr>
              <w:t>3792,00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E94" w:rsidRPr="00A14CCB" w:rsidRDefault="00BE0E94" w:rsidP="002A761E">
            <w:pPr>
              <w:snapToGrid w:val="0"/>
              <w:ind w:right="26"/>
              <w:jc w:val="center"/>
              <w:rPr>
                <w:b/>
                <w:bCs/>
                <w:sz w:val="22"/>
                <w:szCs w:val="22"/>
              </w:rPr>
            </w:pPr>
            <w:r w:rsidRPr="00A14CCB">
              <w:rPr>
                <w:b/>
                <w:bCs/>
                <w:sz w:val="22"/>
                <w:szCs w:val="22"/>
              </w:rPr>
              <w:t>3981,60</w:t>
            </w:r>
          </w:p>
        </w:tc>
      </w:tr>
    </w:tbl>
    <w:p w:rsidR="009568DB" w:rsidRDefault="005E416D" w:rsidP="005E416D">
      <w:pPr>
        <w:pStyle w:val="Body2"/>
        <w:rPr>
          <w:rFonts w:eastAsia="Times New Roman" w:cs="Times New Roman"/>
          <w:color w:val="auto"/>
          <w:sz w:val="24"/>
          <w:szCs w:val="24"/>
          <w:lang w:eastAsia="en-US"/>
        </w:rPr>
      </w:pPr>
      <w:r>
        <w:rPr>
          <w:rFonts w:eastAsia="Times New Roman" w:cs="Times New Roman"/>
          <w:color w:val="auto"/>
          <w:sz w:val="24"/>
          <w:szCs w:val="24"/>
          <w:lang w:eastAsia="en-US"/>
        </w:rPr>
        <w:t xml:space="preserve">    </w:t>
      </w:r>
    </w:p>
    <w:p w:rsidR="009568DB" w:rsidRDefault="009568DB" w:rsidP="005E416D">
      <w:pPr>
        <w:pStyle w:val="Body2"/>
        <w:rPr>
          <w:rFonts w:eastAsia="Times New Roman" w:cs="Times New Roman"/>
          <w:color w:val="auto"/>
          <w:sz w:val="24"/>
          <w:szCs w:val="24"/>
          <w:lang w:eastAsia="en-US"/>
        </w:rPr>
      </w:pPr>
    </w:p>
    <w:p w:rsidR="008F3612" w:rsidRDefault="009568DB" w:rsidP="005E416D">
      <w:pPr>
        <w:pStyle w:val="Body2"/>
        <w:rPr>
          <w:rFonts w:cs="Times New Roman"/>
          <w:b/>
          <w:sz w:val="24"/>
          <w:szCs w:val="24"/>
          <w:lang w:val="lt-LT"/>
        </w:rPr>
      </w:pPr>
      <w:r>
        <w:rPr>
          <w:rFonts w:eastAsia="Times New Roman" w:cs="Times New Roman"/>
          <w:color w:val="auto"/>
          <w:sz w:val="24"/>
          <w:szCs w:val="24"/>
          <w:lang w:eastAsia="en-US"/>
        </w:rPr>
        <w:t xml:space="preserve">   </w:t>
      </w:r>
      <w:r w:rsidR="00716EE3" w:rsidRPr="002A761E">
        <w:rPr>
          <w:rFonts w:cs="Times New Roman"/>
          <w:b/>
          <w:lang w:val="lt-LT"/>
        </w:rPr>
        <w:t xml:space="preserve"> </w:t>
      </w:r>
      <w:r w:rsidR="00716EE3" w:rsidRPr="005E416D">
        <w:rPr>
          <w:rFonts w:cs="Times New Roman"/>
          <w:b/>
          <w:sz w:val="24"/>
          <w:szCs w:val="24"/>
          <w:lang w:val="lt-LT"/>
        </w:rPr>
        <w:t xml:space="preserve">Sutarties kaina 12 mėn. </w:t>
      </w:r>
      <w:r w:rsidR="00BE0E94">
        <w:rPr>
          <w:rFonts w:cs="Times New Roman"/>
          <w:b/>
          <w:sz w:val="24"/>
          <w:szCs w:val="24"/>
          <w:lang w:val="lt-LT"/>
        </w:rPr>
        <w:t>3981,60</w:t>
      </w:r>
      <w:r w:rsidR="00716EE3" w:rsidRPr="005E416D">
        <w:rPr>
          <w:rFonts w:cs="Times New Roman"/>
          <w:b/>
          <w:sz w:val="24"/>
          <w:szCs w:val="24"/>
          <w:lang w:val="lt-LT"/>
        </w:rPr>
        <w:t xml:space="preserve"> (</w:t>
      </w:r>
      <w:r w:rsidR="00BE0E94">
        <w:rPr>
          <w:rFonts w:cs="Times New Roman"/>
          <w:b/>
          <w:sz w:val="24"/>
          <w:szCs w:val="24"/>
          <w:lang w:val="lt-LT"/>
        </w:rPr>
        <w:t>Trys tūkstančiai devyni šimtai  aštuo</w:t>
      </w:r>
      <w:r w:rsidR="005E416D" w:rsidRPr="005E416D">
        <w:rPr>
          <w:rFonts w:cs="Times New Roman"/>
          <w:b/>
          <w:sz w:val="24"/>
          <w:szCs w:val="24"/>
          <w:lang w:val="lt-LT"/>
        </w:rPr>
        <w:t xml:space="preserve">niasdešimt </w:t>
      </w:r>
      <w:r w:rsidR="00BE0E94">
        <w:rPr>
          <w:rFonts w:cs="Times New Roman"/>
          <w:b/>
          <w:sz w:val="24"/>
          <w:szCs w:val="24"/>
          <w:lang w:val="lt-LT"/>
        </w:rPr>
        <w:t>vienas</w:t>
      </w:r>
      <w:r w:rsidR="005E416D" w:rsidRPr="005E416D">
        <w:rPr>
          <w:rFonts w:cs="Times New Roman"/>
          <w:b/>
          <w:sz w:val="24"/>
          <w:szCs w:val="24"/>
          <w:lang w:val="lt-LT"/>
        </w:rPr>
        <w:t xml:space="preserve">  </w:t>
      </w:r>
      <w:proofErr w:type="spellStart"/>
      <w:r w:rsidR="005E416D" w:rsidRPr="005E416D">
        <w:rPr>
          <w:rFonts w:cs="Times New Roman"/>
          <w:b/>
          <w:sz w:val="24"/>
          <w:szCs w:val="24"/>
          <w:lang w:val="lt-LT"/>
        </w:rPr>
        <w:t>Eur</w:t>
      </w:r>
      <w:proofErr w:type="spellEnd"/>
      <w:r w:rsidR="00BE0E94">
        <w:rPr>
          <w:rFonts w:cs="Times New Roman"/>
          <w:b/>
          <w:sz w:val="24"/>
          <w:szCs w:val="24"/>
          <w:lang w:val="lt-LT"/>
        </w:rPr>
        <w:t xml:space="preserve"> 60 centų</w:t>
      </w:r>
      <w:r w:rsidR="00716EE3" w:rsidRPr="005E416D">
        <w:rPr>
          <w:rFonts w:cs="Times New Roman"/>
          <w:b/>
          <w:sz w:val="24"/>
          <w:szCs w:val="24"/>
          <w:lang w:val="lt-LT"/>
        </w:rPr>
        <w:t xml:space="preserve">) </w:t>
      </w:r>
      <w:proofErr w:type="spellStart"/>
      <w:r w:rsidR="00716EE3" w:rsidRPr="005E416D">
        <w:rPr>
          <w:rFonts w:cs="Times New Roman"/>
          <w:b/>
          <w:sz w:val="24"/>
          <w:szCs w:val="24"/>
          <w:lang w:val="lt-LT"/>
        </w:rPr>
        <w:t>Eur</w:t>
      </w:r>
      <w:proofErr w:type="spellEnd"/>
      <w:r w:rsidR="00716EE3" w:rsidRPr="005E416D">
        <w:rPr>
          <w:rFonts w:cs="Times New Roman"/>
          <w:b/>
          <w:sz w:val="24"/>
          <w:szCs w:val="24"/>
          <w:lang w:val="lt-LT"/>
        </w:rPr>
        <w:t>.</w:t>
      </w:r>
    </w:p>
    <w:p w:rsidR="009568DB" w:rsidRDefault="009568DB" w:rsidP="005E416D">
      <w:pPr>
        <w:pStyle w:val="Body2"/>
        <w:rPr>
          <w:rFonts w:cs="Times New Roman"/>
          <w:b/>
          <w:sz w:val="24"/>
          <w:szCs w:val="24"/>
          <w:lang w:val="lt-LT"/>
        </w:rPr>
      </w:pPr>
    </w:p>
    <w:p w:rsidR="009568DB" w:rsidRDefault="009568DB" w:rsidP="005E416D">
      <w:pPr>
        <w:pStyle w:val="Body2"/>
        <w:rPr>
          <w:rFonts w:cs="Times New Roman"/>
          <w:b/>
          <w:sz w:val="24"/>
          <w:szCs w:val="24"/>
          <w:lang w:val="lt-LT"/>
        </w:rPr>
      </w:pPr>
    </w:p>
    <w:p w:rsidR="009568DB" w:rsidRDefault="009568DB" w:rsidP="005E416D">
      <w:pPr>
        <w:pStyle w:val="Body2"/>
        <w:rPr>
          <w:rFonts w:cs="Times New Roman"/>
          <w:b/>
          <w:sz w:val="24"/>
          <w:szCs w:val="24"/>
          <w:lang w:val="lt-LT"/>
        </w:rPr>
      </w:pPr>
    </w:p>
    <w:p w:rsidR="009568DB" w:rsidRPr="00BE0E94" w:rsidRDefault="009568DB" w:rsidP="005E416D">
      <w:pPr>
        <w:pStyle w:val="Body2"/>
        <w:rPr>
          <w:rFonts w:eastAsia="Times New Roman" w:cs="Times New Roman"/>
          <w:color w:val="auto"/>
          <w:sz w:val="24"/>
          <w:szCs w:val="24"/>
          <w:lang w:val="lt-LT" w:eastAsia="en-US"/>
        </w:rPr>
      </w:pPr>
    </w:p>
    <w:p w:rsidR="001E27C7" w:rsidRPr="00DB5BFB" w:rsidRDefault="001E27C7" w:rsidP="001E27C7">
      <w:pPr>
        <w:pStyle w:val="Body2"/>
        <w:rPr>
          <w:lang w:val="lt-LT"/>
        </w:rPr>
      </w:pPr>
      <w:r w:rsidRPr="00BE0E94">
        <w:rPr>
          <w:lang w:val="lt-LT"/>
        </w:rPr>
        <w:t xml:space="preserve">         </w:t>
      </w:r>
      <w:r w:rsidRPr="00DB5BFB">
        <w:rPr>
          <w:lang w:val="lt-LT"/>
        </w:rPr>
        <w:t>Konkursų skyriaus vadovas</w:t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 w:rsidRPr="00DB5BFB">
        <w:rPr>
          <w:lang w:val="lt-LT"/>
        </w:rPr>
        <w:tab/>
        <w:t>Direktorius</w:t>
      </w:r>
    </w:p>
    <w:p w:rsidR="001E27C7" w:rsidRPr="00DB5BFB" w:rsidRDefault="001E27C7" w:rsidP="001E27C7">
      <w:pPr>
        <w:pStyle w:val="Body2"/>
        <w:rPr>
          <w:lang w:val="lt-LT"/>
        </w:rPr>
      </w:pPr>
      <w:r>
        <w:rPr>
          <w:lang w:val="pt-PT"/>
        </w:rPr>
        <w:t xml:space="preserve">         Aurimas Kirkliauskas</w:t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 w:rsidRPr="00DB5BFB">
        <w:rPr>
          <w:lang w:val="lt-LT"/>
        </w:rPr>
        <w:tab/>
      </w:r>
      <w:r>
        <w:rPr>
          <w:lang w:val="pt-PT"/>
        </w:rPr>
        <w:t>Osvaldas Šarmavičius</w:t>
      </w:r>
    </w:p>
    <w:p w:rsidR="008F3612" w:rsidRDefault="008F3612" w:rsidP="008F3612">
      <w:pPr>
        <w:pStyle w:val="Body2"/>
        <w:rPr>
          <w:sz w:val="24"/>
          <w:szCs w:val="24"/>
        </w:rPr>
      </w:pPr>
      <w:r w:rsidRPr="00DB5BFB">
        <w:rPr>
          <w:sz w:val="24"/>
          <w:szCs w:val="24"/>
          <w:lang w:val="lt-LT"/>
        </w:rPr>
        <w:t xml:space="preserve">           </w:t>
      </w: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</w:t>
      </w:r>
    </w:p>
    <w:p w:rsidR="00953450" w:rsidRPr="000B290B" w:rsidRDefault="008F3612" w:rsidP="000B290B">
      <w:pPr>
        <w:pStyle w:val="Body2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(</w:t>
      </w:r>
      <w:proofErr w:type="spellStart"/>
      <w:proofErr w:type="gramStart"/>
      <w:r>
        <w:rPr>
          <w:i/>
          <w:iCs/>
          <w:sz w:val="24"/>
          <w:szCs w:val="24"/>
        </w:rPr>
        <w:t>parašas</w:t>
      </w:r>
      <w:proofErr w:type="spellEnd"/>
      <w:proofErr w:type="gramEnd"/>
      <w:r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i/>
          <w:iCs/>
          <w:sz w:val="24"/>
          <w:szCs w:val="24"/>
        </w:rPr>
        <w:t>(</w:t>
      </w:r>
      <w:proofErr w:type="spellStart"/>
      <w:proofErr w:type="gramStart"/>
      <w:r>
        <w:rPr>
          <w:i/>
          <w:iCs/>
          <w:sz w:val="24"/>
          <w:szCs w:val="24"/>
        </w:rPr>
        <w:t>parašas</w:t>
      </w:r>
      <w:proofErr w:type="spellEnd"/>
      <w:proofErr w:type="gramEnd"/>
      <w:r>
        <w:rPr>
          <w:i/>
          <w:iCs/>
          <w:sz w:val="24"/>
          <w:szCs w:val="24"/>
        </w:rPr>
        <w:t>)</w:t>
      </w:r>
    </w:p>
    <w:sectPr w:rsidR="00953450" w:rsidRPr="000B290B" w:rsidSect="00953450">
      <w:pgSz w:w="16838" w:h="11906" w:orient="landscape"/>
      <w:pgMar w:top="567" w:right="907" w:bottom="1701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56"/>
    <w:rsid w:val="000B290B"/>
    <w:rsid w:val="001E27C7"/>
    <w:rsid w:val="001E658B"/>
    <w:rsid w:val="00297D7F"/>
    <w:rsid w:val="002A761E"/>
    <w:rsid w:val="00392408"/>
    <w:rsid w:val="005E416D"/>
    <w:rsid w:val="00716EE3"/>
    <w:rsid w:val="00837046"/>
    <w:rsid w:val="008F3612"/>
    <w:rsid w:val="00931838"/>
    <w:rsid w:val="00953450"/>
    <w:rsid w:val="009568DB"/>
    <w:rsid w:val="00A14CCB"/>
    <w:rsid w:val="00B7560B"/>
    <w:rsid w:val="00BE0E94"/>
    <w:rsid w:val="00BF08CB"/>
    <w:rsid w:val="00C43256"/>
    <w:rsid w:val="00DA7ECC"/>
    <w:rsid w:val="00DB5BFB"/>
    <w:rsid w:val="00DC68DB"/>
    <w:rsid w:val="00DE6D04"/>
    <w:rsid w:val="00E04259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92857-E018-459D-A240-071A2BD6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34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unhideWhenUsed/>
    <w:rsid w:val="00C43256"/>
    <w:rPr>
      <w:color w:val="0000FF"/>
      <w:u w:val="single"/>
    </w:rPr>
  </w:style>
  <w:style w:type="paragraph" w:customStyle="1" w:styleId="Body2">
    <w:name w:val="Body 2"/>
    <w:rsid w:val="00C43256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C43256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character" w:customStyle="1" w:styleId="Hyperlink0">
    <w:name w:val="Hyperlink.0"/>
    <w:rsid w:val="00C4325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9534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345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FD611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D611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saskait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51AF-BB62-4793-8232-4DA59405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7479</Words>
  <Characters>4264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Alfonsas</cp:lastModifiedBy>
  <cp:revision>6</cp:revision>
  <dcterms:created xsi:type="dcterms:W3CDTF">2023-06-06T10:57:00Z</dcterms:created>
  <dcterms:modified xsi:type="dcterms:W3CDTF">2023-06-19T08:01:00Z</dcterms:modified>
</cp:coreProperties>
</file>