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CAAC6" w14:textId="2DF0C13E" w:rsidR="00124A7A" w:rsidRPr="00C80145" w:rsidRDefault="00124A7A" w:rsidP="00124A7A">
      <w:pPr>
        <w:spacing w:after="0" w:line="240" w:lineRule="auto"/>
        <w:jc w:val="center"/>
        <w:rPr>
          <w:rFonts w:ascii="Times New Roman" w:hAnsi="Times New Roman" w:cs="Times New Roman"/>
          <w:b/>
        </w:rPr>
      </w:pPr>
      <w:r w:rsidRPr="00C80145">
        <w:rPr>
          <w:rFonts w:ascii="Times New Roman" w:hAnsi="Times New Roman" w:cs="Times New Roman"/>
          <w:b/>
        </w:rPr>
        <w:t>RAKTINIAI VEIKLOS RODIKLIAI (KPI) IR PAŽEIDIMO IŠTAISYMO LAIKAS</w:t>
      </w:r>
    </w:p>
    <w:p w14:paraId="0E49EBB6" w14:textId="77777777" w:rsidR="008F46F6" w:rsidRPr="00C80145" w:rsidRDefault="008F46F6" w:rsidP="00124A7A">
      <w:pPr>
        <w:spacing w:after="0" w:line="240" w:lineRule="auto"/>
        <w:jc w:val="center"/>
        <w:rPr>
          <w:rFonts w:ascii="Times New Roman" w:hAnsi="Times New Roman" w:cs="Times New Roman"/>
          <w:b/>
        </w:rPr>
      </w:pPr>
    </w:p>
    <w:tbl>
      <w:tblPr>
        <w:tblStyle w:val="4tinkleliolentel3parykinimas"/>
        <w:tblW w:w="9634" w:type="dxa"/>
        <w:tblLook w:val="04A0" w:firstRow="1" w:lastRow="0" w:firstColumn="1" w:lastColumn="0" w:noHBand="0" w:noVBand="1"/>
      </w:tblPr>
      <w:tblGrid>
        <w:gridCol w:w="877"/>
        <w:gridCol w:w="1386"/>
        <w:gridCol w:w="2410"/>
        <w:gridCol w:w="3686"/>
        <w:gridCol w:w="1275"/>
      </w:tblGrid>
      <w:tr w:rsidR="00C80145" w:rsidRPr="00C80145" w14:paraId="24886FF7" w14:textId="77777777" w:rsidTr="00C80145">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021F86C9" w14:textId="77777777" w:rsidR="008F46F6" w:rsidRPr="00C80145" w:rsidRDefault="008F46F6" w:rsidP="00B0246A">
            <w:pPr>
              <w:jc w:val="center"/>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Rodiklio Nr.</w:t>
            </w:r>
          </w:p>
        </w:tc>
        <w:tc>
          <w:tcPr>
            <w:tcW w:w="1386" w:type="dxa"/>
            <w:noWrap/>
            <w:vAlign w:val="center"/>
            <w:hideMark/>
          </w:tcPr>
          <w:p w14:paraId="0E827868" w14:textId="77777777" w:rsidR="008F46F6" w:rsidRPr="00C80145" w:rsidRDefault="008F46F6" w:rsidP="00B024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Rodiklis</w:t>
            </w:r>
          </w:p>
        </w:tc>
        <w:tc>
          <w:tcPr>
            <w:tcW w:w="2410" w:type="dxa"/>
            <w:noWrap/>
            <w:vAlign w:val="center"/>
            <w:hideMark/>
          </w:tcPr>
          <w:p w14:paraId="3E51E7C7" w14:textId="77777777" w:rsidR="008F46F6" w:rsidRPr="00C80145" w:rsidRDefault="008F46F6" w:rsidP="00B024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Paslaugų lygio aprašymas</w:t>
            </w:r>
          </w:p>
        </w:tc>
        <w:tc>
          <w:tcPr>
            <w:tcW w:w="3686" w:type="dxa"/>
            <w:noWrap/>
            <w:vAlign w:val="center"/>
            <w:hideMark/>
          </w:tcPr>
          <w:p w14:paraId="67359E66" w14:textId="77777777" w:rsidR="008F46F6" w:rsidRPr="00C80145" w:rsidRDefault="008F46F6" w:rsidP="00B024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Matavimas</w:t>
            </w:r>
          </w:p>
        </w:tc>
        <w:tc>
          <w:tcPr>
            <w:tcW w:w="1275" w:type="dxa"/>
            <w:noWrap/>
            <w:vAlign w:val="center"/>
            <w:hideMark/>
          </w:tcPr>
          <w:p w14:paraId="0F0A987B" w14:textId="77777777" w:rsidR="008F46F6" w:rsidRPr="00C80145" w:rsidRDefault="008F46F6" w:rsidP="00B024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 xml:space="preserve">Pažeidimo ištaisymo laikas </w:t>
            </w:r>
          </w:p>
        </w:tc>
      </w:tr>
      <w:tr w:rsidR="00C80145" w:rsidRPr="00C80145" w14:paraId="72489332" w14:textId="77777777" w:rsidTr="00C80145">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213C22EF" w14:textId="77777777" w:rsidR="008F46F6" w:rsidRPr="00C80145" w:rsidRDefault="008F46F6" w:rsidP="00B0246A">
            <w:pPr>
              <w:jc w:val="center"/>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1</w:t>
            </w:r>
          </w:p>
        </w:tc>
        <w:tc>
          <w:tcPr>
            <w:tcW w:w="1386" w:type="dxa"/>
            <w:noWrap/>
            <w:vAlign w:val="center"/>
            <w:hideMark/>
          </w:tcPr>
          <w:p w14:paraId="1B14FA40"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vertAlign w:val="superscript"/>
                <w:lang w:eastAsia="lt-LT"/>
              </w:rPr>
            </w:pPr>
            <w:r w:rsidRPr="00C80145">
              <w:rPr>
                <w:rFonts w:ascii="Times New Roman" w:eastAsia="Times New Roman" w:hAnsi="Times New Roman" w:cs="Times New Roman"/>
                <w:color w:val="000000"/>
                <w:sz w:val="18"/>
                <w:szCs w:val="18"/>
                <w:lang w:eastAsia="lt-LT"/>
              </w:rPr>
              <w:t>Pretenzija</w:t>
            </w:r>
            <w:r w:rsidRPr="00C80145">
              <w:rPr>
                <w:rStyle w:val="Puslapioinaosnuoroda"/>
                <w:rFonts w:ascii="Times New Roman" w:eastAsia="Times New Roman" w:hAnsi="Times New Roman" w:cs="Times New Roman"/>
                <w:color w:val="000000"/>
                <w:sz w:val="18"/>
                <w:szCs w:val="18"/>
                <w:lang w:eastAsia="lt-LT"/>
              </w:rPr>
              <w:footnoteReference w:id="1"/>
            </w:r>
          </w:p>
        </w:tc>
        <w:tc>
          <w:tcPr>
            <w:tcW w:w="2410" w:type="dxa"/>
            <w:noWrap/>
            <w:vAlign w:val="center"/>
            <w:hideMark/>
          </w:tcPr>
          <w:p w14:paraId="0ED13169"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Pretenzija turi būti pašalinta per PO nurodytą laikotarpį</w:t>
            </w:r>
          </w:p>
        </w:tc>
        <w:tc>
          <w:tcPr>
            <w:tcW w:w="3686" w:type="dxa"/>
            <w:noWrap/>
            <w:vAlign w:val="center"/>
            <w:hideMark/>
          </w:tcPr>
          <w:p w14:paraId="0A61398D"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PO užregistruotos pretenzijos ir jų pašalinimo laikas</w:t>
            </w:r>
            <w:r w:rsidRPr="00C80145">
              <w:rPr>
                <w:rStyle w:val="Puslapioinaosnuoroda"/>
                <w:rFonts w:ascii="Times New Roman" w:eastAsia="Times New Roman" w:hAnsi="Times New Roman" w:cs="Times New Roman"/>
                <w:color w:val="000000"/>
                <w:sz w:val="18"/>
                <w:szCs w:val="18"/>
                <w:lang w:eastAsia="lt-LT"/>
              </w:rPr>
              <w:footnoteReference w:id="2"/>
            </w:r>
            <w:r w:rsidRPr="00C80145">
              <w:rPr>
                <w:rFonts w:ascii="Times New Roman" w:eastAsia="Times New Roman" w:hAnsi="Times New Roman" w:cs="Times New Roman"/>
                <w:color w:val="000000"/>
                <w:sz w:val="18"/>
                <w:szCs w:val="18"/>
                <w:lang w:eastAsia="lt-LT"/>
              </w:rPr>
              <w:t xml:space="preserve"> per ataskaitinį laikotarpį (vienas mėnesis), tiekėjo pateiktos ataskaitos, techninės specifikacijos reikalavimai ir kita susijusi informacija</w:t>
            </w:r>
          </w:p>
        </w:tc>
        <w:tc>
          <w:tcPr>
            <w:tcW w:w="1275" w:type="dxa"/>
            <w:noWrap/>
            <w:vAlign w:val="center"/>
            <w:hideMark/>
          </w:tcPr>
          <w:p w14:paraId="4EE996BC" w14:textId="194C7262" w:rsidR="008F46F6" w:rsidRPr="00C80145" w:rsidRDefault="002648BB"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w:t>
            </w:r>
            <w:r w:rsidR="008F46F6" w:rsidRPr="00C80145">
              <w:rPr>
                <w:rFonts w:ascii="Times New Roman" w:eastAsia="Times New Roman" w:hAnsi="Times New Roman" w:cs="Times New Roman"/>
                <w:color w:val="000000"/>
                <w:sz w:val="18"/>
                <w:szCs w:val="18"/>
                <w:lang w:eastAsia="lt-LT"/>
              </w:rPr>
              <w:t xml:space="preserve"> val., jeigu PO nenurodo kitaip</w:t>
            </w:r>
          </w:p>
        </w:tc>
      </w:tr>
      <w:tr w:rsidR="008F46F6" w:rsidRPr="00C80145" w14:paraId="50EBE9DC" w14:textId="77777777" w:rsidTr="00C80145">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tcPr>
          <w:p w14:paraId="6543CA64" w14:textId="77777777" w:rsidR="008F46F6" w:rsidRPr="00C80145" w:rsidRDefault="008F46F6" w:rsidP="00B0246A">
            <w:pPr>
              <w:jc w:val="center"/>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2</w:t>
            </w:r>
          </w:p>
        </w:tc>
        <w:tc>
          <w:tcPr>
            <w:tcW w:w="1386" w:type="dxa"/>
            <w:noWrap/>
            <w:vAlign w:val="center"/>
          </w:tcPr>
          <w:p w14:paraId="74B84773"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Pretenzijų skaičius</w:t>
            </w:r>
          </w:p>
        </w:tc>
        <w:tc>
          <w:tcPr>
            <w:tcW w:w="2410" w:type="dxa"/>
            <w:noWrap/>
            <w:vAlign w:val="center"/>
          </w:tcPr>
          <w:p w14:paraId="5C9A00E9"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Ne daugiau nei 3 pretenzijos per ataskaitinį mėnesį</w:t>
            </w:r>
          </w:p>
        </w:tc>
        <w:tc>
          <w:tcPr>
            <w:tcW w:w="3686" w:type="dxa"/>
            <w:noWrap/>
            <w:vAlign w:val="center"/>
          </w:tcPr>
          <w:p w14:paraId="1B21C77C"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PO užregistruotas pretenzijų skaičius per ataskaitinį laikotarpį (vienas mėnesis), tiekėjo pateiktos ataskaitos, techninės specifikacijos reikalavimai</w:t>
            </w:r>
          </w:p>
        </w:tc>
        <w:tc>
          <w:tcPr>
            <w:tcW w:w="1275" w:type="dxa"/>
            <w:noWrap/>
            <w:vAlign w:val="center"/>
          </w:tcPr>
          <w:p w14:paraId="79EE958B" w14:textId="540FFBBA"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 xml:space="preserve">Visos pretenzijos turi būti pašalintos per </w:t>
            </w:r>
            <w:r w:rsidR="002648BB">
              <w:rPr>
                <w:rFonts w:ascii="Times New Roman" w:eastAsia="Times New Roman" w:hAnsi="Times New Roman" w:cs="Times New Roman"/>
                <w:color w:val="000000"/>
                <w:sz w:val="18"/>
                <w:szCs w:val="18"/>
                <w:lang w:eastAsia="lt-LT"/>
              </w:rPr>
              <w:t>2</w:t>
            </w:r>
            <w:r w:rsidRPr="00C80145">
              <w:rPr>
                <w:rFonts w:ascii="Times New Roman" w:eastAsia="Times New Roman" w:hAnsi="Times New Roman" w:cs="Times New Roman"/>
                <w:color w:val="000000"/>
                <w:sz w:val="18"/>
                <w:szCs w:val="18"/>
                <w:lang w:eastAsia="lt-LT"/>
              </w:rPr>
              <w:t xml:space="preserve"> val., jeigu PO nenurodo kitaip.</w:t>
            </w:r>
            <w:r w:rsidRPr="00C80145">
              <w:rPr>
                <w:rStyle w:val="Puslapioinaosnuoroda"/>
                <w:rFonts w:ascii="Times New Roman" w:eastAsia="Times New Roman" w:hAnsi="Times New Roman" w:cs="Times New Roman"/>
                <w:color w:val="000000"/>
                <w:sz w:val="18"/>
                <w:szCs w:val="18"/>
                <w:lang w:eastAsia="lt-LT"/>
              </w:rPr>
              <w:footnoteReference w:id="3"/>
            </w:r>
          </w:p>
        </w:tc>
      </w:tr>
      <w:tr w:rsidR="00C80145" w:rsidRPr="00C80145" w14:paraId="6616213A" w14:textId="77777777" w:rsidTr="00C80145">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05777A36" w14:textId="77777777" w:rsidR="008F46F6" w:rsidRPr="00C80145" w:rsidRDefault="008F46F6" w:rsidP="00B0246A">
            <w:pPr>
              <w:jc w:val="center"/>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3</w:t>
            </w:r>
          </w:p>
        </w:tc>
        <w:tc>
          <w:tcPr>
            <w:tcW w:w="1386" w:type="dxa"/>
            <w:vAlign w:val="center"/>
            <w:hideMark/>
          </w:tcPr>
          <w:p w14:paraId="53982290"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Darbuotojų identifikavimas ir uniforma</w:t>
            </w:r>
          </w:p>
        </w:tc>
        <w:tc>
          <w:tcPr>
            <w:tcW w:w="2410" w:type="dxa"/>
            <w:vAlign w:val="center"/>
            <w:hideMark/>
          </w:tcPr>
          <w:p w14:paraId="0E72C9F4"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Darbuotojų apranga ir identifikacijos kortelės atitinka nustatytus reikalavimus</w:t>
            </w:r>
          </w:p>
        </w:tc>
        <w:tc>
          <w:tcPr>
            <w:tcW w:w="3686" w:type="dxa"/>
            <w:vAlign w:val="center"/>
            <w:hideMark/>
          </w:tcPr>
          <w:p w14:paraId="64BA4EBC"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Pagal PO poreikį atliktas PO paskirtų asmenų vizualus patikrinimas, techninės specifikacijos reikalavimai, faktinis apsilankymas objekte, pateikti surinkti įrodymai tiekėjui</w:t>
            </w:r>
          </w:p>
        </w:tc>
        <w:tc>
          <w:tcPr>
            <w:tcW w:w="1275" w:type="dxa"/>
            <w:noWrap/>
            <w:vAlign w:val="center"/>
            <w:hideMark/>
          </w:tcPr>
          <w:p w14:paraId="5A6B6BDF"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1 val.</w:t>
            </w:r>
          </w:p>
        </w:tc>
      </w:tr>
      <w:tr w:rsidR="008F46F6" w:rsidRPr="00C80145" w14:paraId="2C27C347" w14:textId="77777777" w:rsidTr="00C80145">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7A059864" w14:textId="77777777" w:rsidR="008F46F6" w:rsidRPr="00C80145" w:rsidRDefault="008F46F6" w:rsidP="00B0246A">
            <w:pPr>
              <w:jc w:val="center"/>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4</w:t>
            </w:r>
          </w:p>
        </w:tc>
        <w:tc>
          <w:tcPr>
            <w:tcW w:w="1386" w:type="dxa"/>
            <w:vAlign w:val="center"/>
            <w:hideMark/>
          </w:tcPr>
          <w:p w14:paraId="43B42ADD"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 xml:space="preserve">Atliktų objektų savikontrolės auditų kiekis </w:t>
            </w:r>
          </w:p>
        </w:tc>
        <w:tc>
          <w:tcPr>
            <w:tcW w:w="2410" w:type="dxa"/>
            <w:vAlign w:val="center"/>
            <w:hideMark/>
          </w:tcPr>
          <w:p w14:paraId="71DD47E9"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 xml:space="preserve">Įvykdytas Standarte apibrėžtas savikontrolės auditų dažnis ir atliktų savikontrolės auditų kiekis </w:t>
            </w:r>
          </w:p>
        </w:tc>
        <w:tc>
          <w:tcPr>
            <w:tcW w:w="3686" w:type="dxa"/>
            <w:vAlign w:val="center"/>
            <w:hideMark/>
          </w:tcPr>
          <w:p w14:paraId="511C9780"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Pateikta mėnesinė tiekėjo ataskaita, savikontrolės auditų patikrų formų ir ataskaitų kopijos, techninės specifikacijos, Standarto, pirkimo dokumentų reikalavimai</w:t>
            </w:r>
          </w:p>
        </w:tc>
        <w:tc>
          <w:tcPr>
            <w:tcW w:w="1275" w:type="dxa"/>
            <w:noWrap/>
            <w:vAlign w:val="center"/>
            <w:hideMark/>
          </w:tcPr>
          <w:p w14:paraId="50ECEC08"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24 val.</w:t>
            </w:r>
          </w:p>
        </w:tc>
      </w:tr>
      <w:tr w:rsidR="00C80145" w:rsidRPr="00C80145" w14:paraId="23677184" w14:textId="77777777" w:rsidTr="00C80145">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0C7B4281" w14:textId="77777777" w:rsidR="008F46F6" w:rsidRPr="00C80145" w:rsidRDefault="008F46F6" w:rsidP="00B0246A">
            <w:pPr>
              <w:jc w:val="center"/>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5</w:t>
            </w:r>
          </w:p>
        </w:tc>
        <w:tc>
          <w:tcPr>
            <w:tcW w:w="1386" w:type="dxa"/>
            <w:vAlign w:val="center"/>
            <w:hideMark/>
          </w:tcPr>
          <w:p w14:paraId="6FB2FBD1"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Savikontrolės auditų metu nustatytas minimalus priimtinas objekto valymo paslaugų lygis (PKL)</w:t>
            </w:r>
          </w:p>
        </w:tc>
        <w:tc>
          <w:tcPr>
            <w:tcW w:w="2410" w:type="dxa"/>
            <w:noWrap/>
            <w:vAlign w:val="center"/>
            <w:hideMark/>
          </w:tcPr>
          <w:p w14:paraId="40738087"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Pasiektas kiekvieno audituoto objekto minimalus priimtinas valymo paslaugų kokybės lygis (PKL) apibrėžtas Standarte, techninėje specifikacijoje, pirkimo dokumentų ir sutartiniuose reikalavimuose</w:t>
            </w:r>
          </w:p>
        </w:tc>
        <w:tc>
          <w:tcPr>
            <w:tcW w:w="3686" w:type="dxa"/>
            <w:vAlign w:val="center"/>
            <w:hideMark/>
          </w:tcPr>
          <w:p w14:paraId="2A16A1C5"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Pateikta mėnesinė tiekėjo ataskaita, savikontrolės auditų patikrų formų ir ataskaitų kopijos, techninės specifikacijos, Standarto, pirkimo dokumentų ir kiti sutartiniai reikalavimai</w:t>
            </w:r>
          </w:p>
        </w:tc>
        <w:tc>
          <w:tcPr>
            <w:tcW w:w="1275" w:type="dxa"/>
            <w:noWrap/>
            <w:vAlign w:val="center"/>
            <w:hideMark/>
          </w:tcPr>
          <w:p w14:paraId="4148DD88"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10 d. d.</w:t>
            </w:r>
          </w:p>
        </w:tc>
      </w:tr>
      <w:tr w:rsidR="008F46F6" w:rsidRPr="00C80145" w14:paraId="72D97BC8" w14:textId="77777777" w:rsidTr="00C80145">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527A96E4" w14:textId="77777777" w:rsidR="008F46F6" w:rsidRPr="00C80145" w:rsidRDefault="008F46F6" w:rsidP="00B0246A">
            <w:pPr>
              <w:jc w:val="center"/>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6</w:t>
            </w:r>
          </w:p>
        </w:tc>
        <w:tc>
          <w:tcPr>
            <w:tcW w:w="1386" w:type="dxa"/>
            <w:vAlign w:val="center"/>
            <w:hideMark/>
          </w:tcPr>
          <w:p w14:paraId="43FB7CAC"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Vidinių ir (ar) išorės auditų metu nustatytas minimalus priimtinas objekto valymo paslaugų lygis (PKL)</w:t>
            </w:r>
          </w:p>
        </w:tc>
        <w:tc>
          <w:tcPr>
            <w:tcW w:w="2410" w:type="dxa"/>
            <w:vAlign w:val="center"/>
            <w:hideMark/>
          </w:tcPr>
          <w:p w14:paraId="21EAB624"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Pasiektas kiekvieno audituoto objekto minimalus priimtinas valymo paslaugų kokybės lygis (PKL) apibrėžtas Standarte, techninėje specifikacijoje ir pirkimo dokumentų reikalavimuose</w:t>
            </w:r>
          </w:p>
        </w:tc>
        <w:tc>
          <w:tcPr>
            <w:tcW w:w="3686" w:type="dxa"/>
            <w:noWrap/>
            <w:vAlign w:val="center"/>
            <w:hideMark/>
          </w:tcPr>
          <w:p w14:paraId="445A4CE2"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Pateikta mėnesinė PO paskirtų asmenų ir PO paskirtos išorės audito įmonės ataskaita su nustatytais objektų minimaliais priimtinais valymo paslaugų kokybės lygiais (PKL), techninės specifikacijos, Standarto, pirkimo dokumentų ir kiti sutartiniai reikalavimai</w:t>
            </w:r>
          </w:p>
        </w:tc>
        <w:tc>
          <w:tcPr>
            <w:tcW w:w="1275" w:type="dxa"/>
            <w:noWrap/>
            <w:vAlign w:val="center"/>
            <w:hideMark/>
          </w:tcPr>
          <w:p w14:paraId="574450B8"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10 d. d.</w:t>
            </w:r>
          </w:p>
        </w:tc>
      </w:tr>
      <w:tr w:rsidR="00C80145" w:rsidRPr="00C80145" w14:paraId="1B921239" w14:textId="77777777" w:rsidTr="00C80145">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tcPr>
          <w:p w14:paraId="1C6E98CD" w14:textId="77777777" w:rsidR="008F46F6" w:rsidRPr="00C80145" w:rsidRDefault="008F46F6" w:rsidP="00B0246A">
            <w:pPr>
              <w:jc w:val="center"/>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7</w:t>
            </w:r>
          </w:p>
        </w:tc>
        <w:tc>
          <w:tcPr>
            <w:tcW w:w="1386" w:type="dxa"/>
            <w:vAlign w:val="center"/>
          </w:tcPr>
          <w:p w14:paraId="59E8AEBD"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Visos paslaugos pradedamos teikti ir suteikiamos PO nurodytu laiku</w:t>
            </w:r>
            <w:r w:rsidRPr="00C80145">
              <w:rPr>
                <w:rStyle w:val="Puslapioinaosnuoroda"/>
                <w:rFonts w:ascii="Times New Roman" w:eastAsia="Times New Roman" w:hAnsi="Times New Roman" w:cs="Times New Roman"/>
                <w:color w:val="000000"/>
                <w:sz w:val="18"/>
                <w:szCs w:val="18"/>
                <w:lang w:eastAsia="lt-LT"/>
              </w:rPr>
              <w:footnoteReference w:id="4"/>
            </w:r>
          </w:p>
        </w:tc>
        <w:tc>
          <w:tcPr>
            <w:tcW w:w="2410" w:type="dxa"/>
            <w:vAlign w:val="center"/>
          </w:tcPr>
          <w:p w14:paraId="4E846053"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Paslaugos turi būti teikiamos PO nurodytu laiku (t. y. nurodytomis dienomis ir valandomis)</w:t>
            </w:r>
          </w:p>
        </w:tc>
        <w:tc>
          <w:tcPr>
            <w:tcW w:w="3686" w:type="dxa"/>
            <w:noWrap/>
            <w:vAlign w:val="center"/>
          </w:tcPr>
          <w:p w14:paraId="47703DEC"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Pateikti PO paskirtų asmenų surinkti įrodymai, tiekėjo darbuotojų pasirašymo registrai, faktinis apsilankymas objekte, techninės specifikacijos, Standarto, pirkimo dokumentų ir kiti sutartiniai reikalavimai</w:t>
            </w:r>
          </w:p>
        </w:tc>
        <w:tc>
          <w:tcPr>
            <w:tcW w:w="1275" w:type="dxa"/>
            <w:noWrap/>
            <w:vAlign w:val="center"/>
          </w:tcPr>
          <w:p w14:paraId="3804648C"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1 val.</w:t>
            </w:r>
          </w:p>
        </w:tc>
      </w:tr>
      <w:tr w:rsidR="008F46F6" w:rsidRPr="00C80145" w14:paraId="2AD84364" w14:textId="77777777" w:rsidTr="00C80145">
        <w:trPr>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4DD1D37F" w14:textId="77777777" w:rsidR="008F46F6" w:rsidRPr="00C80145" w:rsidRDefault="008F46F6" w:rsidP="00B0246A">
            <w:pPr>
              <w:jc w:val="center"/>
              <w:rPr>
                <w:rFonts w:ascii="Times New Roman" w:eastAsia="Times New Roman" w:hAnsi="Times New Roman" w:cs="Times New Roman"/>
                <w:b w:val="0"/>
                <w:bCs w:val="0"/>
                <w:color w:val="000000"/>
                <w:sz w:val="18"/>
                <w:szCs w:val="18"/>
                <w:lang w:eastAsia="lt-LT"/>
              </w:rPr>
            </w:pPr>
            <w:r w:rsidRPr="00C80145">
              <w:rPr>
                <w:rFonts w:ascii="Times New Roman" w:eastAsia="Times New Roman" w:hAnsi="Times New Roman" w:cs="Times New Roman"/>
                <w:color w:val="000000"/>
                <w:sz w:val="18"/>
                <w:szCs w:val="18"/>
                <w:lang w:eastAsia="lt-LT"/>
              </w:rPr>
              <w:t>8</w:t>
            </w:r>
          </w:p>
        </w:tc>
        <w:tc>
          <w:tcPr>
            <w:tcW w:w="1386" w:type="dxa"/>
            <w:vAlign w:val="center"/>
            <w:hideMark/>
          </w:tcPr>
          <w:p w14:paraId="05AB9139"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Spalvų kodas, valymo priemonės ir įrankiai</w:t>
            </w:r>
          </w:p>
        </w:tc>
        <w:tc>
          <w:tcPr>
            <w:tcW w:w="2410" w:type="dxa"/>
            <w:vAlign w:val="center"/>
            <w:hideMark/>
          </w:tcPr>
          <w:p w14:paraId="21EEE245"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Turi būti nuolat naudojamas spalvų kodas, priemonių ir įrankių neturi trūkti</w:t>
            </w:r>
          </w:p>
        </w:tc>
        <w:tc>
          <w:tcPr>
            <w:tcW w:w="3686" w:type="dxa"/>
            <w:vAlign w:val="center"/>
            <w:hideMark/>
          </w:tcPr>
          <w:p w14:paraId="646B2B22"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Pagal PO poreikį atliktas PO paskirtų asmenų vizualus patikrinimas, tikrinant tiekėjo darbuotojų darbo procesą, valymo kambarėlius pagal techninės specifikacijos ir Standarto reikalavimus, pateikti surinkti įrodymai</w:t>
            </w:r>
          </w:p>
        </w:tc>
        <w:tc>
          <w:tcPr>
            <w:tcW w:w="1275" w:type="dxa"/>
            <w:noWrap/>
            <w:vAlign w:val="center"/>
            <w:hideMark/>
          </w:tcPr>
          <w:p w14:paraId="7E62AEC9" w14:textId="77777777" w:rsidR="008F46F6" w:rsidRPr="00C80145" w:rsidRDefault="008F46F6" w:rsidP="00B0246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24 val.</w:t>
            </w:r>
          </w:p>
        </w:tc>
      </w:tr>
      <w:tr w:rsidR="00C80145" w:rsidRPr="00C80145" w14:paraId="2DF008B3" w14:textId="77777777" w:rsidTr="00C80145">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877" w:type="dxa"/>
            <w:noWrap/>
            <w:vAlign w:val="center"/>
            <w:hideMark/>
          </w:tcPr>
          <w:p w14:paraId="459E1C3C" w14:textId="77777777" w:rsidR="008F46F6" w:rsidRPr="00C80145" w:rsidRDefault="008F46F6" w:rsidP="00B0246A">
            <w:pPr>
              <w:jc w:val="center"/>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9</w:t>
            </w:r>
          </w:p>
        </w:tc>
        <w:tc>
          <w:tcPr>
            <w:tcW w:w="1386" w:type="dxa"/>
            <w:noWrap/>
            <w:vAlign w:val="center"/>
            <w:hideMark/>
          </w:tcPr>
          <w:p w14:paraId="5DADF985"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Ataskaitos</w:t>
            </w:r>
          </w:p>
        </w:tc>
        <w:tc>
          <w:tcPr>
            <w:tcW w:w="2410" w:type="dxa"/>
            <w:noWrap/>
            <w:vAlign w:val="center"/>
            <w:hideMark/>
          </w:tcPr>
          <w:p w14:paraId="764A4758"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Turi būti pateiktos ataskaitos PO nustatytu laiku ir terminais pagal techninės specifikacijos, Standarto, pirkimo dokumentų ir kitus sutartinius reikalavimus</w:t>
            </w:r>
          </w:p>
        </w:tc>
        <w:tc>
          <w:tcPr>
            <w:tcW w:w="3686" w:type="dxa"/>
            <w:noWrap/>
            <w:vAlign w:val="center"/>
            <w:hideMark/>
          </w:tcPr>
          <w:p w14:paraId="1A9FE79E"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Tiekėjo ataskaitų pateikimo data, techninės specifikacijos reikalavimai, Standartas, pirkimo dokumentai ir kiti sutartiniai reikalavimai</w:t>
            </w:r>
          </w:p>
        </w:tc>
        <w:tc>
          <w:tcPr>
            <w:tcW w:w="1275" w:type="dxa"/>
            <w:noWrap/>
            <w:vAlign w:val="center"/>
            <w:hideMark/>
          </w:tcPr>
          <w:p w14:paraId="03855A90" w14:textId="77777777" w:rsidR="008F46F6" w:rsidRPr="00C80145" w:rsidRDefault="008F46F6" w:rsidP="00B024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lt-LT"/>
              </w:rPr>
            </w:pPr>
            <w:r w:rsidRPr="00C80145">
              <w:rPr>
                <w:rFonts w:ascii="Times New Roman" w:eastAsia="Times New Roman" w:hAnsi="Times New Roman" w:cs="Times New Roman"/>
                <w:color w:val="000000"/>
                <w:sz w:val="18"/>
                <w:szCs w:val="18"/>
                <w:lang w:eastAsia="lt-LT"/>
              </w:rPr>
              <w:t>24 val.</w:t>
            </w:r>
          </w:p>
        </w:tc>
      </w:tr>
    </w:tbl>
    <w:p w14:paraId="5EDA91FD" w14:textId="77777777" w:rsidR="008F46F6" w:rsidRDefault="008F46F6" w:rsidP="00C80145">
      <w:pPr>
        <w:spacing w:after="0" w:line="240" w:lineRule="auto"/>
        <w:rPr>
          <w:rFonts w:ascii="Times New Roman" w:hAnsi="Times New Roman" w:cs="Times New Roman"/>
          <w:b/>
          <w:sz w:val="24"/>
          <w:szCs w:val="24"/>
        </w:rPr>
      </w:pPr>
    </w:p>
    <w:sectPr w:rsidR="008F46F6" w:rsidSect="008F46F6">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EA586" w14:textId="77777777" w:rsidR="001F3C23" w:rsidRDefault="001F3C23" w:rsidP="0006650F">
      <w:pPr>
        <w:spacing w:after="0" w:line="240" w:lineRule="auto"/>
      </w:pPr>
      <w:r>
        <w:separator/>
      </w:r>
    </w:p>
  </w:endnote>
  <w:endnote w:type="continuationSeparator" w:id="0">
    <w:p w14:paraId="201710E3" w14:textId="77777777" w:rsidR="001F3C23" w:rsidRDefault="001F3C23" w:rsidP="0006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1618" w14:textId="77777777" w:rsidR="001F3C23" w:rsidRDefault="001F3C23" w:rsidP="0006650F">
      <w:pPr>
        <w:spacing w:after="0" w:line="240" w:lineRule="auto"/>
      </w:pPr>
      <w:r>
        <w:separator/>
      </w:r>
    </w:p>
  </w:footnote>
  <w:footnote w:type="continuationSeparator" w:id="0">
    <w:p w14:paraId="3DD02ECA" w14:textId="77777777" w:rsidR="001F3C23" w:rsidRDefault="001F3C23" w:rsidP="0006650F">
      <w:pPr>
        <w:spacing w:after="0" w:line="240" w:lineRule="auto"/>
      </w:pPr>
      <w:r>
        <w:continuationSeparator/>
      </w:r>
    </w:p>
  </w:footnote>
  <w:footnote w:id="1">
    <w:p w14:paraId="6C8A9251" w14:textId="77777777" w:rsidR="008F46F6" w:rsidRPr="00124A7A" w:rsidRDefault="008F46F6" w:rsidP="008F46F6">
      <w:pPr>
        <w:autoSpaceDE w:val="0"/>
        <w:autoSpaceDN w:val="0"/>
        <w:adjustRightInd w:val="0"/>
        <w:spacing w:after="0" w:line="240" w:lineRule="auto"/>
        <w:jc w:val="both"/>
        <w:rPr>
          <w:rFonts w:ascii="Times New Roman" w:hAnsi="Times New Roman" w:cs="Times New Roman"/>
          <w:sz w:val="16"/>
          <w:szCs w:val="16"/>
        </w:rPr>
      </w:pPr>
      <w:r w:rsidRPr="00124A7A">
        <w:rPr>
          <w:rStyle w:val="Puslapioinaosnuoroda"/>
          <w:rFonts w:ascii="Times New Roman" w:hAnsi="Times New Roman" w:cs="Times New Roman"/>
          <w:sz w:val="16"/>
          <w:szCs w:val="16"/>
        </w:rPr>
        <w:footnoteRef/>
      </w:r>
      <w:r w:rsidRPr="00124A7A">
        <w:rPr>
          <w:rFonts w:ascii="Times New Roman" w:hAnsi="Times New Roman" w:cs="Times New Roman"/>
          <w:sz w:val="16"/>
          <w:szCs w:val="16"/>
        </w:rPr>
        <w:t xml:space="preserve"> </w:t>
      </w:r>
      <w:r w:rsidRPr="00115630">
        <w:rPr>
          <w:rFonts w:ascii="Times New Roman" w:hAnsi="Times New Roman" w:cs="Times New Roman"/>
          <w:b/>
          <w:bCs/>
          <w:sz w:val="16"/>
          <w:szCs w:val="16"/>
        </w:rPr>
        <w:t>Pretenzija</w:t>
      </w:r>
      <w:r w:rsidRPr="00115630">
        <w:rPr>
          <w:rFonts w:ascii="Times New Roman" w:hAnsi="Times New Roman" w:cs="Times New Roman"/>
          <w:sz w:val="16"/>
          <w:szCs w:val="16"/>
        </w:rPr>
        <w:t xml:space="preserve"> – reiškiamoji teisė dėl neatitikties, įforminta raštu (</w:t>
      </w:r>
      <w:r>
        <w:rPr>
          <w:rFonts w:ascii="Times New Roman" w:hAnsi="Times New Roman" w:cs="Times New Roman"/>
          <w:sz w:val="16"/>
          <w:szCs w:val="16"/>
        </w:rPr>
        <w:t>t</w:t>
      </w:r>
      <w:r w:rsidRPr="00115630">
        <w:rPr>
          <w:rFonts w:ascii="Times New Roman" w:hAnsi="Times New Roman" w:cs="Times New Roman"/>
          <w:sz w:val="16"/>
          <w:szCs w:val="16"/>
        </w:rPr>
        <w:t>ai apima neatitiktis įformintas per ataskaitas, neatitikties aktus, el. paštus ir</w:t>
      </w:r>
      <w:r>
        <w:rPr>
          <w:rFonts w:ascii="Times New Roman" w:hAnsi="Times New Roman" w:cs="Times New Roman"/>
          <w:sz w:val="16"/>
          <w:szCs w:val="16"/>
        </w:rPr>
        <w:t xml:space="preserve"> (</w:t>
      </w:r>
      <w:r w:rsidRPr="00115630">
        <w:rPr>
          <w:rFonts w:ascii="Times New Roman" w:hAnsi="Times New Roman" w:cs="Times New Roman"/>
          <w:sz w:val="16"/>
          <w:szCs w:val="16"/>
        </w:rPr>
        <w:t>ar</w:t>
      </w:r>
      <w:r>
        <w:rPr>
          <w:rFonts w:ascii="Times New Roman" w:hAnsi="Times New Roman" w:cs="Times New Roman"/>
          <w:sz w:val="16"/>
          <w:szCs w:val="16"/>
        </w:rPr>
        <w:t>)</w:t>
      </w:r>
      <w:r w:rsidRPr="00115630">
        <w:rPr>
          <w:rFonts w:ascii="Times New Roman" w:hAnsi="Times New Roman" w:cs="Times New Roman"/>
          <w:sz w:val="16"/>
          <w:szCs w:val="16"/>
        </w:rPr>
        <w:t xml:space="preserve"> kitas IT priemones ir</w:t>
      </w:r>
      <w:r>
        <w:rPr>
          <w:rFonts w:ascii="Times New Roman" w:hAnsi="Times New Roman" w:cs="Times New Roman"/>
          <w:sz w:val="16"/>
          <w:szCs w:val="16"/>
        </w:rPr>
        <w:t xml:space="preserve"> (</w:t>
      </w:r>
      <w:r w:rsidRPr="00115630">
        <w:rPr>
          <w:rFonts w:ascii="Times New Roman" w:hAnsi="Times New Roman" w:cs="Times New Roman"/>
          <w:sz w:val="16"/>
          <w:szCs w:val="16"/>
        </w:rPr>
        <w:t>ar</w:t>
      </w:r>
      <w:r>
        <w:rPr>
          <w:rFonts w:ascii="Times New Roman" w:hAnsi="Times New Roman" w:cs="Times New Roman"/>
          <w:sz w:val="16"/>
          <w:szCs w:val="16"/>
        </w:rPr>
        <w:t>)</w:t>
      </w:r>
      <w:r w:rsidRPr="00115630">
        <w:rPr>
          <w:rFonts w:ascii="Times New Roman" w:hAnsi="Times New Roman" w:cs="Times New Roman"/>
          <w:sz w:val="16"/>
          <w:szCs w:val="16"/>
        </w:rPr>
        <w:t xml:space="preserve"> raštus, kuriuose yra įforminta pretenzija), kuriuo reiškiama toji teisė, kai paslaugos suteiktos ne pagal Standartą, techninę specifikaciją ir kituose pirkimo dokumentuose bei Sutartyje nurodytus reikalavimus.</w:t>
      </w:r>
    </w:p>
  </w:footnote>
  <w:footnote w:id="2">
    <w:p w14:paraId="1B1C1EB8" w14:textId="77777777" w:rsidR="008F46F6" w:rsidRPr="00124A7A" w:rsidRDefault="008F46F6" w:rsidP="008F46F6">
      <w:pPr>
        <w:pStyle w:val="Sraopastraipa"/>
        <w:tabs>
          <w:tab w:val="left" w:pos="567"/>
          <w:tab w:val="left" w:pos="851"/>
        </w:tabs>
        <w:spacing w:after="0" w:line="240" w:lineRule="auto"/>
        <w:ind w:left="0"/>
        <w:contextualSpacing w:val="0"/>
        <w:jc w:val="both"/>
        <w:rPr>
          <w:rFonts w:ascii="Times New Roman" w:hAnsi="Times New Roman" w:cs="Times New Roman"/>
          <w:sz w:val="16"/>
          <w:szCs w:val="16"/>
        </w:rPr>
      </w:pPr>
      <w:r w:rsidRPr="00124A7A">
        <w:rPr>
          <w:rStyle w:val="Puslapioinaosnuoroda"/>
          <w:rFonts w:ascii="Times New Roman" w:hAnsi="Times New Roman" w:cs="Times New Roman"/>
          <w:sz w:val="16"/>
          <w:szCs w:val="16"/>
        </w:rPr>
        <w:footnoteRef/>
      </w:r>
      <w:r w:rsidRPr="00124A7A">
        <w:rPr>
          <w:rFonts w:ascii="Times New Roman" w:hAnsi="Times New Roman" w:cs="Times New Roman"/>
          <w:sz w:val="16"/>
          <w:szCs w:val="16"/>
        </w:rPr>
        <w:t xml:space="preserve"> </w:t>
      </w:r>
      <w:r w:rsidRPr="00124A7A">
        <w:rPr>
          <w:rFonts w:ascii="Times New Roman" w:hAnsi="Times New Roman" w:cs="Times New Roman"/>
          <w:sz w:val="16"/>
          <w:szCs w:val="16"/>
        </w:rPr>
        <w:t>PO turi teisę sumažinti (pavyzdžiui, dėl slidžių dangų) arba pratęsti pretenzijos pašalinimo laiką (pavyzdžiui, jeigu per 1 val. t</w:t>
      </w:r>
      <w:r>
        <w:rPr>
          <w:rFonts w:ascii="Times New Roman" w:hAnsi="Times New Roman" w:cs="Times New Roman"/>
          <w:sz w:val="16"/>
          <w:szCs w:val="16"/>
        </w:rPr>
        <w:t>ie</w:t>
      </w:r>
      <w:r w:rsidRPr="00124A7A">
        <w:rPr>
          <w:rFonts w:ascii="Times New Roman" w:hAnsi="Times New Roman" w:cs="Times New Roman"/>
          <w:sz w:val="16"/>
          <w:szCs w:val="16"/>
        </w:rPr>
        <w:t xml:space="preserve">kėjui objektyviai neįmanoma pašalinti pretenzijos dėl patalpų </w:t>
      </w:r>
      <w:r>
        <w:rPr>
          <w:rFonts w:ascii="Times New Roman" w:hAnsi="Times New Roman" w:cs="Times New Roman"/>
          <w:sz w:val="16"/>
          <w:szCs w:val="16"/>
        </w:rPr>
        <w:t xml:space="preserve">ar teritorijos </w:t>
      </w:r>
      <w:r w:rsidRPr="00124A7A">
        <w:rPr>
          <w:rFonts w:ascii="Times New Roman" w:hAnsi="Times New Roman" w:cs="Times New Roman"/>
          <w:sz w:val="16"/>
          <w:szCs w:val="16"/>
        </w:rPr>
        <w:t>apkrautumo ar intensyvaus lankytojų srauto ir t. t.) priklausomai nuo pretenzijos tipo. Pretenzijos ištaisymo laikotarpį galima pratęsti, kai tai PO patvirtina raštu ir tik tuo atveju, jeigu pretenzijoje pateiktas neatitikimas reikalavimams nėra susijęs su saugia darbo aplinka ir nekelia rizikos aplinkai ir žmonių sveikatai.</w:t>
      </w:r>
    </w:p>
  </w:footnote>
  <w:footnote w:id="3">
    <w:p w14:paraId="20D344E6" w14:textId="6BB078D6" w:rsidR="008F46F6" w:rsidRPr="00124A7A" w:rsidRDefault="008F46F6" w:rsidP="008F46F6">
      <w:pPr>
        <w:pStyle w:val="Puslapioinaostekstas"/>
        <w:jc w:val="both"/>
        <w:rPr>
          <w:rFonts w:ascii="Times New Roman" w:hAnsi="Times New Roman" w:cs="Times New Roman"/>
          <w:sz w:val="16"/>
          <w:szCs w:val="16"/>
        </w:rPr>
      </w:pPr>
      <w:r w:rsidRPr="00124A7A">
        <w:rPr>
          <w:rStyle w:val="Puslapioinaosnuoroda"/>
          <w:rFonts w:ascii="Times New Roman" w:hAnsi="Times New Roman" w:cs="Times New Roman"/>
          <w:sz w:val="16"/>
          <w:szCs w:val="16"/>
        </w:rPr>
        <w:footnoteRef/>
      </w:r>
      <w:r w:rsidRPr="00124A7A">
        <w:rPr>
          <w:rFonts w:ascii="Times New Roman" w:hAnsi="Times New Roman" w:cs="Times New Roman"/>
          <w:sz w:val="16"/>
          <w:szCs w:val="16"/>
        </w:rPr>
        <w:t xml:space="preserve"> </w:t>
      </w:r>
      <w:r w:rsidRPr="00124A7A">
        <w:rPr>
          <w:rFonts w:ascii="Times New Roman" w:eastAsia="Times New Roman" w:hAnsi="Times New Roman" w:cs="Times New Roman"/>
          <w:color w:val="000000"/>
          <w:sz w:val="16"/>
          <w:szCs w:val="16"/>
          <w:lang w:eastAsia="lt-LT"/>
        </w:rPr>
        <w:t>Jeigu t</w:t>
      </w:r>
      <w:r>
        <w:rPr>
          <w:rFonts w:ascii="Times New Roman" w:eastAsia="Times New Roman" w:hAnsi="Times New Roman" w:cs="Times New Roman"/>
          <w:color w:val="000000"/>
          <w:sz w:val="16"/>
          <w:szCs w:val="16"/>
          <w:lang w:eastAsia="lt-LT"/>
        </w:rPr>
        <w:t>ie</w:t>
      </w:r>
      <w:r w:rsidRPr="00124A7A">
        <w:rPr>
          <w:rFonts w:ascii="Times New Roman" w:eastAsia="Times New Roman" w:hAnsi="Times New Roman" w:cs="Times New Roman"/>
          <w:color w:val="000000"/>
          <w:sz w:val="16"/>
          <w:szCs w:val="16"/>
          <w:lang w:eastAsia="lt-LT"/>
        </w:rPr>
        <w:t xml:space="preserve">kėjas gauna daugiau nei </w:t>
      </w:r>
      <w:r>
        <w:rPr>
          <w:rFonts w:ascii="Times New Roman" w:eastAsia="Times New Roman" w:hAnsi="Times New Roman" w:cs="Times New Roman"/>
          <w:color w:val="000000"/>
          <w:sz w:val="16"/>
          <w:szCs w:val="16"/>
          <w:lang w:eastAsia="lt-LT"/>
        </w:rPr>
        <w:t>3</w:t>
      </w:r>
      <w:r w:rsidRPr="00124A7A">
        <w:rPr>
          <w:rFonts w:ascii="Times New Roman" w:eastAsia="Times New Roman" w:hAnsi="Times New Roman" w:cs="Times New Roman"/>
          <w:color w:val="000000"/>
          <w:sz w:val="16"/>
          <w:szCs w:val="16"/>
          <w:lang w:eastAsia="lt-LT"/>
        </w:rPr>
        <w:t xml:space="preserve"> pretenzijas </w:t>
      </w:r>
      <w:r>
        <w:rPr>
          <w:rFonts w:ascii="Times New Roman" w:eastAsia="Times New Roman" w:hAnsi="Times New Roman" w:cs="Times New Roman"/>
          <w:color w:val="000000"/>
          <w:sz w:val="16"/>
          <w:szCs w:val="16"/>
          <w:lang w:eastAsia="lt-LT"/>
        </w:rPr>
        <w:t>per</w:t>
      </w:r>
      <w:r w:rsidRPr="00124A7A">
        <w:rPr>
          <w:rFonts w:ascii="Times New Roman" w:eastAsia="Times New Roman" w:hAnsi="Times New Roman" w:cs="Times New Roman"/>
          <w:color w:val="000000"/>
          <w:sz w:val="16"/>
          <w:szCs w:val="16"/>
          <w:lang w:eastAsia="lt-LT"/>
        </w:rPr>
        <w:t xml:space="preserve"> ataskaitinį mėnesį, tokiu atveju už tokią kiekvieną (viršijančią </w:t>
      </w:r>
      <w:r>
        <w:rPr>
          <w:rFonts w:ascii="Times New Roman" w:eastAsia="Times New Roman" w:hAnsi="Times New Roman" w:cs="Times New Roman"/>
          <w:color w:val="000000"/>
          <w:sz w:val="16"/>
          <w:szCs w:val="16"/>
          <w:lang w:eastAsia="lt-LT"/>
        </w:rPr>
        <w:t>nurodytą</w:t>
      </w:r>
      <w:r w:rsidRPr="00124A7A">
        <w:rPr>
          <w:rFonts w:ascii="Times New Roman" w:eastAsia="Times New Roman" w:hAnsi="Times New Roman" w:cs="Times New Roman"/>
          <w:color w:val="000000"/>
          <w:sz w:val="16"/>
          <w:szCs w:val="16"/>
          <w:lang w:eastAsia="lt-LT"/>
        </w:rPr>
        <w:t xml:space="preserve"> </w:t>
      </w:r>
      <w:r>
        <w:rPr>
          <w:rFonts w:ascii="Times New Roman" w:eastAsia="Times New Roman" w:hAnsi="Times New Roman" w:cs="Times New Roman"/>
          <w:color w:val="000000"/>
          <w:sz w:val="16"/>
          <w:szCs w:val="16"/>
          <w:lang w:eastAsia="lt-LT"/>
        </w:rPr>
        <w:t xml:space="preserve">leistiną </w:t>
      </w:r>
      <w:r w:rsidRPr="00124A7A">
        <w:rPr>
          <w:rFonts w:ascii="Times New Roman" w:eastAsia="Times New Roman" w:hAnsi="Times New Roman" w:cs="Times New Roman"/>
          <w:color w:val="000000"/>
          <w:sz w:val="16"/>
          <w:szCs w:val="16"/>
          <w:lang w:eastAsia="lt-LT"/>
        </w:rPr>
        <w:t>pretenzij</w:t>
      </w:r>
      <w:r>
        <w:rPr>
          <w:rFonts w:ascii="Times New Roman" w:eastAsia="Times New Roman" w:hAnsi="Times New Roman" w:cs="Times New Roman"/>
          <w:color w:val="000000"/>
          <w:sz w:val="16"/>
          <w:szCs w:val="16"/>
          <w:lang w:eastAsia="lt-LT"/>
        </w:rPr>
        <w:t>ų skaičių</w:t>
      </w:r>
      <w:r w:rsidRPr="00124A7A">
        <w:rPr>
          <w:rFonts w:ascii="Times New Roman" w:eastAsia="Times New Roman" w:hAnsi="Times New Roman" w:cs="Times New Roman"/>
          <w:color w:val="000000"/>
          <w:sz w:val="16"/>
          <w:szCs w:val="16"/>
          <w:lang w:eastAsia="lt-LT"/>
        </w:rPr>
        <w:t>)</w:t>
      </w:r>
      <w:r>
        <w:rPr>
          <w:rFonts w:ascii="Times New Roman" w:eastAsia="Times New Roman" w:hAnsi="Times New Roman" w:cs="Times New Roman"/>
          <w:color w:val="000000"/>
          <w:sz w:val="16"/>
          <w:szCs w:val="16"/>
          <w:lang w:eastAsia="lt-LT"/>
        </w:rPr>
        <w:t xml:space="preserve"> </w:t>
      </w:r>
      <w:r w:rsidRPr="00124A7A">
        <w:rPr>
          <w:rFonts w:ascii="Times New Roman" w:eastAsia="Times New Roman" w:hAnsi="Times New Roman" w:cs="Times New Roman"/>
          <w:color w:val="000000"/>
          <w:sz w:val="16"/>
          <w:szCs w:val="16"/>
          <w:lang w:eastAsia="lt-LT"/>
        </w:rPr>
        <w:t xml:space="preserve">papildomą pretenziją PO turi teisę taikyti </w:t>
      </w:r>
      <w:r>
        <w:rPr>
          <w:rFonts w:ascii="Times New Roman" w:eastAsia="Times New Roman" w:hAnsi="Times New Roman" w:cs="Times New Roman"/>
          <w:color w:val="000000"/>
          <w:sz w:val="16"/>
          <w:szCs w:val="16"/>
          <w:lang w:eastAsia="lt-LT"/>
        </w:rPr>
        <w:t xml:space="preserve">Sutartyje </w:t>
      </w:r>
      <w:r w:rsidRPr="00124A7A">
        <w:rPr>
          <w:rFonts w:ascii="Times New Roman" w:eastAsia="Times New Roman" w:hAnsi="Times New Roman" w:cs="Times New Roman"/>
          <w:color w:val="000000"/>
          <w:sz w:val="16"/>
          <w:szCs w:val="16"/>
          <w:lang w:eastAsia="lt-LT"/>
        </w:rPr>
        <w:t>numatytas</w:t>
      </w:r>
      <w:r w:rsidR="00B54AB0">
        <w:rPr>
          <w:rFonts w:ascii="Times New Roman" w:eastAsia="Times New Roman" w:hAnsi="Times New Roman" w:cs="Times New Roman"/>
          <w:color w:val="000000"/>
          <w:sz w:val="16"/>
          <w:szCs w:val="16"/>
          <w:lang w:eastAsia="lt-LT"/>
        </w:rPr>
        <w:t xml:space="preserve"> Tiekėjo</w:t>
      </w:r>
      <w:r w:rsidRPr="00124A7A">
        <w:rPr>
          <w:rFonts w:ascii="Times New Roman" w:eastAsia="Times New Roman" w:hAnsi="Times New Roman" w:cs="Times New Roman"/>
          <w:color w:val="000000"/>
          <w:sz w:val="16"/>
          <w:szCs w:val="16"/>
          <w:lang w:eastAsia="lt-LT"/>
        </w:rPr>
        <w:t xml:space="preserve"> prievolių užtikrinimo priemones</w:t>
      </w:r>
      <w:r>
        <w:rPr>
          <w:rFonts w:ascii="Times New Roman" w:eastAsia="Times New Roman" w:hAnsi="Times New Roman" w:cs="Times New Roman"/>
          <w:color w:val="000000"/>
          <w:sz w:val="16"/>
          <w:szCs w:val="16"/>
          <w:lang w:eastAsia="lt-LT"/>
        </w:rPr>
        <w:t xml:space="preserve"> (t. y. baudas, nuobaudas, nuoskaitas ir t. t.)</w:t>
      </w:r>
    </w:p>
  </w:footnote>
  <w:footnote w:id="4">
    <w:p w14:paraId="6406ED0A" w14:textId="77777777" w:rsidR="008F46F6" w:rsidRPr="00124A7A" w:rsidRDefault="008F46F6" w:rsidP="008F46F6">
      <w:pPr>
        <w:pStyle w:val="Sraopastraipa"/>
        <w:tabs>
          <w:tab w:val="left" w:pos="567"/>
          <w:tab w:val="left" w:pos="851"/>
        </w:tabs>
        <w:spacing w:after="0" w:line="240" w:lineRule="auto"/>
        <w:ind w:left="0"/>
        <w:contextualSpacing w:val="0"/>
        <w:jc w:val="both"/>
        <w:rPr>
          <w:rFonts w:ascii="Times New Roman" w:hAnsi="Times New Roman" w:cs="Times New Roman"/>
          <w:sz w:val="16"/>
          <w:szCs w:val="16"/>
        </w:rPr>
      </w:pPr>
      <w:r w:rsidRPr="00124A7A">
        <w:rPr>
          <w:rStyle w:val="Puslapioinaosnuoroda"/>
          <w:rFonts w:ascii="Times New Roman" w:hAnsi="Times New Roman" w:cs="Times New Roman"/>
          <w:sz w:val="16"/>
          <w:szCs w:val="16"/>
        </w:rPr>
        <w:footnoteRef/>
      </w:r>
      <w:r w:rsidRPr="00124A7A">
        <w:rPr>
          <w:rFonts w:ascii="Times New Roman" w:hAnsi="Times New Roman" w:cs="Times New Roman"/>
          <w:sz w:val="16"/>
          <w:szCs w:val="16"/>
        </w:rPr>
        <w:t xml:space="preserve"> </w:t>
      </w:r>
      <w:r w:rsidRPr="00124A7A">
        <w:rPr>
          <w:rFonts w:ascii="Times New Roman" w:hAnsi="Times New Roman" w:cs="Times New Roman"/>
          <w:sz w:val="16"/>
          <w:szCs w:val="16"/>
        </w:rPr>
        <w:t xml:space="preserve">Išskyrus pavienius atvejus (pavienis atvejis – nesikartojantis atvejis), kai </w:t>
      </w:r>
      <w:r>
        <w:rPr>
          <w:rFonts w:ascii="Times New Roman" w:hAnsi="Times New Roman" w:cs="Times New Roman"/>
          <w:sz w:val="16"/>
          <w:szCs w:val="16"/>
        </w:rPr>
        <w:t>tie</w:t>
      </w:r>
      <w:r w:rsidRPr="00124A7A">
        <w:rPr>
          <w:rFonts w:ascii="Times New Roman" w:hAnsi="Times New Roman" w:cs="Times New Roman"/>
          <w:sz w:val="16"/>
          <w:szCs w:val="16"/>
        </w:rPr>
        <w:t xml:space="preserve">kėjas dėl objektyvių priežasčių negali įgyvendinti </w:t>
      </w:r>
      <w:r>
        <w:rPr>
          <w:rFonts w:ascii="Times New Roman" w:hAnsi="Times New Roman" w:cs="Times New Roman"/>
          <w:sz w:val="16"/>
          <w:szCs w:val="16"/>
        </w:rPr>
        <w:t>PO</w:t>
      </w:r>
      <w:r w:rsidRPr="00124A7A">
        <w:rPr>
          <w:rFonts w:ascii="Times New Roman" w:hAnsi="Times New Roman" w:cs="Times New Roman"/>
          <w:sz w:val="16"/>
          <w:szCs w:val="16"/>
        </w:rPr>
        <w:t xml:space="preserve"> reikalavimų dėl </w:t>
      </w:r>
      <w:r>
        <w:rPr>
          <w:rFonts w:ascii="Times New Roman" w:hAnsi="Times New Roman" w:cs="Times New Roman"/>
          <w:sz w:val="16"/>
          <w:szCs w:val="16"/>
        </w:rPr>
        <w:t>PO</w:t>
      </w:r>
      <w:r w:rsidRPr="00124A7A">
        <w:rPr>
          <w:rFonts w:ascii="Times New Roman" w:hAnsi="Times New Roman" w:cs="Times New Roman"/>
          <w:sz w:val="16"/>
          <w:szCs w:val="16"/>
        </w:rPr>
        <w:t xml:space="preserve"> kaltės. T</w:t>
      </w:r>
      <w:r>
        <w:rPr>
          <w:rFonts w:ascii="Times New Roman" w:hAnsi="Times New Roman" w:cs="Times New Roman"/>
          <w:sz w:val="16"/>
          <w:szCs w:val="16"/>
        </w:rPr>
        <w:t>ie</w:t>
      </w:r>
      <w:r w:rsidRPr="00124A7A">
        <w:rPr>
          <w:rFonts w:ascii="Times New Roman" w:hAnsi="Times New Roman" w:cs="Times New Roman"/>
          <w:sz w:val="16"/>
          <w:szCs w:val="16"/>
        </w:rPr>
        <w:t>kėjo darbuotojų trūkumas ir (ar) sirgimas</w:t>
      </w:r>
      <w:r>
        <w:rPr>
          <w:rFonts w:ascii="Times New Roman" w:hAnsi="Times New Roman" w:cs="Times New Roman"/>
          <w:sz w:val="16"/>
          <w:szCs w:val="16"/>
        </w:rPr>
        <w:t>,</w:t>
      </w:r>
      <w:r w:rsidRPr="00124A7A">
        <w:rPr>
          <w:rFonts w:ascii="Times New Roman" w:hAnsi="Times New Roman" w:cs="Times New Roman"/>
          <w:sz w:val="16"/>
          <w:szCs w:val="16"/>
        </w:rPr>
        <w:t xml:space="preserve"> ir (ar) neatvykimas į darbą nėra laikomas objektyvia priežastimi.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F4A6" w14:textId="78FD81B0" w:rsidR="0006650F" w:rsidRPr="00594C95" w:rsidRDefault="008F46F6" w:rsidP="0006650F">
    <w:pPr>
      <w:pStyle w:val="Antrats"/>
      <w:jc w:val="right"/>
      <w:rPr>
        <w:rFonts w:ascii="Times New Roman" w:hAnsi="Times New Roman" w:cs="Times New Roman"/>
        <w:sz w:val="16"/>
        <w:szCs w:val="16"/>
      </w:rPr>
    </w:pPr>
    <w:r>
      <w:rPr>
        <w:rFonts w:ascii="Times New Roman" w:hAnsi="Times New Roman" w:cs="Times New Roman"/>
        <w:sz w:val="16"/>
        <w:szCs w:val="16"/>
      </w:rPr>
      <w:t>TS 4</w:t>
    </w:r>
    <w:r w:rsidR="00527023" w:rsidRPr="00594C95">
      <w:rPr>
        <w:rFonts w:ascii="Times New Roman" w:hAnsi="Times New Roman" w:cs="Times New Roman"/>
        <w:sz w:val="16"/>
        <w:szCs w:val="16"/>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556C"/>
    <w:multiLevelType w:val="hybridMultilevel"/>
    <w:tmpl w:val="C944E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1327524">
    <w:abstractNumId w:val="0"/>
  </w:num>
  <w:num w:numId="2" w16cid:durableId="382219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DE"/>
    <w:rsid w:val="00017771"/>
    <w:rsid w:val="000212ED"/>
    <w:rsid w:val="00050C90"/>
    <w:rsid w:val="00054E71"/>
    <w:rsid w:val="0006650F"/>
    <w:rsid w:val="00085A54"/>
    <w:rsid w:val="00096A80"/>
    <w:rsid w:val="000D5C17"/>
    <w:rsid w:val="00115630"/>
    <w:rsid w:val="00124A7A"/>
    <w:rsid w:val="00132D8A"/>
    <w:rsid w:val="001353A6"/>
    <w:rsid w:val="001646A0"/>
    <w:rsid w:val="001A5BB3"/>
    <w:rsid w:val="001B1C5A"/>
    <w:rsid w:val="001D4A4D"/>
    <w:rsid w:val="001E3CA1"/>
    <w:rsid w:val="001F3C23"/>
    <w:rsid w:val="00226F7E"/>
    <w:rsid w:val="002319A5"/>
    <w:rsid w:val="0023504E"/>
    <w:rsid w:val="00243687"/>
    <w:rsid w:val="002559AC"/>
    <w:rsid w:val="002648BB"/>
    <w:rsid w:val="00267DEF"/>
    <w:rsid w:val="002965AF"/>
    <w:rsid w:val="00317500"/>
    <w:rsid w:val="00321892"/>
    <w:rsid w:val="00374A95"/>
    <w:rsid w:val="00383F65"/>
    <w:rsid w:val="00386A2F"/>
    <w:rsid w:val="003A1010"/>
    <w:rsid w:val="003C6208"/>
    <w:rsid w:val="004148E2"/>
    <w:rsid w:val="00470503"/>
    <w:rsid w:val="004A49DB"/>
    <w:rsid w:val="00502CC2"/>
    <w:rsid w:val="00524624"/>
    <w:rsid w:val="00527023"/>
    <w:rsid w:val="0057730F"/>
    <w:rsid w:val="00594C95"/>
    <w:rsid w:val="005B6ED9"/>
    <w:rsid w:val="005F62D3"/>
    <w:rsid w:val="00600178"/>
    <w:rsid w:val="006160B2"/>
    <w:rsid w:val="00616698"/>
    <w:rsid w:val="00643F33"/>
    <w:rsid w:val="00655D4D"/>
    <w:rsid w:val="006656FE"/>
    <w:rsid w:val="00682F6B"/>
    <w:rsid w:val="006942A2"/>
    <w:rsid w:val="006F04DE"/>
    <w:rsid w:val="006F4D09"/>
    <w:rsid w:val="00763CEB"/>
    <w:rsid w:val="007A704D"/>
    <w:rsid w:val="007B1CA2"/>
    <w:rsid w:val="007E7813"/>
    <w:rsid w:val="007F7E03"/>
    <w:rsid w:val="00843593"/>
    <w:rsid w:val="00851F3E"/>
    <w:rsid w:val="008559ED"/>
    <w:rsid w:val="0087300A"/>
    <w:rsid w:val="00885FBC"/>
    <w:rsid w:val="008955AE"/>
    <w:rsid w:val="008D511B"/>
    <w:rsid w:val="008D7C72"/>
    <w:rsid w:val="008F46F6"/>
    <w:rsid w:val="00912ACF"/>
    <w:rsid w:val="009707F0"/>
    <w:rsid w:val="00976242"/>
    <w:rsid w:val="00A9673C"/>
    <w:rsid w:val="00AD0F62"/>
    <w:rsid w:val="00AD1652"/>
    <w:rsid w:val="00B023EE"/>
    <w:rsid w:val="00B110D5"/>
    <w:rsid w:val="00B54AB0"/>
    <w:rsid w:val="00B57EED"/>
    <w:rsid w:val="00BC2D9E"/>
    <w:rsid w:val="00C07B76"/>
    <w:rsid w:val="00C17C5E"/>
    <w:rsid w:val="00C3294A"/>
    <w:rsid w:val="00C37F91"/>
    <w:rsid w:val="00C65ABF"/>
    <w:rsid w:val="00C80145"/>
    <w:rsid w:val="00C812C7"/>
    <w:rsid w:val="00C82F4E"/>
    <w:rsid w:val="00CD3C70"/>
    <w:rsid w:val="00D05016"/>
    <w:rsid w:val="00D214D1"/>
    <w:rsid w:val="00D34067"/>
    <w:rsid w:val="00D719DD"/>
    <w:rsid w:val="00D762F0"/>
    <w:rsid w:val="00D922D9"/>
    <w:rsid w:val="00DA143D"/>
    <w:rsid w:val="00DD2C35"/>
    <w:rsid w:val="00DE46AC"/>
    <w:rsid w:val="00DE4885"/>
    <w:rsid w:val="00E32088"/>
    <w:rsid w:val="00EA7C6A"/>
    <w:rsid w:val="00F0177B"/>
    <w:rsid w:val="00F33AD5"/>
    <w:rsid w:val="00F63E08"/>
    <w:rsid w:val="00F816C2"/>
    <w:rsid w:val="00FA3093"/>
    <w:rsid w:val="00FB0E32"/>
    <w:rsid w:val="0690D976"/>
    <w:rsid w:val="3547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9835"/>
  <w15:docId w15:val="{B8D0C55C-EE6D-4A05-961F-070D0696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A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5Dark-Accent51">
    <w:name w:val="Grid Table 5 Dark - Accent 51"/>
    <w:basedOn w:val="prastojilentel"/>
    <w:uiPriority w:val="50"/>
    <w:rsid w:val="00CD3C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ntrats">
    <w:name w:val="header"/>
    <w:basedOn w:val="prastasis"/>
    <w:link w:val="AntratsDiagrama"/>
    <w:uiPriority w:val="99"/>
    <w:unhideWhenUsed/>
    <w:rsid w:val="000665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650F"/>
  </w:style>
  <w:style w:type="paragraph" w:styleId="Porat">
    <w:name w:val="footer"/>
    <w:basedOn w:val="prastasis"/>
    <w:link w:val="PoratDiagrama"/>
    <w:uiPriority w:val="99"/>
    <w:unhideWhenUsed/>
    <w:rsid w:val="000665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650F"/>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054E71"/>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054E71"/>
    <w:pPr>
      <w:spacing w:line="256" w:lineRule="auto"/>
      <w:ind w:left="720"/>
      <w:contextualSpacing/>
    </w:pPr>
  </w:style>
  <w:style w:type="table" w:styleId="Lentelstinklelis">
    <w:name w:val="Table Grid"/>
    <w:basedOn w:val="prastojilentel"/>
    <w:rsid w:val="00132D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prastojilentel"/>
    <w:uiPriority w:val="49"/>
    <w:rsid w:val="003C62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ebesliotekstas">
    <w:name w:val="Balloon Text"/>
    <w:basedOn w:val="prastasis"/>
    <w:link w:val="DebesliotekstasDiagrama"/>
    <w:uiPriority w:val="99"/>
    <w:semiHidden/>
    <w:unhideWhenUsed/>
    <w:rsid w:val="003C62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208"/>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2088"/>
    <w:rPr>
      <w:b/>
      <w:bCs/>
    </w:rPr>
  </w:style>
  <w:style w:type="character" w:customStyle="1" w:styleId="KomentarotemaDiagrama">
    <w:name w:val="Komentaro tema Diagrama"/>
    <w:basedOn w:val="KomentarotekstasDiagrama"/>
    <w:link w:val="Komentarotema"/>
    <w:uiPriority w:val="99"/>
    <w:semiHidden/>
    <w:rsid w:val="00E32088"/>
    <w:rPr>
      <w:b/>
      <w:bCs/>
      <w:sz w:val="20"/>
      <w:szCs w:val="20"/>
    </w:rPr>
  </w:style>
  <w:style w:type="table" w:styleId="4tinkleliolentel3parykinimas">
    <w:name w:val="Grid Table 4 Accent 3"/>
    <w:basedOn w:val="prastojilentel"/>
    <w:uiPriority w:val="49"/>
    <w:rsid w:val="00124A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uslapioinaosnuoroda">
    <w:name w:val="footnote reference"/>
    <w:basedOn w:val="Numatytasispastraiposriftas"/>
    <w:uiPriority w:val="99"/>
    <w:semiHidden/>
    <w:unhideWhenUsed/>
    <w:rsid w:val="00124A7A"/>
    <w:rPr>
      <w:vertAlign w:val="superscript"/>
    </w:rPr>
  </w:style>
  <w:style w:type="paragraph" w:styleId="Puslapioinaostekstas">
    <w:name w:val="footnote text"/>
    <w:basedOn w:val="prastasis"/>
    <w:link w:val="PuslapioinaostekstasDiagrama"/>
    <w:uiPriority w:val="99"/>
    <w:unhideWhenUsed/>
    <w:rsid w:val="00124A7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24A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2033">
      <w:bodyDiv w:val="1"/>
      <w:marLeft w:val="0"/>
      <w:marRight w:val="0"/>
      <w:marTop w:val="0"/>
      <w:marBottom w:val="0"/>
      <w:divBdr>
        <w:top w:val="none" w:sz="0" w:space="0" w:color="auto"/>
        <w:left w:val="none" w:sz="0" w:space="0" w:color="auto"/>
        <w:bottom w:val="none" w:sz="0" w:space="0" w:color="auto"/>
        <w:right w:val="none" w:sz="0" w:space="0" w:color="auto"/>
      </w:divBdr>
    </w:div>
    <w:div w:id="851603829">
      <w:bodyDiv w:val="1"/>
      <w:marLeft w:val="0"/>
      <w:marRight w:val="0"/>
      <w:marTop w:val="0"/>
      <w:marBottom w:val="0"/>
      <w:divBdr>
        <w:top w:val="none" w:sz="0" w:space="0" w:color="auto"/>
        <w:left w:val="none" w:sz="0" w:space="0" w:color="auto"/>
        <w:bottom w:val="none" w:sz="0" w:space="0" w:color="auto"/>
        <w:right w:val="none" w:sz="0" w:space="0" w:color="auto"/>
      </w:divBdr>
    </w:div>
    <w:div w:id="1146971418">
      <w:bodyDiv w:val="1"/>
      <w:marLeft w:val="0"/>
      <w:marRight w:val="0"/>
      <w:marTop w:val="0"/>
      <w:marBottom w:val="0"/>
      <w:divBdr>
        <w:top w:val="none" w:sz="0" w:space="0" w:color="auto"/>
        <w:left w:val="none" w:sz="0" w:space="0" w:color="auto"/>
        <w:bottom w:val="none" w:sz="0" w:space="0" w:color="auto"/>
        <w:right w:val="none" w:sz="0" w:space="0" w:color="auto"/>
      </w:divBdr>
    </w:div>
    <w:div w:id="18117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F0491185B60C4D82710B527B31AD74" ma:contentTypeVersion="2" ma:contentTypeDescription="Kurkite naują dokumentą." ma:contentTypeScope="" ma:versionID="7e074f49095d344238b4c1f7f0858216">
  <xsd:schema xmlns:xsd="http://www.w3.org/2001/XMLSchema" xmlns:xs="http://www.w3.org/2001/XMLSchema" xmlns:p="http://schemas.microsoft.com/office/2006/metadata/properties" xmlns:ns2="9eae48a1-3163-46e1-be5f-7e8720e29cd7" targetNamespace="http://schemas.microsoft.com/office/2006/metadata/properties" ma:root="true" ma:fieldsID="9c30a62c248d0322c77e066902e80a92" ns2:_="">
    <xsd:import namespace="9eae48a1-3163-46e1-be5f-7e8720e29c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e48a1-3163-46e1-be5f-7e8720e29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B06CA-5B72-41AF-8299-FC5D903579E1}">
  <ds:schemaRefs>
    <ds:schemaRef ds:uri="http://schemas.microsoft.com/sharepoint/v3/contenttype/forms"/>
  </ds:schemaRefs>
</ds:datastoreItem>
</file>

<file path=customXml/itemProps2.xml><?xml version="1.0" encoding="utf-8"?>
<ds:datastoreItem xmlns:ds="http://schemas.openxmlformats.org/officeDocument/2006/customXml" ds:itemID="{1F2B63A8-21C2-413E-A900-6D06BBBB3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1BB91-15E7-4E0E-85B7-B1A0B8F9C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e48a1-3163-46e1-be5f-7e8720e29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B87FC-2F76-416E-A850-28F95221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2200</Words>
  <Characters>1255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dc:description/>
  <cp:lastModifiedBy>Gintarė Žilinskienė</cp:lastModifiedBy>
  <cp:revision>7</cp:revision>
  <cp:lastPrinted>2023-06-14T05:49:00Z</cp:lastPrinted>
  <dcterms:created xsi:type="dcterms:W3CDTF">2023-05-19T21:16:00Z</dcterms:created>
  <dcterms:modified xsi:type="dcterms:W3CDTF">2023-06-26T19:27:00Z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0x010100AAF0491185B60C4D82710B527B31AD74</vt:lpwstr>
  </property>
</Properties>
</file>