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009"/>
      </w:tblGrid>
      <w:tr w:rsidR="00F41F59" w:rsidRPr="007F53C3" w14:paraId="2FAF09ED" w14:textId="77777777" w:rsidTr="00D24261">
        <w:tc>
          <w:tcPr>
            <w:tcW w:w="3559" w:type="dxa"/>
          </w:tcPr>
          <w:p w14:paraId="57E2B7B9" w14:textId="77777777" w:rsidR="00F41F59" w:rsidRPr="007F53C3" w:rsidRDefault="00F41F59" w:rsidP="00D24261">
            <w:pPr>
              <w:tabs>
                <w:tab w:val="left" w:pos="6521"/>
              </w:tabs>
              <w:ind w:right="1041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TVIRTINU</w:t>
            </w:r>
          </w:p>
        </w:tc>
      </w:tr>
      <w:tr w:rsidR="00F41F59" w:rsidRPr="007F53C3" w14:paraId="7610A6AE" w14:textId="77777777" w:rsidTr="00D24261">
        <w:tc>
          <w:tcPr>
            <w:tcW w:w="3559" w:type="dxa"/>
          </w:tcPr>
          <w:p w14:paraId="691C9B24" w14:textId="77777777" w:rsidR="00F41F59" w:rsidRPr="007F53C3" w:rsidRDefault="00F41F59" w:rsidP="00D24261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 xml:space="preserve">Klaipėdos rajono savivaldybės </w:t>
            </w:r>
          </w:p>
          <w:p w14:paraId="0978B050" w14:textId="77777777" w:rsidR="00F41F59" w:rsidRPr="007F53C3" w:rsidRDefault="00F41F59" w:rsidP="00E006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administracijos direktori</w:t>
            </w:r>
            <w:r w:rsidR="00E006BF" w:rsidRPr="007F53C3">
              <w:rPr>
                <w:sz w:val="22"/>
                <w:szCs w:val="22"/>
              </w:rPr>
              <w:t>us</w:t>
            </w:r>
          </w:p>
        </w:tc>
      </w:tr>
      <w:tr w:rsidR="00F41F59" w:rsidRPr="007F53C3" w14:paraId="1AEC6643" w14:textId="77777777" w:rsidTr="00D24261">
        <w:tc>
          <w:tcPr>
            <w:tcW w:w="3559" w:type="dxa"/>
          </w:tcPr>
          <w:p w14:paraId="77D75532" w14:textId="77777777" w:rsidR="00F41F59" w:rsidRPr="007F53C3" w:rsidRDefault="00F41F59" w:rsidP="00D24261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</w:tr>
      <w:tr w:rsidR="00F41F59" w:rsidRPr="007F53C3" w14:paraId="058C7256" w14:textId="77777777" w:rsidTr="00D24261">
        <w:tc>
          <w:tcPr>
            <w:tcW w:w="3559" w:type="dxa"/>
          </w:tcPr>
          <w:p w14:paraId="2779C522" w14:textId="2A23D982" w:rsidR="00F41F59" w:rsidRPr="007F53C3" w:rsidRDefault="00AC4A5F" w:rsidP="00B637D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F53C3">
              <w:t>20</w:t>
            </w:r>
            <w:r w:rsidR="00403552" w:rsidRPr="007F53C3">
              <w:rPr>
                <w:lang w:val="en-US"/>
              </w:rPr>
              <w:t>2</w:t>
            </w:r>
            <w:r w:rsidR="0080685A" w:rsidRPr="007F53C3">
              <w:rPr>
                <w:lang w:val="en-US"/>
              </w:rPr>
              <w:t>3</w:t>
            </w:r>
            <w:r w:rsidRPr="007F53C3">
              <w:t>-</w:t>
            </w:r>
            <w:r w:rsidR="005A3E67" w:rsidRPr="007F53C3">
              <w:t>____</w:t>
            </w:r>
            <w:r w:rsidRPr="007F53C3">
              <w:t>-____</w:t>
            </w:r>
          </w:p>
        </w:tc>
      </w:tr>
    </w:tbl>
    <w:p w14:paraId="780AFD91" w14:textId="77777777" w:rsidR="002002A3" w:rsidRPr="007F53C3" w:rsidRDefault="002002A3" w:rsidP="006F4F35">
      <w:pPr>
        <w:pStyle w:val="Pagrindinistekstas2"/>
        <w:tabs>
          <w:tab w:val="left" w:pos="0"/>
        </w:tabs>
        <w:rPr>
          <w:rFonts w:ascii="Times New Roman" w:hAnsi="Times New Roman"/>
          <w:b w:val="0"/>
          <w:sz w:val="22"/>
          <w:szCs w:val="22"/>
        </w:rPr>
      </w:pPr>
    </w:p>
    <w:p w14:paraId="58AEA9F2" w14:textId="77777777" w:rsidR="002002A3" w:rsidRPr="007F53C3" w:rsidRDefault="002002A3" w:rsidP="006F4F35">
      <w:pPr>
        <w:pStyle w:val="Pagrindinistekstas2"/>
        <w:tabs>
          <w:tab w:val="left" w:pos="0"/>
        </w:tabs>
        <w:rPr>
          <w:rFonts w:ascii="Times New Roman" w:hAnsi="Times New Roman"/>
          <w:b w:val="0"/>
          <w:sz w:val="22"/>
          <w:szCs w:val="22"/>
        </w:rPr>
      </w:pPr>
    </w:p>
    <w:p w14:paraId="3FBA95EF" w14:textId="77777777" w:rsidR="005E070B" w:rsidRPr="007F53C3" w:rsidRDefault="0051779A" w:rsidP="006F4F35">
      <w:pPr>
        <w:pStyle w:val="Pagrindinistekstas2"/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7F53C3">
        <w:rPr>
          <w:rFonts w:ascii="Times New Roman" w:hAnsi="Times New Roman"/>
          <w:sz w:val="22"/>
          <w:szCs w:val="22"/>
        </w:rPr>
        <w:t xml:space="preserve">techninė </w:t>
      </w:r>
      <w:r w:rsidR="00821E7A" w:rsidRPr="007F53C3">
        <w:rPr>
          <w:rFonts w:ascii="Times New Roman" w:hAnsi="Times New Roman"/>
          <w:sz w:val="22"/>
          <w:szCs w:val="22"/>
        </w:rPr>
        <w:t>specifikacija</w:t>
      </w:r>
    </w:p>
    <w:p w14:paraId="7416D6AD" w14:textId="77777777" w:rsidR="00F41F59" w:rsidRPr="007F53C3" w:rsidRDefault="00F41F59" w:rsidP="006F4F35">
      <w:pPr>
        <w:pStyle w:val="Pagrindinistekstas2"/>
        <w:tabs>
          <w:tab w:val="left" w:pos="0"/>
        </w:tabs>
        <w:rPr>
          <w:rFonts w:ascii="Times New Roman" w:hAnsi="Times New Roman"/>
          <w:b w:val="0"/>
          <w:sz w:val="22"/>
          <w:szCs w:val="22"/>
        </w:rPr>
      </w:pPr>
    </w:p>
    <w:p w14:paraId="2B36976C" w14:textId="3AD24689" w:rsidR="00933260" w:rsidRPr="007F53C3" w:rsidRDefault="00B53BF5" w:rsidP="00793160">
      <w:pPr>
        <w:jc w:val="center"/>
        <w:rPr>
          <w:b/>
          <w:sz w:val="22"/>
          <w:szCs w:val="22"/>
        </w:rPr>
      </w:pPr>
      <w:r w:rsidRPr="007F53C3">
        <w:rPr>
          <w:b/>
          <w:sz w:val="22"/>
          <w:szCs w:val="22"/>
        </w:rPr>
        <w:t>PROJEKTŲ</w:t>
      </w:r>
      <w:r w:rsidR="0080685A" w:rsidRPr="007F53C3">
        <w:rPr>
          <w:b/>
          <w:sz w:val="22"/>
          <w:szCs w:val="22"/>
        </w:rPr>
        <w:t xml:space="preserve"> ĮGYVENDINIMO PLANŲ, PROJEKTŲ</w:t>
      </w:r>
      <w:r w:rsidR="0082760E" w:rsidRPr="007F53C3">
        <w:rPr>
          <w:b/>
          <w:sz w:val="22"/>
          <w:szCs w:val="22"/>
        </w:rPr>
        <w:t xml:space="preserve"> PARAIŠKŲ,</w:t>
      </w:r>
      <w:r w:rsidR="00782E35" w:rsidRPr="007F53C3">
        <w:rPr>
          <w:b/>
          <w:sz w:val="22"/>
          <w:szCs w:val="22"/>
        </w:rPr>
        <w:t xml:space="preserve"> </w:t>
      </w:r>
      <w:r w:rsidR="0082760E" w:rsidRPr="007F53C3">
        <w:rPr>
          <w:b/>
          <w:sz w:val="22"/>
          <w:szCs w:val="22"/>
        </w:rPr>
        <w:t>INVESTICIJŲ PROJEKTŲ</w:t>
      </w:r>
      <w:r w:rsidR="00782E35" w:rsidRPr="007F53C3">
        <w:rPr>
          <w:b/>
          <w:sz w:val="22"/>
          <w:szCs w:val="22"/>
        </w:rPr>
        <w:t xml:space="preserve"> IR SUSIJUSIŲ DOKUMENTŲ</w:t>
      </w:r>
      <w:r w:rsidR="0082760E" w:rsidRPr="007F53C3">
        <w:rPr>
          <w:b/>
          <w:sz w:val="22"/>
          <w:szCs w:val="22"/>
        </w:rPr>
        <w:t xml:space="preserve"> RENGIMO PASLAUGŲ PIRKIMAS</w:t>
      </w:r>
    </w:p>
    <w:p w14:paraId="685BC55A" w14:textId="10C4AF82" w:rsidR="000C1B39" w:rsidRPr="007F53C3" w:rsidRDefault="000C1B39" w:rsidP="00E84035">
      <w:pPr>
        <w:jc w:val="center"/>
        <w:rPr>
          <w:bCs/>
          <w:sz w:val="22"/>
          <w:szCs w:val="22"/>
        </w:rPr>
      </w:pPr>
    </w:p>
    <w:p w14:paraId="648DCC1E" w14:textId="77777777" w:rsidR="00933977" w:rsidRPr="007F53C3" w:rsidRDefault="00933977" w:rsidP="00E84035">
      <w:pPr>
        <w:jc w:val="center"/>
        <w:rPr>
          <w:bCs/>
          <w:sz w:val="22"/>
          <w:szCs w:val="22"/>
        </w:rPr>
      </w:pPr>
    </w:p>
    <w:p w14:paraId="23AEF39A" w14:textId="77777777" w:rsidR="00E84035" w:rsidRPr="007F53C3" w:rsidRDefault="0051779A" w:rsidP="003A5FED">
      <w:pPr>
        <w:jc w:val="center"/>
        <w:rPr>
          <w:bCs/>
          <w:sz w:val="22"/>
          <w:szCs w:val="22"/>
        </w:rPr>
      </w:pPr>
      <w:r w:rsidRPr="007F53C3">
        <w:rPr>
          <w:bCs/>
          <w:sz w:val="22"/>
          <w:szCs w:val="22"/>
        </w:rPr>
        <w:t>1. ĮVADINĖ INFORMACIJA</w:t>
      </w:r>
    </w:p>
    <w:p w14:paraId="09C40FA0" w14:textId="77777777" w:rsidR="007403EA" w:rsidRPr="007F53C3" w:rsidRDefault="007403EA" w:rsidP="003A5FED">
      <w:pPr>
        <w:jc w:val="center"/>
        <w:rPr>
          <w:bCs/>
          <w:sz w:val="22"/>
          <w:szCs w:val="22"/>
        </w:rPr>
      </w:pPr>
    </w:p>
    <w:p w14:paraId="419814D6" w14:textId="77777777" w:rsidR="007408D1" w:rsidRPr="007F53C3" w:rsidRDefault="007408D1" w:rsidP="007408D1">
      <w:pPr>
        <w:tabs>
          <w:tab w:val="left" w:pos="993"/>
        </w:tabs>
        <w:ind w:firstLine="567"/>
        <w:rPr>
          <w:sz w:val="22"/>
          <w:szCs w:val="22"/>
        </w:rPr>
      </w:pPr>
      <w:r w:rsidRPr="007F53C3">
        <w:rPr>
          <w:iCs/>
          <w:sz w:val="22"/>
          <w:szCs w:val="22"/>
        </w:rPr>
        <w:t xml:space="preserve">1.1. </w:t>
      </w:r>
      <w:r w:rsidRPr="007F53C3">
        <w:rPr>
          <w:sz w:val="22"/>
          <w:szCs w:val="22"/>
        </w:rPr>
        <w:t>Paslaugų gavėjas</w:t>
      </w:r>
      <w:r w:rsidRPr="007F53C3">
        <w:rPr>
          <w:iCs/>
          <w:sz w:val="22"/>
          <w:szCs w:val="22"/>
        </w:rPr>
        <w:t xml:space="preserve"> – </w:t>
      </w:r>
      <w:r w:rsidRPr="007F53C3">
        <w:rPr>
          <w:sz w:val="22"/>
          <w:szCs w:val="22"/>
        </w:rPr>
        <w:t xml:space="preserve">Klaipėdos rajono savivaldybės administracija (toliau – Paslaugų gavėjas). </w:t>
      </w:r>
    </w:p>
    <w:p w14:paraId="026439ED" w14:textId="77777777" w:rsidR="00094B7D" w:rsidRPr="007F53C3" w:rsidRDefault="00094B7D" w:rsidP="00094B7D">
      <w:pPr>
        <w:tabs>
          <w:tab w:val="left" w:pos="993"/>
        </w:tabs>
        <w:ind w:firstLine="567"/>
        <w:rPr>
          <w:iCs/>
          <w:sz w:val="22"/>
          <w:szCs w:val="22"/>
        </w:rPr>
      </w:pPr>
      <w:r w:rsidRPr="007F53C3">
        <w:rPr>
          <w:sz w:val="22"/>
          <w:szCs w:val="22"/>
        </w:rPr>
        <w:t xml:space="preserve">1.2. </w:t>
      </w:r>
      <w:r w:rsidRPr="007F53C3">
        <w:rPr>
          <w:iCs/>
          <w:sz w:val="22"/>
          <w:szCs w:val="22"/>
        </w:rPr>
        <w:t>Organizacijos r</w:t>
      </w:r>
      <w:r w:rsidRPr="007F53C3">
        <w:rPr>
          <w:bCs/>
          <w:iCs/>
          <w:sz w:val="22"/>
          <w:szCs w:val="22"/>
        </w:rPr>
        <w:t xml:space="preserve">ekvizitai: </w:t>
      </w:r>
    </w:p>
    <w:p w14:paraId="5A0EE6F4" w14:textId="77777777" w:rsidR="00094B7D" w:rsidRPr="007F53C3" w:rsidRDefault="00094B7D" w:rsidP="00094B7D">
      <w:pPr>
        <w:tabs>
          <w:tab w:val="num" w:pos="0"/>
          <w:tab w:val="left" w:pos="360"/>
          <w:tab w:val="left" w:pos="993"/>
        </w:tabs>
        <w:ind w:firstLine="567"/>
        <w:jc w:val="both"/>
        <w:rPr>
          <w:sz w:val="22"/>
          <w:szCs w:val="22"/>
        </w:rPr>
      </w:pPr>
      <w:r w:rsidRPr="007F53C3">
        <w:rPr>
          <w:iCs/>
          <w:sz w:val="22"/>
          <w:szCs w:val="22"/>
        </w:rPr>
        <w:t xml:space="preserve">Adresas: </w:t>
      </w:r>
      <w:r w:rsidRPr="007F53C3">
        <w:rPr>
          <w:sz w:val="22"/>
          <w:szCs w:val="22"/>
        </w:rPr>
        <w:t>Klaipėdos g. 2, LT-96130 Gargždai</w:t>
      </w:r>
    </w:p>
    <w:p w14:paraId="08BEFEC8" w14:textId="77777777" w:rsidR="00094B7D" w:rsidRPr="007F53C3" w:rsidRDefault="00094B7D" w:rsidP="00094B7D">
      <w:pPr>
        <w:tabs>
          <w:tab w:val="num" w:pos="0"/>
          <w:tab w:val="left" w:pos="360"/>
          <w:tab w:val="left" w:pos="993"/>
        </w:tabs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t>Subjekto kodas: 188773688</w:t>
      </w:r>
    </w:p>
    <w:p w14:paraId="2240E47F" w14:textId="77777777" w:rsidR="00094B7D" w:rsidRPr="007F53C3" w:rsidRDefault="00094B7D" w:rsidP="00094B7D">
      <w:pPr>
        <w:tabs>
          <w:tab w:val="num" w:pos="0"/>
          <w:tab w:val="left" w:pos="360"/>
          <w:tab w:val="left" w:pos="993"/>
        </w:tabs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t>Telefonas: (8 46</w:t>
      </w:r>
      <w:r w:rsidR="002C140E" w:rsidRPr="007F53C3">
        <w:rPr>
          <w:sz w:val="22"/>
          <w:szCs w:val="22"/>
        </w:rPr>
        <w:t>) 21 11 16</w:t>
      </w:r>
      <w:r w:rsidRPr="007F53C3">
        <w:rPr>
          <w:sz w:val="22"/>
          <w:szCs w:val="22"/>
        </w:rPr>
        <w:t xml:space="preserve">, </w:t>
      </w:r>
      <w:r w:rsidR="002C140E" w:rsidRPr="007F53C3">
        <w:rPr>
          <w:sz w:val="22"/>
          <w:szCs w:val="22"/>
        </w:rPr>
        <w:t>e</w:t>
      </w:r>
      <w:r w:rsidRPr="007F53C3">
        <w:rPr>
          <w:sz w:val="22"/>
          <w:szCs w:val="22"/>
        </w:rPr>
        <w:t xml:space="preserve">l. paštas: </w:t>
      </w:r>
      <w:hyperlink r:id="rId8" w:history="1">
        <w:r w:rsidRPr="007F53C3">
          <w:rPr>
            <w:rStyle w:val="Hipersaitas"/>
            <w:sz w:val="22"/>
            <w:szCs w:val="22"/>
          </w:rPr>
          <w:t>savivaldybe@klaipedos-r.lt</w:t>
        </w:r>
      </w:hyperlink>
      <w:r w:rsidR="002C140E" w:rsidRPr="007F53C3">
        <w:rPr>
          <w:sz w:val="22"/>
          <w:szCs w:val="22"/>
        </w:rPr>
        <w:t>.</w:t>
      </w:r>
    </w:p>
    <w:p w14:paraId="2E8AAB90" w14:textId="2EDC7616" w:rsidR="000C01CB" w:rsidRPr="007F53C3" w:rsidRDefault="000C01CB" w:rsidP="0051779A">
      <w:pPr>
        <w:jc w:val="center"/>
        <w:rPr>
          <w:sz w:val="22"/>
          <w:szCs w:val="22"/>
        </w:rPr>
      </w:pPr>
    </w:p>
    <w:p w14:paraId="5AAB0601" w14:textId="77777777" w:rsidR="00933977" w:rsidRPr="007F53C3" w:rsidRDefault="00933977" w:rsidP="0051779A">
      <w:pPr>
        <w:jc w:val="center"/>
        <w:rPr>
          <w:sz w:val="22"/>
          <w:szCs w:val="22"/>
        </w:rPr>
      </w:pPr>
    </w:p>
    <w:p w14:paraId="18E47B79" w14:textId="77777777" w:rsidR="00E84035" w:rsidRPr="007F53C3" w:rsidRDefault="0051779A" w:rsidP="003A5FED">
      <w:pPr>
        <w:jc w:val="center"/>
        <w:rPr>
          <w:sz w:val="22"/>
          <w:szCs w:val="22"/>
        </w:rPr>
      </w:pPr>
      <w:r w:rsidRPr="007F53C3">
        <w:rPr>
          <w:sz w:val="22"/>
          <w:szCs w:val="22"/>
        </w:rPr>
        <w:t xml:space="preserve">2. </w:t>
      </w:r>
      <w:r w:rsidRPr="007F53C3">
        <w:rPr>
          <w:bCs/>
          <w:sz w:val="22"/>
          <w:szCs w:val="22"/>
        </w:rPr>
        <w:t>PIRKIMO</w:t>
      </w:r>
      <w:r w:rsidRPr="007F53C3">
        <w:rPr>
          <w:sz w:val="22"/>
          <w:szCs w:val="22"/>
        </w:rPr>
        <w:t xml:space="preserve"> TIKSLAS</w:t>
      </w:r>
    </w:p>
    <w:p w14:paraId="1061815D" w14:textId="77777777" w:rsidR="007403EA" w:rsidRPr="007F53C3" w:rsidRDefault="007403EA" w:rsidP="003A5FED">
      <w:pPr>
        <w:jc w:val="center"/>
        <w:rPr>
          <w:sz w:val="22"/>
          <w:szCs w:val="22"/>
        </w:rPr>
      </w:pPr>
    </w:p>
    <w:p w14:paraId="07AC8D4D" w14:textId="23433AD2" w:rsidR="00CE086A" w:rsidRPr="007F53C3" w:rsidRDefault="0051779A" w:rsidP="00A66F68">
      <w:pPr>
        <w:tabs>
          <w:tab w:val="num" w:pos="0"/>
          <w:tab w:val="left" w:pos="360"/>
        </w:tabs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t xml:space="preserve">2.1. </w:t>
      </w:r>
      <w:r w:rsidR="00D65FF3" w:rsidRPr="007F53C3">
        <w:rPr>
          <w:sz w:val="22"/>
          <w:szCs w:val="22"/>
        </w:rPr>
        <w:t xml:space="preserve">Pirkimo objektas: </w:t>
      </w:r>
      <w:r w:rsidRPr="007F53C3">
        <w:rPr>
          <w:sz w:val="22"/>
          <w:szCs w:val="22"/>
        </w:rPr>
        <w:t>Klaipėdos rajono savivaldybė</w:t>
      </w:r>
      <w:r w:rsidR="00A66F68" w:rsidRPr="007F53C3">
        <w:rPr>
          <w:sz w:val="22"/>
          <w:szCs w:val="22"/>
        </w:rPr>
        <w:t>s administracija</w:t>
      </w:r>
      <w:r w:rsidRPr="007F53C3">
        <w:rPr>
          <w:sz w:val="22"/>
          <w:szCs w:val="22"/>
        </w:rPr>
        <w:t xml:space="preserve"> </w:t>
      </w:r>
      <w:r w:rsidR="00A66F68" w:rsidRPr="007F53C3">
        <w:rPr>
          <w:sz w:val="22"/>
          <w:szCs w:val="22"/>
        </w:rPr>
        <w:t xml:space="preserve">(toliau – savivaldybė) </w:t>
      </w:r>
      <w:r w:rsidRPr="007F53C3">
        <w:rPr>
          <w:sz w:val="22"/>
          <w:szCs w:val="22"/>
        </w:rPr>
        <w:t>perka</w:t>
      </w:r>
      <w:r w:rsidR="00CE086A" w:rsidRPr="007F53C3">
        <w:rPr>
          <w:sz w:val="22"/>
          <w:szCs w:val="22"/>
        </w:rPr>
        <w:t xml:space="preserve"> </w:t>
      </w:r>
      <w:r w:rsidR="001B1C30" w:rsidRPr="007F53C3">
        <w:rPr>
          <w:b/>
          <w:sz w:val="22"/>
          <w:szCs w:val="22"/>
        </w:rPr>
        <w:t xml:space="preserve">projektų </w:t>
      </w:r>
      <w:r w:rsidR="0080685A" w:rsidRPr="007F53C3">
        <w:rPr>
          <w:b/>
          <w:sz w:val="22"/>
          <w:szCs w:val="22"/>
        </w:rPr>
        <w:t xml:space="preserve">įgyvendinimo planų, projektų </w:t>
      </w:r>
      <w:r w:rsidR="001B1C30" w:rsidRPr="007F53C3">
        <w:rPr>
          <w:b/>
          <w:sz w:val="22"/>
          <w:szCs w:val="22"/>
        </w:rPr>
        <w:t>paraiškų,</w:t>
      </w:r>
      <w:r w:rsidR="00782E35" w:rsidRPr="007F53C3">
        <w:rPr>
          <w:b/>
          <w:sz w:val="22"/>
          <w:szCs w:val="22"/>
        </w:rPr>
        <w:t xml:space="preserve"> </w:t>
      </w:r>
      <w:r w:rsidR="001B1C30" w:rsidRPr="007F53C3">
        <w:rPr>
          <w:b/>
          <w:sz w:val="22"/>
          <w:szCs w:val="22"/>
        </w:rPr>
        <w:t>investicijų projektų</w:t>
      </w:r>
      <w:r w:rsidR="00782E35" w:rsidRPr="007F53C3">
        <w:rPr>
          <w:b/>
          <w:sz w:val="22"/>
          <w:szCs w:val="22"/>
        </w:rPr>
        <w:t xml:space="preserve"> ir susijusių dokumentų</w:t>
      </w:r>
      <w:r w:rsidR="001B1C30" w:rsidRPr="007F53C3">
        <w:rPr>
          <w:b/>
          <w:sz w:val="22"/>
          <w:szCs w:val="22"/>
        </w:rPr>
        <w:t xml:space="preserve"> Klaipėdos rajono savivaldybės administracijai rengimo paslaugas </w:t>
      </w:r>
      <w:r w:rsidR="00CE086A" w:rsidRPr="007F53C3">
        <w:rPr>
          <w:sz w:val="22"/>
          <w:szCs w:val="22"/>
        </w:rPr>
        <w:t>(toliau – Paslaugos).</w:t>
      </w:r>
    </w:p>
    <w:p w14:paraId="0FBDD90E" w14:textId="77777777" w:rsidR="00AE2857" w:rsidRPr="007F53C3" w:rsidRDefault="00AE2857" w:rsidP="00A66F68">
      <w:pPr>
        <w:tabs>
          <w:tab w:val="num" w:pos="0"/>
          <w:tab w:val="left" w:pos="360"/>
        </w:tabs>
        <w:ind w:firstLine="567"/>
        <w:jc w:val="both"/>
        <w:rPr>
          <w:sz w:val="22"/>
          <w:szCs w:val="22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212"/>
        <w:gridCol w:w="844"/>
        <w:gridCol w:w="1391"/>
        <w:gridCol w:w="1326"/>
        <w:gridCol w:w="1499"/>
      </w:tblGrid>
      <w:tr w:rsidR="0013253C" w:rsidRPr="007F53C3" w14:paraId="68AF0ECC" w14:textId="77777777" w:rsidTr="00AF63AC">
        <w:trPr>
          <w:jc w:val="center"/>
        </w:trPr>
        <w:tc>
          <w:tcPr>
            <w:tcW w:w="7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3C961A" w14:textId="77777777" w:rsidR="00793160" w:rsidRPr="007F53C3" w:rsidRDefault="00793160" w:rsidP="00AF63AC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Eil. Nr.</w:t>
            </w:r>
          </w:p>
        </w:tc>
        <w:tc>
          <w:tcPr>
            <w:tcW w:w="4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5716C6" w14:textId="77777777" w:rsidR="00793160" w:rsidRPr="007F53C3" w:rsidRDefault="00793160" w:rsidP="00AF63AC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Paslaugos aprašymas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116DAC" w14:textId="77777777" w:rsidR="00793160" w:rsidRPr="007F53C3" w:rsidRDefault="00793160" w:rsidP="00AF63AC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Mato vnt.</w:t>
            </w:r>
          </w:p>
        </w:tc>
        <w:tc>
          <w:tcPr>
            <w:tcW w:w="13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A8FFE4" w14:textId="29D1CEAF" w:rsidR="00793160" w:rsidRPr="007F53C3" w:rsidRDefault="00542241" w:rsidP="00AF63AC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 xml:space="preserve">Preliminarūs kiekiai </w:t>
            </w:r>
          </w:p>
        </w:tc>
        <w:tc>
          <w:tcPr>
            <w:tcW w:w="13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6DA9F5" w14:textId="77777777" w:rsidR="00793160" w:rsidRPr="007F53C3" w:rsidRDefault="00793160" w:rsidP="00AF63AC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Vieno vnt. kaina EUR su PVM</w:t>
            </w:r>
          </w:p>
        </w:tc>
        <w:tc>
          <w:tcPr>
            <w:tcW w:w="1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1DC8D9" w14:textId="77777777" w:rsidR="00793160" w:rsidRPr="007F53C3" w:rsidRDefault="00793160" w:rsidP="00AF63AC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Viso kaina su PVM</w:t>
            </w:r>
          </w:p>
        </w:tc>
      </w:tr>
      <w:tr w:rsidR="0013253C" w:rsidRPr="007F53C3" w14:paraId="27F53799" w14:textId="77777777" w:rsidTr="00AF63AC">
        <w:trPr>
          <w:jc w:val="center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ED7A817" w14:textId="77777777" w:rsidR="00793160" w:rsidRPr="007F53C3" w:rsidRDefault="00F67526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2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58371F" w14:textId="42BCD010" w:rsidR="00793160" w:rsidRPr="007F53C3" w:rsidRDefault="004F05A8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b/>
                <w:bCs/>
                <w:sz w:val="22"/>
                <w:szCs w:val="22"/>
              </w:rPr>
              <w:t>Projekto</w:t>
            </w:r>
            <w:r w:rsidR="0080685A" w:rsidRPr="007F53C3">
              <w:rPr>
                <w:b/>
                <w:bCs/>
                <w:sz w:val="22"/>
                <w:szCs w:val="22"/>
              </w:rPr>
              <w:t xml:space="preserve"> įgyvendinimo planas arba</w:t>
            </w:r>
            <w:r w:rsidRPr="007F53C3">
              <w:rPr>
                <w:b/>
                <w:bCs/>
                <w:sz w:val="22"/>
                <w:szCs w:val="22"/>
              </w:rPr>
              <w:t xml:space="preserve"> paraiška</w:t>
            </w:r>
            <w:r w:rsidR="00137DA2" w:rsidRPr="007F53C3">
              <w:rPr>
                <w:b/>
                <w:bCs/>
                <w:sz w:val="22"/>
                <w:szCs w:val="22"/>
              </w:rPr>
              <w:t xml:space="preserve"> (arba lygiavertis dokumentas, kuriuo kreipiamasi dėl finansavimo)</w:t>
            </w:r>
            <w:r w:rsidRPr="007F53C3">
              <w:rPr>
                <w:sz w:val="22"/>
                <w:szCs w:val="22"/>
              </w:rPr>
              <w:t>, kai: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D478604" w14:textId="77777777" w:rsidR="00793160" w:rsidRPr="007F53C3" w:rsidRDefault="00793160" w:rsidP="001F4067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BED148E" w14:textId="77777777" w:rsidR="00793160" w:rsidRPr="007F53C3" w:rsidRDefault="00793160" w:rsidP="00A02618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13A61E8" w14:textId="77777777" w:rsidR="00793160" w:rsidRPr="007F53C3" w:rsidRDefault="00793160" w:rsidP="001F4067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CABE5A" w14:textId="77777777" w:rsidR="00793160" w:rsidRPr="007F53C3" w:rsidRDefault="00793160" w:rsidP="001F4067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13253C" w:rsidRPr="007F53C3" w14:paraId="00EF088F" w14:textId="77777777" w:rsidTr="00F86B5B">
        <w:trPr>
          <w:jc w:val="center"/>
        </w:trPr>
        <w:tc>
          <w:tcPr>
            <w:tcW w:w="711" w:type="dxa"/>
            <w:tcBorders>
              <w:top w:val="single" w:sz="12" w:space="0" w:color="auto"/>
            </w:tcBorders>
            <w:shd w:val="clear" w:color="auto" w:fill="auto"/>
          </w:tcPr>
          <w:p w14:paraId="0562A534" w14:textId="77777777" w:rsidR="0013253C" w:rsidRPr="007F53C3" w:rsidRDefault="0013253C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1.1.</w:t>
            </w:r>
          </w:p>
        </w:tc>
        <w:tc>
          <w:tcPr>
            <w:tcW w:w="4212" w:type="dxa"/>
            <w:tcBorders>
              <w:top w:val="single" w:sz="12" w:space="0" w:color="auto"/>
            </w:tcBorders>
            <w:shd w:val="clear" w:color="auto" w:fill="auto"/>
          </w:tcPr>
          <w:p w14:paraId="34686D58" w14:textId="70F2D7BA" w:rsidR="0013253C" w:rsidRPr="007F53C3" w:rsidRDefault="0013253C" w:rsidP="00AF63AC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projektas finansuojamas Europos Sąjungos struktūrinių fondų lėšomis: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shd w:val="clear" w:color="auto" w:fill="auto"/>
          </w:tcPr>
          <w:p w14:paraId="25379E50" w14:textId="104EBCE0" w:rsidR="0013253C" w:rsidRPr="007F53C3" w:rsidRDefault="00F86B5B" w:rsidP="00F86B5B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vnt.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shd w:val="clear" w:color="auto" w:fill="auto"/>
          </w:tcPr>
          <w:p w14:paraId="61C138A1" w14:textId="76FE093C" w:rsidR="0013253C" w:rsidRPr="007F53C3" w:rsidRDefault="002C1719" w:rsidP="00AF63AC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  <w:lang w:val="en-US"/>
              </w:rPr>
            </w:pPr>
            <w:r w:rsidRPr="007F53C3">
              <w:rPr>
                <w:sz w:val="22"/>
                <w:szCs w:val="22"/>
              </w:rPr>
              <w:t>1</w:t>
            </w:r>
            <w:r w:rsidR="00247180" w:rsidRPr="007F53C3">
              <w:rPr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single" w:sz="12" w:space="0" w:color="auto"/>
            </w:tcBorders>
            <w:shd w:val="clear" w:color="auto" w:fill="auto"/>
          </w:tcPr>
          <w:p w14:paraId="4CA662F6" w14:textId="78802324" w:rsidR="0013253C" w:rsidRPr="007F53C3" w:rsidRDefault="0013253C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  <w:shd w:val="clear" w:color="auto" w:fill="auto"/>
          </w:tcPr>
          <w:p w14:paraId="262F557B" w14:textId="7EE37EB0" w:rsidR="0013253C" w:rsidRPr="007F53C3" w:rsidRDefault="0013253C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F67526" w:rsidRPr="007F53C3" w14:paraId="73F27649" w14:textId="77777777" w:rsidTr="00F86B5B">
        <w:trPr>
          <w:jc w:val="center"/>
        </w:trPr>
        <w:tc>
          <w:tcPr>
            <w:tcW w:w="711" w:type="dxa"/>
            <w:shd w:val="clear" w:color="auto" w:fill="auto"/>
          </w:tcPr>
          <w:p w14:paraId="16A11787" w14:textId="305D9AE1" w:rsidR="00F67526" w:rsidRPr="007F53C3" w:rsidRDefault="0013253C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1.</w:t>
            </w:r>
            <w:r w:rsidR="00542241" w:rsidRPr="007F53C3">
              <w:rPr>
                <w:sz w:val="22"/>
                <w:szCs w:val="22"/>
              </w:rPr>
              <w:t>2</w:t>
            </w:r>
            <w:r w:rsidRPr="007F53C3">
              <w:rPr>
                <w:sz w:val="22"/>
                <w:szCs w:val="22"/>
              </w:rPr>
              <w:t>.</w:t>
            </w:r>
          </w:p>
        </w:tc>
        <w:tc>
          <w:tcPr>
            <w:tcW w:w="4212" w:type="dxa"/>
            <w:shd w:val="clear" w:color="auto" w:fill="auto"/>
          </w:tcPr>
          <w:p w14:paraId="3D10549C" w14:textId="6921FD51" w:rsidR="00F67526" w:rsidRPr="007F53C3" w:rsidRDefault="0013253C" w:rsidP="00AF63AC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p</w:t>
            </w:r>
            <w:r w:rsidR="00F67526" w:rsidRPr="007F53C3">
              <w:rPr>
                <w:sz w:val="22"/>
                <w:szCs w:val="22"/>
              </w:rPr>
              <w:t>rojektas finansuojamas Tarptautinių fondų (pvz., EEE ir Norvegijos finansinio mechanizmo, Lietuvos-Latvijos bendradarbiavimo per sieną programos</w:t>
            </w:r>
            <w:r w:rsidR="00172EB6">
              <w:rPr>
                <w:sz w:val="22"/>
                <w:szCs w:val="22"/>
              </w:rPr>
              <w:t>, Interreg</w:t>
            </w:r>
            <w:r w:rsidR="00F67526" w:rsidRPr="007F53C3">
              <w:rPr>
                <w:sz w:val="22"/>
                <w:szCs w:val="22"/>
              </w:rPr>
              <w:t xml:space="preserve"> ir pan.) lėšomis</w:t>
            </w:r>
            <w:r w:rsidRPr="007F53C3">
              <w:rPr>
                <w:sz w:val="22"/>
                <w:szCs w:val="22"/>
              </w:rPr>
              <w:t>:</w:t>
            </w:r>
          </w:p>
        </w:tc>
        <w:tc>
          <w:tcPr>
            <w:tcW w:w="844" w:type="dxa"/>
            <w:shd w:val="clear" w:color="auto" w:fill="auto"/>
          </w:tcPr>
          <w:p w14:paraId="368AB1D9" w14:textId="0B4771A8" w:rsidR="00F67526" w:rsidRPr="007F53C3" w:rsidRDefault="00F86B5B" w:rsidP="00F86B5B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vnt.</w:t>
            </w:r>
          </w:p>
        </w:tc>
        <w:tc>
          <w:tcPr>
            <w:tcW w:w="1391" w:type="dxa"/>
            <w:shd w:val="clear" w:color="auto" w:fill="auto"/>
          </w:tcPr>
          <w:p w14:paraId="01D5AF1F" w14:textId="7149D85E" w:rsidR="00F67526" w:rsidRPr="007F53C3" w:rsidRDefault="00137DA2" w:rsidP="00AF63AC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5</w:t>
            </w:r>
          </w:p>
        </w:tc>
        <w:tc>
          <w:tcPr>
            <w:tcW w:w="1326" w:type="dxa"/>
            <w:shd w:val="clear" w:color="auto" w:fill="auto"/>
          </w:tcPr>
          <w:p w14:paraId="7DABF134" w14:textId="7C796775" w:rsidR="00F67526" w:rsidRPr="007F53C3" w:rsidRDefault="00F67526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</w:tcPr>
          <w:p w14:paraId="485159E5" w14:textId="66D109FF" w:rsidR="00F67526" w:rsidRPr="007F53C3" w:rsidRDefault="00F67526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797AE9" w:rsidRPr="007F53C3" w14:paraId="36B428E6" w14:textId="77777777" w:rsidTr="00F86B5B">
        <w:trPr>
          <w:jc w:val="center"/>
        </w:trPr>
        <w:tc>
          <w:tcPr>
            <w:tcW w:w="711" w:type="dxa"/>
            <w:shd w:val="clear" w:color="auto" w:fill="auto"/>
          </w:tcPr>
          <w:p w14:paraId="224A0561" w14:textId="0157F226" w:rsidR="00797AE9" w:rsidRPr="007F53C3" w:rsidRDefault="0060080F" w:rsidP="00172EB6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1.</w:t>
            </w:r>
            <w:r w:rsidR="00172EB6">
              <w:rPr>
                <w:sz w:val="22"/>
                <w:szCs w:val="22"/>
              </w:rPr>
              <w:t>3</w:t>
            </w:r>
            <w:r w:rsidRPr="007F53C3">
              <w:rPr>
                <w:sz w:val="22"/>
                <w:szCs w:val="22"/>
              </w:rPr>
              <w:t>.</w:t>
            </w:r>
          </w:p>
        </w:tc>
        <w:tc>
          <w:tcPr>
            <w:tcW w:w="4212" w:type="dxa"/>
            <w:shd w:val="clear" w:color="auto" w:fill="auto"/>
          </w:tcPr>
          <w:p w14:paraId="0CBD0FF8" w14:textId="2C524871" w:rsidR="00797AE9" w:rsidRPr="007F53C3" w:rsidRDefault="00797AE9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projektas finansuojamas Valstybės biudžeto lėšomis, Savivaldybės biudžeto lėšomis ir kitų vietos programų lėšomis</w:t>
            </w:r>
            <w:r w:rsidR="00137DA2" w:rsidRPr="007F53C3">
              <w:rPr>
                <w:sz w:val="22"/>
                <w:szCs w:val="22"/>
              </w:rPr>
              <w:t>:</w:t>
            </w:r>
          </w:p>
        </w:tc>
        <w:tc>
          <w:tcPr>
            <w:tcW w:w="844" w:type="dxa"/>
            <w:shd w:val="clear" w:color="auto" w:fill="auto"/>
          </w:tcPr>
          <w:p w14:paraId="4C1A4A46" w14:textId="37B08E14" w:rsidR="00797AE9" w:rsidRPr="007F53C3" w:rsidRDefault="00F86B5B" w:rsidP="00F86B5B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vnt.</w:t>
            </w:r>
          </w:p>
        </w:tc>
        <w:tc>
          <w:tcPr>
            <w:tcW w:w="1391" w:type="dxa"/>
            <w:shd w:val="clear" w:color="auto" w:fill="auto"/>
          </w:tcPr>
          <w:p w14:paraId="27A04D93" w14:textId="18CA62E5" w:rsidR="00797AE9" w:rsidRPr="007F53C3" w:rsidRDefault="00137DA2" w:rsidP="00AF63AC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5</w:t>
            </w:r>
          </w:p>
        </w:tc>
        <w:tc>
          <w:tcPr>
            <w:tcW w:w="1326" w:type="dxa"/>
            <w:shd w:val="clear" w:color="auto" w:fill="auto"/>
          </w:tcPr>
          <w:p w14:paraId="4BCCDAB1" w14:textId="2F3D0193" w:rsidR="00797AE9" w:rsidRPr="007F53C3" w:rsidRDefault="00797AE9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</w:tcPr>
          <w:p w14:paraId="0CEE8D6C" w14:textId="5882DBF4" w:rsidR="00797AE9" w:rsidRPr="007F53C3" w:rsidRDefault="00797AE9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9917F9" w:rsidRPr="007F53C3" w14:paraId="76C4A257" w14:textId="77777777" w:rsidTr="00AF63AC">
        <w:trPr>
          <w:jc w:val="center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63F66F" w14:textId="77777777" w:rsidR="00793160" w:rsidRPr="007F53C3" w:rsidRDefault="00D66491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2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F1E4CD" w14:textId="7CAD8D3C" w:rsidR="00793160" w:rsidRPr="007F53C3" w:rsidRDefault="00D66491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b/>
                <w:bCs/>
                <w:sz w:val="22"/>
                <w:szCs w:val="22"/>
              </w:rPr>
              <w:t>Investicijų projektas</w:t>
            </w:r>
            <w:r w:rsidR="007C6FA3" w:rsidRPr="007F53C3">
              <w:rPr>
                <w:b/>
                <w:bCs/>
                <w:sz w:val="22"/>
                <w:szCs w:val="22"/>
              </w:rPr>
              <w:t xml:space="preserve"> (su investicijų skaičiuokle)</w:t>
            </w:r>
            <w:r w:rsidRPr="007F53C3">
              <w:rPr>
                <w:sz w:val="22"/>
                <w:szCs w:val="22"/>
              </w:rPr>
              <w:t>, kai: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CE37C91" w14:textId="77777777" w:rsidR="00793160" w:rsidRPr="007F53C3" w:rsidRDefault="00793160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E2E9652" w14:textId="77777777" w:rsidR="00793160" w:rsidRPr="007F53C3" w:rsidRDefault="00793160" w:rsidP="00AF63AC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C49CB36" w14:textId="77777777" w:rsidR="00793160" w:rsidRPr="007F53C3" w:rsidRDefault="00793160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05C789" w14:textId="77777777" w:rsidR="00793160" w:rsidRPr="007F53C3" w:rsidRDefault="00793160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D66491" w:rsidRPr="007F53C3" w14:paraId="36FA0A04" w14:textId="77777777" w:rsidTr="00F86B5B">
        <w:trPr>
          <w:jc w:val="center"/>
        </w:trPr>
        <w:tc>
          <w:tcPr>
            <w:tcW w:w="711" w:type="dxa"/>
            <w:tcBorders>
              <w:top w:val="single" w:sz="12" w:space="0" w:color="auto"/>
            </w:tcBorders>
            <w:shd w:val="clear" w:color="auto" w:fill="auto"/>
          </w:tcPr>
          <w:p w14:paraId="7094E00F" w14:textId="77777777" w:rsidR="00D66491" w:rsidRPr="007F53C3" w:rsidRDefault="00D66491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2.1.</w:t>
            </w:r>
          </w:p>
        </w:tc>
        <w:tc>
          <w:tcPr>
            <w:tcW w:w="4212" w:type="dxa"/>
            <w:tcBorders>
              <w:top w:val="single" w:sz="12" w:space="0" w:color="auto"/>
            </w:tcBorders>
            <w:shd w:val="clear" w:color="auto" w:fill="auto"/>
          </w:tcPr>
          <w:p w14:paraId="1A64946A" w14:textId="36D19866" w:rsidR="00D66491" w:rsidRPr="007F53C3" w:rsidRDefault="00D66491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projektas finansuojamas Europos Sąjungos struktūrinių fondų</w:t>
            </w:r>
            <w:r w:rsidR="00F86B5B" w:rsidRPr="007F53C3">
              <w:rPr>
                <w:sz w:val="22"/>
                <w:szCs w:val="22"/>
              </w:rPr>
              <w:t>, Valstybės biudžeto lėšomis, Savivaldybės biudžeto lėšomis ir kitų vietos programų lėšomis.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shd w:val="clear" w:color="auto" w:fill="auto"/>
          </w:tcPr>
          <w:p w14:paraId="1F9E6ED1" w14:textId="55EB0F03" w:rsidR="00D66491" w:rsidRPr="007F53C3" w:rsidRDefault="00F86B5B" w:rsidP="00F86B5B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vnt.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shd w:val="clear" w:color="auto" w:fill="auto"/>
          </w:tcPr>
          <w:p w14:paraId="1C0E0645" w14:textId="2140ACA4" w:rsidR="00D66491" w:rsidRPr="007F53C3" w:rsidRDefault="00F86B5B" w:rsidP="00AF63AC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10</w:t>
            </w:r>
          </w:p>
        </w:tc>
        <w:tc>
          <w:tcPr>
            <w:tcW w:w="1326" w:type="dxa"/>
            <w:tcBorders>
              <w:top w:val="single" w:sz="12" w:space="0" w:color="auto"/>
            </w:tcBorders>
            <w:shd w:val="clear" w:color="auto" w:fill="auto"/>
          </w:tcPr>
          <w:p w14:paraId="61133D56" w14:textId="005DE9A5" w:rsidR="00D66491" w:rsidRPr="007F53C3" w:rsidRDefault="00D66491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  <w:shd w:val="clear" w:color="auto" w:fill="auto"/>
          </w:tcPr>
          <w:p w14:paraId="3A24F5E4" w14:textId="52722763" w:rsidR="00D66491" w:rsidRPr="007F53C3" w:rsidRDefault="00D66491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BF059C" w:rsidRPr="007F53C3" w14:paraId="3FD206EB" w14:textId="77777777" w:rsidTr="00F86B5B">
        <w:trPr>
          <w:jc w:val="center"/>
        </w:trPr>
        <w:tc>
          <w:tcPr>
            <w:tcW w:w="711" w:type="dxa"/>
            <w:shd w:val="clear" w:color="auto" w:fill="auto"/>
          </w:tcPr>
          <w:p w14:paraId="7B3119B6" w14:textId="2377CC93" w:rsidR="00BF059C" w:rsidRPr="007F53C3" w:rsidRDefault="00BF059C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2.</w:t>
            </w:r>
            <w:r w:rsidR="00F86B5B" w:rsidRPr="007F53C3">
              <w:rPr>
                <w:sz w:val="22"/>
                <w:szCs w:val="22"/>
              </w:rPr>
              <w:t>2.</w:t>
            </w:r>
          </w:p>
        </w:tc>
        <w:tc>
          <w:tcPr>
            <w:tcW w:w="4212" w:type="dxa"/>
            <w:shd w:val="clear" w:color="auto" w:fill="auto"/>
          </w:tcPr>
          <w:p w14:paraId="25B44E82" w14:textId="06E5E4A7" w:rsidR="00BF059C" w:rsidRPr="007F53C3" w:rsidRDefault="00BF059C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projektas finansuojamas Tarptautinių fondų (pvz., EEE ir Norvegijos finansinio mechanizmo, Lietuvos-Latvijos bendradarbiavimo per sieną programos</w:t>
            </w:r>
            <w:r w:rsidR="00172EB6">
              <w:rPr>
                <w:sz w:val="22"/>
                <w:szCs w:val="22"/>
              </w:rPr>
              <w:t>, Interreg</w:t>
            </w:r>
            <w:r w:rsidRPr="007F53C3">
              <w:rPr>
                <w:sz w:val="22"/>
                <w:szCs w:val="22"/>
              </w:rPr>
              <w:t xml:space="preserve"> ir pan.) lėšomis:</w:t>
            </w:r>
          </w:p>
        </w:tc>
        <w:tc>
          <w:tcPr>
            <w:tcW w:w="844" w:type="dxa"/>
            <w:shd w:val="clear" w:color="auto" w:fill="auto"/>
          </w:tcPr>
          <w:p w14:paraId="1134A094" w14:textId="35ABCCBE" w:rsidR="00BF059C" w:rsidRPr="007F53C3" w:rsidRDefault="00F86B5B" w:rsidP="00F86B5B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vnt.</w:t>
            </w:r>
          </w:p>
        </w:tc>
        <w:tc>
          <w:tcPr>
            <w:tcW w:w="1391" w:type="dxa"/>
            <w:shd w:val="clear" w:color="auto" w:fill="auto"/>
          </w:tcPr>
          <w:p w14:paraId="2B010EF4" w14:textId="492BDCC1" w:rsidR="00BF059C" w:rsidRPr="007F53C3" w:rsidRDefault="00F86B5B" w:rsidP="00AF63AC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F53C3"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  <w:shd w:val="clear" w:color="auto" w:fill="auto"/>
          </w:tcPr>
          <w:p w14:paraId="62A78187" w14:textId="7A3754F7" w:rsidR="00BF059C" w:rsidRPr="007F53C3" w:rsidRDefault="00BF059C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</w:tcPr>
          <w:p w14:paraId="4F20FE8B" w14:textId="2DD908E7" w:rsidR="00BF059C" w:rsidRPr="007F53C3" w:rsidRDefault="00BF059C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E1FAF" w:rsidRPr="007F53C3" w14:paraId="4EF16B45" w14:textId="77777777" w:rsidTr="002E1FAF">
        <w:trPr>
          <w:jc w:val="center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04880E2" w14:textId="6B01487C" w:rsidR="00F86B5B" w:rsidRPr="007F53C3" w:rsidRDefault="003E3B74" w:rsidP="009919C7">
            <w:pPr>
              <w:tabs>
                <w:tab w:val="num" w:pos="0"/>
                <w:tab w:val="left" w:pos="3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F86B5B" w:rsidRPr="007F53C3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42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8506DD" w14:textId="23EA47D8" w:rsidR="00F86B5B" w:rsidRPr="007F53C3" w:rsidRDefault="00874BA9" w:rsidP="009919C7">
            <w:pPr>
              <w:tabs>
                <w:tab w:val="num" w:pos="0"/>
                <w:tab w:val="left" w:pos="3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7F53C3">
              <w:rPr>
                <w:color w:val="000000" w:themeColor="text1"/>
                <w:sz w:val="22"/>
                <w:szCs w:val="22"/>
              </w:rPr>
              <w:t xml:space="preserve">Skaičiuojamosios kainos nustatymas ar sąmatiniai skaičiavimai, siekiant pagrįsti investicijų poreikį planuojamam objektui.  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651EEF" w14:textId="63D0DC39" w:rsidR="00F86B5B" w:rsidRPr="007F53C3" w:rsidRDefault="002E1FAF" w:rsidP="002E1FAF">
            <w:pPr>
              <w:tabs>
                <w:tab w:val="num" w:pos="0"/>
                <w:tab w:val="left" w:pos="36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7F53C3">
              <w:rPr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6077B6" w14:textId="0AF7AC61" w:rsidR="00F86B5B" w:rsidRPr="007F53C3" w:rsidRDefault="001234E7" w:rsidP="009919C7">
            <w:pPr>
              <w:tabs>
                <w:tab w:val="num" w:pos="0"/>
                <w:tab w:val="left" w:pos="36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7F53C3">
              <w:rPr>
                <w:color w:val="000000" w:themeColor="text1"/>
                <w:sz w:val="22"/>
                <w:szCs w:val="22"/>
              </w:rPr>
              <w:t>1</w:t>
            </w:r>
            <w:r w:rsidR="00330F22" w:rsidRPr="007F53C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DD667F" w14:textId="64A3E70B" w:rsidR="00F86B5B" w:rsidRPr="007F53C3" w:rsidRDefault="00F86B5B" w:rsidP="009919C7">
            <w:pPr>
              <w:tabs>
                <w:tab w:val="num" w:pos="0"/>
                <w:tab w:val="left" w:pos="360"/>
              </w:tabs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B1E6D7" w14:textId="29EF83E6" w:rsidR="00F86B5B" w:rsidRPr="007F53C3" w:rsidRDefault="00F86B5B" w:rsidP="009919C7">
            <w:pPr>
              <w:tabs>
                <w:tab w:val="num" w:pos="0"/>
                <w:tab w:val="left" w:pos="360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91042" w:rsidRPr="007F53C3" w14:paraId="13DB4DE2" w14:textId="77777777" w:rsidTr="00874BA9">
        <w:trPr>
          <w:jc w:val="center"/>
        </w:trPr>
        <w:tc>
          <w:tcPr>
            <w:tcW w:w="711" w:type="dxa"/>
            <w:shd w:val="clear" w:color="auto" w:fill="BFBFBF" w:themeFill="background1" w:themeFillShade="BF"/>
          </w:tcPr>
          <w:p w14:paraId="0CEAB458" w14:textId="77777777" w:rsidR="00391042" w:rsidRPr="007F53C3" w:rsidRDefault="00391042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BFBFBF" w:themeFill="background1" w:themeFillShade="BF"/>
          </w:tcPr>
          <w:p w14:paraId="23155CCD" w14:textId="77777777" w:rsidR="00391042" w:rsidRPr="007F53C3" w:rsidRDefault="00391042" w:rsidP="00AF63AC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14:paraId="0595ED3B" w14:textId="77777777" w:rsidR="00391042" w:rsidRPr="007F53C3" w:rsidRDefault="00391042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BFBFBF" w:themeFill="background1" w:themeFillShade="BF"/>
          </w:tcPr>
          <w:p w14:paraId="63BAB238" w14:textId="79B9DFC7" w:rsidR="00391042" w:rsidRPr="007F53C3" w:rsidRDefault="00391042" w:rsidP="00AF63AC">
            <w:pPr>
              <w:tabs>
                <w:tab w:val="num" w:pos="0"/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shd w:val="clear" w:color="auto" w:fill="BFBFBF" w:themeFill="background1" w:themeFillShade="BF"/>
          </w:tcPr>
          <w:p w14:paraId="0C53FA9E" w14:textId="77777777" w:rsidR="00391042" w:rsidRPr="007F53C3" w:rsidRDefault="00391042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</w:tcPr>
          <w:p w14:paraId="0CC244EF" w14:textId="77777777" w:rsidR="00391042" w:rsidRPr="007F53C3" w:rsidRDefault="00391042" w:rsidP="00AF63AC">
            <w:pPr>
              <w:tabs>
                <w:tab w:val="num" w:pos="0"/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F478E66" w14:textId="77777777" w:rsidR="002002A3" w:rsidRPr="007F53C3" w:rsidRDefault="002002A3" w:rsidP="00CE086A">
      <w:pPr>
        <w:tabs>
          <w:tab w:val="num" w:pos="0"/>
          <w:tab w:val="left" w:pos="360"/>
        </w:tabs>
        <w:jc w:val="both"/>
        <w:rPr>
          <w:sz w:val="22"/>
          <w:szCs w:val="22"/>
        </w:rPr>
      </w:pPr>
    </w:p>
    <w:p w14:paraId="0F0DEAAD" w14:textId="77777777" w:rsidR="00347790" w:rsidRPr="00347790" w:rsidRDefault="00347790" w:rsidP="0034779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347790">
        <w:rPr>
          <w:sz w:val="22"/>
          <w:szCs w:val="22"/>
        </w:rPr>
        <w:lastRenderedPageBreak/>
        <w:t>2.2. Paslaugų gavėjas pirks skirtingus paslaugų kiekius, todėl vertinant pasiūlymą, vertinama įkainių, padaugintų iš preliminarių kiekių, suma (preliminarūs kiekiai suprantami kaip perkamo objekto sudėtinių dalių kiekio pasiskirstymas).</w:t>
      </w:r>
    </w:p>
    <w:p w14:paraId="23F0BAC1" w14:textId="77777777" w:rsidR="00347790" w:rsidRPr="00347790" w:rsidRDefault="00347790" w:rsidP="00347790">
      <w:pPr>
        <w:tabs>
          <w:tab w:val="left" w:pos="993"/>
        </w:tabs>
        <w:ind w:firstLine="567"/>
        <w:jc w:val="both"/>
        <w:rPr>
          <w:b/>
          <w:bCs/>
          <w:sz w:val="22"/>
          <w:szCs w:val="22"/>
        </w:rPr>
      </w:pPr>
      <w:r w:rsidRPr="00347790">
        <w:rPr>
          <w:sz w:val="22"/>
          <w:szCs w:val="22"/>
        </w:rPr>
        <w:t xml:space="preserve">2.3. Savivaldybės įgyvendinamų ir planuojamų įgyvendinti projektų preliminarūs pavadinimai ir jų apimtys atsispindi Klaipėdos rajono savivaldybės strateginio veiklos plano 2023–2025 m. aktualioje redakcijoje, Klaipėdos rajono strateginio plėtros plano iki </w:t>
      </w:r>
      <w:r w:rsidRPr="00347790">
        <w:rPr>
          <w:sz w:val="22"/>
          <w:szCs w:val="22"/>
          <w:lang w:val="en-US"/>
        </w:rPr>
        <w:t xml:space="preserve">2030 m. </w:t>
      </w:r>
      <w:r w:rsidRPr="00347790">
        <w:rPr>
          <w:sz w:val="22"/>
          <w:szCs w:val="22"/>
        </w:rPr>
        <w:t>aktualioje redakcijoje ir Klaipėdos regiono plėtros plane 2022–2030 m.</w:t>
      </w:r>
      <w:r w:rsidRPr="00347790">
        <w:rPr>
          <w:b/>
          <w:bCs/>
          <w:sz w:val="22"/>
          <w:szCs w:val="22"/>
        </w:rPr>
        <w:t xml:space="preserve"> </w:t>
      </w:r>
    </w:p>
    <w:p w14:paraId="653931A9" w14:textId="77777777" w:rsidR="00347790" w:rsidRPr="00347790" w:rsidRDefault="00347790" w:rsidP="00347790">
      <w:pPr>
        <w:tabs>
          <w:tab w:val="left" w:pos="993"/>
        </w:tabs>
        <w:ind w:firstLine="567"/>
        <w:jc w:val="both"/>
        <w:rPr>
          <w:b/>
          <w:bCs/>
          <w:sz w:val="22"/>
          <w:szCs w:val="22"/>
        </w:rPr>
      </w:pPr>
      <w:r w:rsidRPr="00347790">
        <w:rPr>
          <w:b/>
          <w:bCs/>
          <w:sz w:val="22"/>
          <w:szCs w:val="22"/>
        </w:rPr>
        <w:t xml:space="preserve">2.4. Paslaugų gavėjas neįsipareigoja įsigyti visų paslaugų. Paslaugos bus užsakomos atsižvelgiant į Paslaugų gavėjo poreikius, finansavimą. </w:t>
      </w:r>
    </w:p>
    <w:p w14:paraId="5E331F65" w14:textId="77777777" w:rsidR="00347790" w:rsidRPr="00347790" w:rsidRDefault="00347790" w:rsidP="0034779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347790">
        <w:rPr>
          <w:sz w:val="22"/>
          <w:szCs w:val="22"/>
        </w:rPr>
        <w:t xml:space="preserve">2.5. Paslaugų bus perkama minimaliai už 10.000,00 eurų su PVM, o maksimaliai – už 69.999,99 eurų su PVM. Ne PVM mokėtojas (pasiūlymo pateikimo metu ir jei tiekėjas netaps PVM mokėtoju sutarties vykdymo metu) maksimaliai galės suteikti paslaugų už maksimalią 69.999,99 eurų sumą. </w:t>
      </w:r>
    </w:p>
    <w:p w14:paraId="4AD3CEF1" w14:textId="77777777" w:rsidR="00933977" w:rsidRPr="007F53C3" w:rsidRDefault="00933977" w:rsidP="00825A0D">
      <w:pPr>
        <w:jc w:val="both"/>
        <w:rPr>
          <w:sz w:val="22"/>
          <w:szCs w:val="22"/>
        </w:rPr>
      </w:pPr>
    </w:p>
    <w:p w14:paraId="67068AD4" w14:textId="77777777" w:rsidR="00A8002A" w:rsidRPr="007F53C3" w:rsidRDefault="00A8002A" w:rsidP="00A8002A">
      <w:pPr>
        <w:jc w:val="center"/>
        <w:rPr>
          <w:bCs/>
          <w:sz w:val="22"/>
          <w:szCs w:val="22"/>
        </w:rPr>
      </w:pPr>
      <w:r w:rsidRPr="007F53C3">
        <w:rPr>
          <w:sz w:val="22"/>
          <w:szCs w:val="22"/>
        </w:rPr>
        <w:t xml:space="preserve">3. </w:t>
      </w:r>
      <w:r w:rsidRPr="007F53C3">
        <w:rPr>
          <w:bCs/>
          <w:sz w:val="22"/>
          <w:szCs w:val="22"/>
        </w:rPr>
        <w:t>PASLAUGŲ SUTARTIES UŽDAVINIAI</w:t>
      </w:r>
    </w:p>
    <w:p w14:paraId="0108E559" w14:textId="77777777" w:rsidR="00A8002A" w:rsidRPr="007F53C3" w:rsidRDefault="00A8002A" w:rsidP="00A8002A">
      <w:pPr>
        <w:jc w:val="center"/>
        <w:rPr>
          <w:bCs/>
          <w:sz w:val="22"/>
          <w:szCs w:val="22"/>
        </w:rPr>
      </w:pPr>
    </w:p>
    <w:p w14:paraId="4D534440" w14:textId="29920ED6" w:rsidR="00A8002A" w:rsidRPr="007F53C3" w:rsidRDefault="001B1C30" w:rsidP="00A8002A">
      <w:pPr>
        <w:pStyle w:val="Pagrindinistekstas"/>
        <w:numPr>
          <w:ilvl w:val="1"/>
          <w:numId w:val="2"/>
        </w:numPr>
        <w:tabs>
          <w:tab w:val="left" w:pos="993"/>
        </w:tabs>
        <w:suppressAutoHyphens/>
        <w:spacing w:after="0"/>
        <w:ind w:left="0" w:firstLine="567"/>
        <w:rPr>
          <w:rFonts w:ascii="Times New Roman" w:hAnsi="Times New Roman"/>
          <w:szCs w:val="22"/>
        </w:rPr>
      </w:pPr>
      <w:r w:rsidRPr="007F53C3">
        <w:rPr>
          <w:rFonts w:ascii="Times New Roman" w:hAnsi="Times New Roman"/>
          <w:iCs/>
          <w:szCs w:val="22"/>
        </w:rPr>
        <w:t>Paslaugų apimtis – parengt</w:t>
      </w:r>
      <w:r w:rsidR="003E3B74">
        <w:rPr>
          <w:rFonts w:ascii="Times New Roman" w:hAnsi="Times New Roman"/>
          <w:iCs/>
          <w:szCs w:val="22"/>
        </w:rPr>
        <w:t>i projektų įgyvendinimo planai,</w:t>
      </w:r>
      <w:r w:rsidR="00782E35" w:rsidRPr="007F53C3">
        <w:rPr>
          <w:rFonts w:ascii="Times New Roman" w:hAnsi="Times New Roman"/>
          <w:iCs/>
          <w:szCs w:val="22"/>
        </w:rPr>
        <w:t xml:space="preserve"> projektų </w:t>
      </w:r>
      <w:r w:rsidR="00A8002A" w:rsidRPr="007F53C3">
        <w:rPr>
          <w:rFonts w:ascii="Times New Roman" w:hAnsi="Times New Roman"/>
          <w:iCs/>
          <w:szCs w:val="22"/>
        </w:rPr>
        <w:t>paraiškos, investicijų projektai</w:t>
      </w:r>
      <w:r w:rsidR="002B4571" w:rsidRPr="007F53C3">
        <w:rPr>
          <w:rFonts w:ascii="Times New Roman" w:hAnsi="Times New Roman"/>
          <w:iCs/>
          <w:szCs w:val="22"/>
        </w:rPr>
        <w:t xml:space="preserve">. </w:t>
      </w:r>
      <w:r w:rsidR="002B4571" w:rsidRPr="007F53C3">
        <w:rPr>
          <w:rFonts w:ascii="Times New Roman" w:hAnsi="Times New Roman"/>
          <w:b/>
          <w:bCs/>
          <w:iCs/>
          <w:szCs w:val="22"/>
          <w:u w:val="single"/>
        </w:rPr>
        <w:t xml:space="preserve">Visi dokumentai turės būti parengti </w:t>
      </w:r>
      <w:r w:rsidR="00A8002A" w:rsidRPr="007F53C3">
        <w:rPr>
          <w:rFonts w:ascii="Times New Roman" w:hAnsi="Times New Roman"/>
          <w:b/>
          <w:szCs w:val="22"/>
          <w:u w:val="single"/>
        </w:rPr>
        <w:t>su visais reikalingais kartu pateikti priedais</w:t>
      </w:r>
      <w:r w:rsidR="002B4571" w:rsidRPr="007F53C3">
        <w:rPr>
          <w:rFonts w:ascii="Times New Roman" w:hAnsi="Times New Roman"/>
          <w:b/>
          <w:szCs w:val="22"/>
          <w:u w:val="single"/>
        </w:rPr>
        <w:t xml:space="preserve"> </w:t>
      </w:r>
      <w:r w:rsidR="002B4571" w:rsidRPr="007F53C3">
        <w:rPr>
          <w:rFonts w:ascii="Times New Roman" w:hAnsi="Times New Roman"/>
          <w:bCs/>
          <w:szCs w:val="22"/>
          <w:u w:val="single"/>
        </w:rPr>
        <w:t>(pagal tuo metu galiojančius teisės aktus ir/ar atitinkamos programos arba paramos priemonės reikalavimus)</w:t>
      </w:r>
      <w:r w:rsidR="00A8002A" w:rsidRPr="007F53C3">
        <w:rPr>
          <w:rFonts w:ascii="Times New Roman" w:hAnsi="Times New Roman"/>
          <w:bCs/>
          <w:szCs w:val="22"/>
          <w:u w:val="single"/>
        </w:rPr>
        <w:t>:</w:t>
      </w:r>
      <w:r w:rsidR="00A8002A" w:rsidRPr="007F53C3">
        <w:rPr>
          <w:rFonts w:ascii="Times New Roman" w:hAnsi="Times New Roman"/>
          <w:iCs/>
          <w:szCs w:val="22"/>
          <w:u w:val="single"/>
        </w:rPr>
        <w:t xml:space="preserve"> </w:t>
      </w:r>
    </w:p>
    <w:p w14:paraId="0E6E1895" w14:textId="7919D02B" w:rsidR="00A8002A" w:rsidRPr="007F53C3" w:rsidRDefault="00A8002A" w:rsidP="00A8002A">
      <w:pPr>
        <w:pStyle w:val="Pagrindinistekstas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567"/>
        <w:rPr>
          <w:rFonts w:ascii="Times New Roman" w:hAnsi="Times New Roman"/>
          <w:szCs w:val="22"/>
        </w:rPr>
      </w:pPr>
      <w:r w:rsidRPr="007F53C3">
        <w:rPr>
          <w:rFonts w:ascii="Times New Roman" w:hAnsi="Times New Roman"/>
          <w:szCs w:val="22"/>
        </w:rPr>
        <w:t>projektų išlaidų dydį pagrindžiantys dokumentai (sąmatiniai skaičiavimai, apklausos,</w:t>
      </w:r>
      <w:r w:rsidR="00BD6E47" w:rsidRPr="007F53C3">
        <w:rPr>
          <w:rFonts w:ascii="Times New Roman" w:hAnsi="Times New Roman"/>
          <w:szCs w:val="22"/>
        </w:rPr>
        <w:t xml:space="preserve"> rinkos tyrimai</w:t>
      </w:r>
      <w:r w:rsidR="00C11FF0">
        <w:rPr>
          <w:rFonts w:ascii="Times New Roman" w:hAnsi="Times New Roman"/>
          <w:szCs w:val="22"/>
        </w:rPr>
        <w:t>,</w:t>
      </w:r>
      <w:r w:rsidRPr="007F53C3">
        <w:rPr>
          <w:rFonts w:ascii="Times New Roman" w:hAnsi="Times New Roman"/>
          <w:szCs w:val="22"/>
        </w:rPr>
        <w:t xml:space="preserve"> preliminarūs komerciniai pasiūlymai</w:t>
      </w:r>
      <w:r w:rsidR="00DD5DB5" w:rsidRPr="007F53C3">
        <w:rPr>
          <w:rFonts w:ascii="Times New Roman" w:hAnsi="Times New Roman"/>
          <w:szCs w:val="22"/>
        </w:rPr>
        <w:t xml:space="preserve"> bei kt.</w:t>
      </w:r>
      <w:r w:rsidRPr="007F53C3">
        <w:rPr>
          <w:rFonts w:ascii="Times New Roman" w:hAnsi="Times New Roman"/>
          <w:szCs w:val="22"/>
        </w:rPr>
        <w:t xml:space="preserve">); </w:t>
      </w:r>
    </w:p>
    <w:p w14:paraId="30B1B617" w14:textId="77777777" w:rsidR="00A8002A" w:rsidRPr="007F53C3" w:rsidRDefault="00A8002A" w:rsidP="00A8002A">
      <w:pPr>
        <w:pStyle w:val="Pagrindinistekstas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567"/>
        <w:rPr>
          <w:rFonts w:ascii="Times New Roman" w:hAnsi="Times New Roman"/>
          <w:szCs w:val="22"/>
        </w:rPr>
      </w:pPr>
      <w:r w:rsidRPr="007F53C3">
        <w:rPr>
          <w:rFonts w:ascii="Times New Roman" w:hAnsi="Times New Roman"/>
          <w:szCs w:val="22"/>
        </w:rPr>
        <w:t>visi kiti pagal konkreči</w:t>
      </w:r>
      <w:r w:rsidR="00DD5DB5" w:rsidRPr="007F53C3">
        <w:rPr>
          <w:rFonts w:ascii="Times New Roman" w:hAnsi="Times New Roman"/>
          <w:szCs w:val="22"/>
        </w:rPr>
        <w:t>os</w:t>
      </w:r>
      <w:r w:rsidRPr="007F53C3">
        <w:rPr>
          <w:rFonts w:ascii="Times New Roman" w:hAnsi="Times New Roman"/>
          <w:szCs w:val="22"/>
        </w:rPr>
        <w:t xml:space="preserve"> paramos priemon</w:t>
      </w:r>
      <w:r w:rsidR="00DD5DB5" w:rsidRPr="007F53C3">
        <w:rPr>
          <w:rFonts w:ascii="Times New Roman" w:hAnsi="Times New Roman"/>
          <w:szCs w:val="22"/>
        </w:rPr>
        <w:t>ės, programos ar fondo reikalavimus prašomi</w:t>
      </w:r>
      <w:r w:rsidRPr="007F53C3">
        <w:rPr>
          <w:rFonts w:ascii="Times New Roman" w:hAnsi="Times New Roman"/>
          <w:szCs w:val="22"/>
        </w:rPr>
        <w:t xml:space="preserve"> pateikti priedai. </w:t>
      </w:r>
    </w:p>
    <w:p w14:paraId="2CA35F68" w14:textId="77777777" w:rsidR="005B1821" w:rsidRPr="007F53C3" w:rsidRDefault="00115E42" w:rsidP="00115E42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t>3.2. Paslaugų teikėjas, suteikdamas paslaugas, privalo vadovautis visais su pirkimo objekto rengimu susijusiais teisės aktais priklausomai nuo rengiamo dokumento bei reikalavimų atitinkamai programai ar paramos priemonei.</w:t>
      </w:r>
    </w:p>
    <w:p w14:paraId="128FE476" w14:textId="77777777" w:rsidR="005B1821" w:rsidRPr="007F53C3" w:rsidRDefault="005B1821" w:rsidP="00115E42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t xml:space="preserve">3.3. Paslaugų teikėjas, suteikdamas paslaugas, privalo rengti dokumentus </w:t>
      </w:r>
      <w:r w:rsidR="00B67866" w:rsidRPr="007F53C3">
        <w:rPr>
          <w:sz w:val="22"/>
          <w:szCs w:val="22"/>
        </w:rPr>
        <w:t xml:space="preserve">taisyklinga lietuvių, anglų ar kita nurodyta kalba, kaip to reikalauja atitinkamos programos ar paramos priemonė. </w:t>
      </w:r>
    </w:p>
    <w:p w14:paraId="11DB480A" w14:textId="77777777" w:rsidR="00933977" w:rsidRPr="007F53C3" w:rsidRDefault="00933977" w:rsidP="00825A0D">
      <w:pPr>
        <w:jc w:val="both"/>
        <w:rPr>
          <w:sz w:val="22"/>
          <w:szCs w:val="22"/>
        </w:rPr>
      </w:pPr>
    </w:p>
    <w:p w14:paraId="649E4160" w14:textId="77777777" w:rsidR="000529FB" w:rsidRPr="007F53C3" w:rsidRDefault="000529FB" w:rsidP="000529FB">
      <w:pPr>
        <w:pStyle w:val="Pagrindinistekstas"/>
        <w:numPr>
          <w:ilvl w:val="0"/>
          <w:numId w:val="1"/>
        </w:numPr>
        <w:spacing w:after="0"/>
        <w:jc w:val="center"/>
        <w:rPr>
          <w:rFonts w:ascii="Times New Roman" w:hAnsi="Times New Roman"/>
          <w:bCs/>
          <w:szCs w:val="22"/>
        </w:rPr>
      </w:pPr>
      <w:r w:rsidRPr="007F53C3">
        <w:rPr>
          <w:rFonts w:ascii="Times New Roman" w:hAnsi="Times New Roman"/>
          <w:bCs/>
          <w:szCs w:val="22"/>
        </w:rPr>
        <w:t xml:space="preserve">SUTARTIES SĄLYGOS </w:t>
      </w:r>
    </w:p>
    <w:p w14:paraId="263EFA62" w14:textId="77777777" w:rsidR="000529FB" w:rsidRPr="007F53C3" w:rsidRDefault="000529FB" w:rsidP="000529FB">
      <w:pPr>
        <w:pStyle w:val="Pagrindinistekstas"/>
        <w:spacing w:after="0"/>
        <w:jc w:val="center"/>
        <w:rPr>
          <w:rFonts w:ascii="Times New Roman" w:hAnsi="Times New Roman"/>
          <w:bCs/>
          <w:szCs w:val="22"/>
        </w:rPr>
      </w:pPr>
    </w:p>
    <w:p w14:paraId="77506D82" w14:textId="0A2A837E" w:rsidR="009548E2" w:rsidRPr="009548E2" w:rsidRDefault="009548E2" w:rsidP="009548E2">
      <w:pPr>
        <w:pStyle w:val="Pagrindinistekstas"/>
        <w:tabs>
          <w:tab w:val="num" w:pos="0"/>
          <w:tab w:val="left" w:pos="360"/>
        </w:tabs>
        <w:spacing w:after="0"/>
        <w:ind w:firstLine="567"/>
        <w:rPr>
          <w:rFonts w:ascii="Times New Roman" w:hAnsi="Times New Roman"/>
          <w:szCs w:val="22"/>
        </w:rPr>
      </w:pPr>
      <w:r w:rsidRPr="009548E2">
        <w:rPr>
          <w:rFonts w:ascii="Times New Roman" w:hAnsi="Times New Roman"/>
          <w:bCs/>
          <w:szCs w:val="22"/>
        </w:rPr>
        <w:t xml:space="preserve">4.1. </w:t>
      </w:r>
      <w:r w:rsidRPr="009548E2">
        <w:rPr>
          <w:rFonts w:ascii="Times New Roman" w:hAnsi="Times New Roman"/>
          <w:szCs w:val="22"/>
        </w:rPr>
        <w:t xml:space="preserve">Paslaugų gavėjas ir Paslaugų teikėjas pasirašys paslaugų teikimo sutartį, kurios neatskiriama dalis bus ši techninė užduotis. Už sutartyje numatytų paslaugų įgyvendinimo priežiūrą bus paskirtas Paslaugų gavėjo atsakingas darbuotojas. </w:t>
      </w:r>
    </w:p>
    <w:p w14:paraId="6385FFAC" w14:textId="775BEDD8" w:rsidR="009548E2" w:rsidRPr="009548E2" w:rsidRDefault="009548E2" w:rsidP="009548E2">
      <w:pPr>
        <w:pStyle w:val="Pagrindinistekstas"/>
        <w:tabs>
          <w:tab w:val="num" w:pos="0"/>
          <w:tab w:val="left" w:pos="360"/>
        </w:tabs>
        <w:spacing w:after="0"/>
        <w:ind w:firstLine="567"/>
        <w:rPr>
          <w:rFonts w:ascii="Times New Roman" w:hAnsi="Times New Roman"/>
          <w:szCs w:val="22"/>
        </w:rPr>
      </w:pPr>
      <w:r w:rsidRPr="009548E2">
        <w:rPr>
          <w:rFonts w:ascii="Times New Roman" w:hAnsi="Times New Roman"/>
          <w:szCs w:val="22"/>
        </w:rPr>
        <w:t>4.2. Paslaugų teikėjas savivaldybės projektų įgyvendinimo planų, projektų paraiškų ir investicijų projektų vertinimo metu savo sąskaita įsipareigoja ištaisyti esamus netikslumus, teikti konsultacijas, atstovauti (skirti atsakingą specialistą) savivaldybei institucijose/agentūrose vertinant projektų paraiškas, jų priedus, sprendžiant vertinimo metu iškilusias problemas.</w:t>
      </w:r>
    </w:p>
    <w:p w14:paraId="2B3EDCEF" w14:textId="26AE559C" w:rsidR="00933977" w:rsidRPr="007F53C3" w:rsidRDefault="00933977" w:rsidP="009548E2">
      <w:pPr>
        <w:pStyle w:val="Pagrindinistekstas"/>
        <w:tabs>
          <w:tab w:val="num" w:pos="0"/>
          <w:tab w:val="left" w:pos="360"/>
        </w:tabs>
        <w:spacing w:after="0"/>
        <w:ind w:firstLine="567"/>
        <w:rPr>
          <w:szCs w:val="22"/>
        </w:rPr>
      </w:pPr>
    </w:p>
    <w:p w14:paraId="1BF7C07B" w14:textId="77777777" w:rsidR="000529FB" w:rsidRPr="007F53C3" w:rsidRDefault="000529FB" w:rsidP="000529FB">
      <w:pPr>
        <w:jc w:val="center"/>
        <w:rPr>
          <w:bCs/>
          <w:sz w:val="22"/>
          <w:szCs w:val="22"/>
        </w:rPr>
      </w:pPr>
      <w:r w:rsidRPr="007F53C3">
        <w:rPr>
          <w:bCs/>
          <w:sz w:val="22"/>
          <w:szCs w:val="22"/>
        </w:rPr>
        <w:t xml:space="preserve">5. ATASKAITOS IR DERINIMAS </w:t>
      </w:r>
    </w:p>
    <w:p w14:paraId="0A9FE490" w14:textId="77777777" w:rsidR="000529FB" w:rsidRPr="007F53C3" w:rsidRDefault="000529FB" w:rsidP="000529FB">
      <w:pPr>
        <w:jc w:val="center"/>
        <w:rPr>
          <w:bCs/>
          <w:sz w:val="22"/>
          <w:szCs w:val="22"/>
        </w:rPr>
      </w:pPr>
    </w:p>
    <w:p w14:paraId="33100C6E" w14:textId="77777777" w:rsidR="000529FB" w:rsidRPr="007F53C3" w:rsidRDefault="000529FB" w:rsidP="000529FB">
      <w:pPr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t xml:space="preserve">5.1. Paslaugų teikėjas turi derinti su Paslaugų gavėju visą informaciją bei teikti konsultacijas </w:t>
      </w:r>
      <w:r w:rsidR="000E49A4" w:rsidRPr="007F53C3">
        <w:rPr>
          <w:sz w:val="22"/>
          <w:szCs w:val="22"/>
        </w:rPr>
        <w:t>su rengiamais dokumentais susijusiais</w:t>
      </w:r>
      <w:r w:rsidRPr="007F53C3">
        <w:rPr>
          <w:sz w:val="22"/>
          <w:szCs w:val="22"/>
        </w:rPr>
        <w:t xml:space="preserve"> klausimais.</w:t>
      </w:r>
    </w:p>
    <w:p w14:paraId="09B9A092" w14:textId="36101274" w:rsidR="000529FB" w:rsidRPr="007F53C3" w:rsidRDefault="000529FB" w:rsidP="000529FB">
      <w:pPr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t>5.2. Paslaugų teikėjas turi derinti rengiamų dokumentų atitiktį finansavimo sąlygų aprašams su atitinkamomis institucijomis/agentūromis bei teikti Paslaugų gavėjui konsultacijas šiais klausimais. Paslaugų</w:t>
      </w:r>
      <w:r w:rsidR="00F77C4F" w:rsidRPr="007F53C3">
        <w:rPr>
          <w:sz w:val="22"/>
          <w:szCs w:val="22"/>
        </w:rPr>
        <w:t xml:space="preserve"> gavėjui pavedus,</w:t>
      </w:r>
      <w:r w:rsidRPr="007F53C3">
        <w:rPr>
          <w:sz w:val="22"/>
          <w:szCs w:val="22"/>
        </w:rPr>
        <w:t xml:space="preserve"> teikėjas su atitinkamų institucijų/agentūrų atsakingais darbuotojais ir su projektų partneriais bendrauja tiesiogiai</w:t>
      </w:r>
      <w:r w:rsidR="004A2571" w:rsidRPr="007F53C3">
        <w:rPr>
          <w:sz w:val="22"/>
          <w:szCs w:val="22"/>
        </w:rPr>
        <w:t xml:space="preserve">, tačiau privalo informuoti Paslaugų gavėją apie priimtus sprendimus. </w:t>
      </w:r>
      <w:r w:rsidRPr="007F53C3">
        <w:rPr>
          <w:sz w:val="22"/>
          <w:szCs w:val="22"/>
        </w:rPr>
        <w:t xml:space="preserve"> </w:t>
      </w:r>
    </w:p>
    <w:p w14:paraId="3151B4E4" w14:textId="1DD16A32" w:rsidR="000529FB" w:rsidRPr="007F53C3" w:rsidRDefault="000529FB" w:rsidP="000529FB">
      <w:pPr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t xml:space="preserve">5.3. Gavęs Paslaugų gavėjo pritarimą, Paslaugų teikėjas sukomplektuoja </w:t>
      </w:r>
      <w:r w:rsidR="00B151F3" w:rsidRPr="007F53C3">
        <w:rPr>
          <w:sz w:val="22"/>
          <w:szCs w:val="22"/>
        </w:rPr>
        <w:t>projekt</w:t>
      </w:r>
      <w:r w:rsidR="004D3618" w:rsidRPr="007F53C3">
        <w:rPr>
          <w:sz w:val="22"/>
          <w:szCs w:val="22"/>
        </w:rPr>
        <w:t>ų</w:t>
      </w:r>
      <w:r w:rsidR="00330F22" w:rsidRPr="007F53C3">
        <w:rPr>
          <w:sz w:val="22"/>
          <w:szCs w:val="22"/>
        </w:rPr>
        <w:t xml:space="preserve"> įgyvendinimo planus, projektų</w:t>
      </w:r>
      <w:r w:rsidR="00B151F3" w:rsidRPr="007F53C3">
        <w:rPr>
          <w:sz w:val="22"/>
          <w:szCs w:val="22"/>
        </w:rPr>
        <w:t xml:space="preserve"> </w:t>
      </w:r>
      <w:r w:rsidRPr="007F53C3">
        <w:rPr>
          <w:sz w:val="22"/>
          <w:szCs w:val="22"/>
        </w:rPr>
        <w:t>paraiškas</w:t>
      </w:r>
      <w:r w:rsidR="00B151F3" w:rsidRPr="007F53C3">
        <w:rPr>
          <w:sz w:val="22"/>
          <w:szCs w:val="22"/>
        </w:rPr>
        <w:t xml:space="preserve"> ar/ir investicijų projektus (kartu su priedais)</w:t>
      </w:r>
      <w:r w:rsidRPr="007F53C3">
        <w:rPr>
          <w:sz w:val="22"/>
          <w:szCs w:val="22"/>
        </w:rPr>
        <w:t xml:space="preserve"> pagal atitinkamos paramos programos/priemonės finansavimo sąlygų aprašus bei kitus nurodytus reikalavimus ir iki nustatyto termino savo lėšomis pateikia </w:t>
      </w:r>
      <w:r w:rsidR="006151F0" w:rsidRPr="007F53C3">
        <w:rPr>
          <w:sz w:val="22"/>
          <w:szCs w:val="22"/>
        </w:rPr>
        <w:t>Paslaugų gavėjui</w:t>
      </w:r>
      <w:r w:rsidRPr="007F53C3">
        <w:rPr>
          <w:sz w:val="22"/>
          <w:szCs w:val="22"/>
        </w:rPr>
        <w:t xml:space="preserve">. </w:t>
      </w:r>
    </w:p>
    <w:p w14:paraId="26955CFB" w14:textId="60F64015" w:rsidR="00992FBC" w:rsidRPr="007F53C3" w:rsidRDefault="00992FBC" w:rsidP="00992FBC">
      <w:pPr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t>5.4. Paslaugų teikėjas įsipareigoja Paslaugų gavėjo nurodytoje vietoje Klaipėdos rajono teritorijos ri</w:t>
      </w:r>
      <w:r w:rsidR="00CD6462" w:rsidRPr="007F53C3">
        <w:rPr>
          <w:sz w:val="22"/>
          <w:szCs w:val="22"/>
        </w:rPr>
        <w:t>bose ir laiku (perspėjus prieš 5</w:t>
      </w:r>
      <w:r w:rsidRPr="007F53C3">
        <w:rPr>
          <w:sz w:val="22"/>
          <w:szCs w:val="22"/>
        </w:rPr>
        <w:t xml:space="preserve"> darbo dienas) supažindinti Paslaugų gavėjo </w:t>
      </w:r>
      <w:r w:rsidR="00C6135B" w:rsidRPr="007F53C3">
        <w:rPr>
          <w:sz w:val="22"/>
          <w:szCs w:val="22"/>
        </w:rPr>
        <w:t>nurodytus asmenis su parengtais</w:t>
      </w:r>
      <w:r w:rsidR="00D91005" w:rsidRPr="007F53C3">
        <w:rPr>
          <w:sz w:val="22"/>
          <w:szCs w:val="22"/>
        </w:rPr>
        <w:t xml:space="preserve"> projektų įgyvendinimo planais,</w:t>
      </w:r>
      <w:r w:rsidR="00C6135B" w:rsidRPr="007F53C3">
        <w:rPr>
          <w:sz w:val="22"/>
          <w:szCs w:val="22"/>
        </w:rPr>
        <w:t xml:space="preserve"> </w:t>
      </w:r>
      <w:r w:rsidRPr="007F53C3">
        <w:rPr>
          <w:sz w:val="22"/>
          <w:szCs w:val="22"/>
        </w:rPr>
        <w:t>para</w:t>
      </w:r>
      <w:r w:rsidR="00C6135B" w:rsidRPr="007F53C3">
        <w:rPr>
          <w:sz w:val="22"/>
          <w:szCs w:val="22"/>
        </w:rPr>
        <w:t>iškomis ir</w:t>
      </w:r>
      <w:r w:rsidRPr="007F53C3">
        <w:rPr>
          <w:sz w:val="22"/>
          <w:szCs w:val="22"/>
        </w:rPr>
        <w:t xml:space="preserve"> investicijų projektais (prireikus). Kiekvienas dokumentas Paslaugų gavėjo nurodymu galės būti pareikalautas pristatyti ne daugiau kaip 2 kartus. Pristatymų metu Paslaugų teikėjas</w:t>
      </w:r>
      <w:r w:rsidR="006C4CD0" w:rsidRPr="007F53C3">
        <w:rPr>
          <w:sz w:val="22"/>
          <w:szCs w:val="22"/>
        </w:rPr>
        <w:t xml:space="preserve"> esant poreikiui</w:t>
      </w:r>
      <w:r w:rsidRPr="007F53C3">
        <w:rPr>
          <w:sz w:val="22"/>
          <w:szCs w:val="22"/>
        </w:rPr>
        <w:t xml:space="preserve"> pasirūpina dalomąja medžiaga.</w:t>
      </w:r>
      <w:r w:rsidR="00A52043" w:rsidRPr="007F53C3">
        <w:rPr>
          <w:sz w:val="22"/>
          <w:szCs w:val="22"/>
        </w:rPr>
        <w:t xml:space="preserve"> Paslaugų gavėjui pritarus, pristatymas gali būti organizuojamas nuotoliniu būdu.</w:t>
      </w:r>
    </w:p>
    <w:p w14:paraId="4B1CCDF8" w14:textId="77777777" w:rsidR="00D11B72" w:rsidRPr="007F53C3" w:rsidRDefault="00992FBC" w:rsidP="00D11B72">
      <w:pPr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t>5.5. Paslaugų teikėjas įsipareigoja pakoreguoti atitinkamus dokumentus pagal pristatymų metu išsakytas pastabas ar ištaisyti klaidas.</w:t>
      </w:r>
    </w:p>
    <w:p w14:paraId="2B167332" w14:textId="77777777" w:rsidR="00B67164" w:rsidRPr="007F53C3" w:rsidRDefault="00B67164" w:rsidP="00655E4E">
      <w:pPr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lastRenderedPageBreak/>
        <w:t xml:space="preserve">5.6. Kontaktinis asmuo: </w:t>
      </w:r>
      <w:r w:rsidR="00060397" w:rsidRPr="007F53C3">
        <w:rPr>
          <w:sz w:val="22"/>
          <w:szCs w:val="22"/>
        </w:rPr>
        <w:t>Vitalija Kazlauskienė, tel.</w:t>
      </w:r>
      <w:r w:rsidR="004D3618" w:rsidRPr="007F53C3">
        <w:rPr>
          <w:sz w:val="22"/>
          <w:szCs w:val="22"/>
        </w:rPr>
        <w:t xml:space="preserve"> 8 46 452062, mob. +370 622 35136</w:t>
      </w:r>
      <w:r w:rsidRPr="007F53C3">
        <w:rPr>
          <w:sz w:val="22"/>
          <w:szCs w:val="22"/>
        </w:rPr>
        <w:t xml:space="preserve">, el. paštas </w:t>
      </w:r>
      <w:hyperlink r:id="rId9" w:history="1">
        <w:r w:rsidR="00060397" w:rsidRPr="007F53C3">
          <w:rPr>
            <w:rStyle w:val="Hipersaitas"/>
            <w:sz w:val="22"/>
            <w:szCs w:val="22"/>
          </w:rPr>
          <w:t>vitalija.kazlauskiene@klaipedos-r.lt</w:t>
        </w:r>
      </w:hyperlink>
      <w:r w:rsidRPr="007F53C3">
        <w:rPr>
          <w:sz w:val="22"/>
          <w:szCs w:val="22"/>
        </w:rPr>
        <w:t xml:space="preserve">. </w:t>
      </w:r>
    </w:p>
    <w:p w14:paraId="32337355" w14:textId="77777777" w:rsidR="00933977" w:rsidRPr="007F53C3" w:rsidRDefault="00933977" w:rsidP="00B67164">
      <w:pPr>
        <w:jc w:val="center"/>
        <w:rPr>
          <w:sz w:val="22"/>
          <w:szCs w:val="22"/>
        </w:rPr>
      </w:pPr>
    </w:p>
    <w:p w14:paraId="3F74A9E9" w14:textId="77777777" w:rsidR="00B67164" w:rsidRPr="007F53C3" w:rsidRDefault="00B67164" w:rsidP="00B67164">
      <w:pPr>
        <w:jc w:val="center"/>
        <w:rPr>
          <w:sz w:val="22"/>
          <w:szCs w:val="22"/>
        </w:rPr>
      </w:pPr>
      <w:r w:rsidRPr="007F53C3">
        <w:rPr>
          <w:sz w:val="22"/>
          <w:szCs w:val="22"/>
        </w:rPr>
        <w:t>6. PASLAUGŲ VYKDYMO VIETA IR LAIKAS</w:t>
      </w:r>
    </w:p>
    <w:p w14:paraId="79A718D9" w14:textId="77777777" w:rsidR="00B67164" w:rsidRPr="007F53C3" w:rsidRDefault="00B67164" w:rsidP="00B67164">
      <w:pPr>
        <w:jc w:val="center"/>
        <w:rPr>
          <w:sz w:val="22"/>
          <w:szCs w:val="22"/>
        </w:rPr>
      </w:pPr>
    </w:p>
    <w:p w14:paraId="1A71286F" w14:textId="617F4AC7" w:rsidR="00B67164" w:rsidRPr="007F53C3" w:rsidRDefault="00B67164" w:rsidP="00B67164">
      <w:pPr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t>6.1. Paslaugų teikėjas pradeda rengti</w:t>
      </w:r>
      <w:r w:rsidR="00D91005" w:rsidRPr="007F53C3">
        <w:rPr>
          <w:sz w:val="22"/>
          <w:szCs w:val="22"/>
        </w:rPr>
        <w:t xml:space="preserve"> projektų įgyvendinimo planus,</w:t>
      </w:r>
      <w:r w:rsidR="00FD7E4E" w:rsidRPr="007F53C3">
        <w:rPr>
          <w:sz w:val="22"/>
          <w:szCs w:val="22"/>
        </w:rPr>
        <w:t xml:space="preserve"> </w:t>
      </w:r>
      <w:r w:rsidR="00804BE7" w:rsidRPr="007F53C3">
        <w:rPr>
          <w:sz w:val="22"/>
          <w:szCs w:val="22"/>
        </w:rPr>
        <w:t>projektų</w:t>
      </w:r>
      <w:r w:rsidRPr="007F53C3">
        <w:rPr>
          <w:sz w:val="22"/>
          <w:szCs w:val="22"/>
        </w:rPr>
        <w:t xml:space="preserve"> paraiškas, investicijų projektus</w:t>
      </w:r>
      <w:r w:rsidR="00D91005" w:rsidRPr="007F53C3">
        <w:rPr>
          <w:sz w:val="22"/>
          <w:szCs w:val="22"/>
        </w:rPr>
        <w:t xml:space="preserve"> ir susijusius dokumentus</w:t>
      </w:r>
      <w:r w:rsidRPr="007F53C3">
        <w:rPr>
          <w:sz w:val="22"/>
          <w:szCs w:val="22"/>
        </w:rPr>
        <w:t xml:space="preserve"> Paslaugų gavėjui jį informavus raštu</w:t>
      </w:r>
      <w:r w:rsidR="00320F25" w:rsidRPr="007F53C3">
        <w:rPr>
          <w:sz w:val="22"/>
          <w:szCs w:val="22"/>
        </w:rPr>
        <w:t xml:space="preserve"> (el. paštu arba oficialiu raštu)</w:t>
      </w:r>
      <w:r w:rsidRPr="007F53C3">
        <w:rPr>
          <w:sz w:val="22"/>
          <w:szCs w:val="22"/>
        </w:rPr>
        <w:t xml:space="preserve"> bei iki nustatytos atitinkamo dokumento parengimo galutinės datos likus ne mažiau kaip </w:t>
      </w:r>
      <w:r w:rsidR="00060397" w:rsidRPr="007F53C3">
        <w:rPr>
          <w:sz w:val="22"/>
          <w:szCs w:val="22"/>
        </w:rPr>
        <w:t>14</w:t>
      </w:r>
      <w:r w:rsidRPr="007F53C3">
        <w:rPr>
          <w:sz w:val="22"/>
          <w:szCs w:val="22"/>
        </w:rPr>
        <w:t xml:space="preserve"> kalendorinių dienų</w:t>
      </w:r>
      <w:r w:rsidR="00FD7E4E" w:rsidRPr="007F53C3">
        <w:rPr>
          <w:sz w:val="22"/>
          <w:szCs w:val="22"/>
        </w:rPr>
        <w:t xml:space="preserve">. </w:t>
      </w:r>
    </w:p>
    <w:p w14:paraId="0228D783" w14:textId="77777777" w:rsidR="00B67164" w:rsidRPr="007F53C3" w:rsidRDefault="00B67164" w:rsidP="00B67164">
      <w:pPr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t>6.2. Paslaugų teikėjas Paslaugų gavėjui pateikia parengtus ir visiškai sukomplektuotus doku</w:t>
      </w:r>
      <w:r w:rsidR="004B3949" w:rsidRPr="007F53C3">
        <w:rPr>
          <w:sz w:val="22"/>
          <w:szCs w:val="22"/>
        </w:rPr>
        <w:t>mentus skaitmeninėje laikmenoje</w:t>
      </w:r>
      <w:r w:rsidR="0070478E" w:rsidRPr="007F53C3">
        <w:rPr>
          <w:sz w:val="22"/>
          <w:szCs w:val="22"/>
        </w:rPr>
        <w:t xml:space="preserve"> ar elektroninėmis priemonėmis</w:t>
      </w:r>
      <w:r w:rsidR="004B3949" w:rsidRPr="007F53C3">
        <w:rPr>
          <w:sz w:val="22"/>
          <w:szCs w:val="22"/>
        </w:rPr>
        <w:t xml:space="preserve">. Prireikus ir Paslaugų gavėjui pareikalavus, Paslaugų teikėjas pateikia parengtus dokumentus su juos rengusio eksperto parašais.  </w:t>
      </w:r>
    </w:p>
    <w:p w14:paraId="73E05E01" w14:textId="77777777" w:rsidR="00B67164" w:rsidRPr="007F53C3" w:rsidRDefault="00B67164" w:rsidP="00B67164">
      <w:pPr>
        <w:ind w:firstLine="567"/>
        <w:jc w:val="both"/>
        <w:rPr>
          <w:sz w:val="22"/>
          <w:szCs w:val="22"/>
        </w:rPr>
      </w:pPr>
      <w:r w:rsidRPr="007F53C3">
        <w:rPr>
          <w:sz w:val="22"/>
          <w:szCs w:val="22"/>
        </w:rPr>
        <w:t xml:space="preserve">6.3. Paslaugų teikėjas įsipareigoja pasirūpinti ištekliais, reikalingais Paslaugų teikimui. Paslaugų gavėjas suteiks galimybę Paslaugų teikėjui susipažinti su turimais dokumentais ir informacija, reikalinga sutarčiai įvykdyti ir rezultatams pasiekti. </w:t>
      </w:r>
    </w:p>
    <w:p w14:paraId="252E7E94" w14:textId="30C3E49D" w:rsidR="00B67164" w:rsidRPr="007F53C3" w:rsidRDefault="00B67164" w:rsidP="006F56CE">
      <w:pPr>
        <w:pStyle w:val="Pagrindinistekstas"/>
        <w:tabs>
          <w:tab w:val="num" w:pos="0"/>
          <w:tab w:val="left" w:pos="360"/>
        </w:tabs>
        <w:spacing w:after="0" w:line="240" w:lineRule="auto"/>
        <w:ind w:firstLine="567"/>
        <w:rPr>
          <w:szCs w:val="22"/>
        </w:rPr>
      </w:pPr>
      <w:r w:rsidRPr="007F53C3">
        <w:rPr>
          <w:rFonts w:ascii="Times New Roman" w:hAnsi="Times New Roman"/>
          <w:szCs w:val="22"/>
        </w:rPr>
        <w:t>6.4. Paslaugų teikėjas paslaugų teikimo laikotarpiu</w:t>
      </w:r>
      <w:r w:rsidR="00804BE7" w:rsidRPr="007F53C3">
        <w:rPr>
          <w:rFonts w:ascii="Times New Roman" w:hAnsi="Times New Roman"/>
          <w:szCs w:val="22"/>
        </w:rPr>
        <w:t>,</w:t>
      </w:r>
      <w:r w:rsidRPr="007F53C3">
        <w:rPr>
          <w:rFonts w:ascii="Times New Roman" w:hAnsi="Times New Roman"/>
          <w:szCs w:val="22"/>
        </w:rPr>
        <w:t xml:space="preserve"> </w:t>
      </w:r>
      <w:r w:rsidR="00804BE7" w:rsidRPr="007F53C3">
        <w:rPr>
          <w:rFonts w:ascii="Times New Roman" w:hAnsi="Times New Roman"/>
          <w:szCs w:val="22"/>
        </w:rPr>
        <w:t>esant poreikiui, gali</w:t>
      </w:r>
      <w:r w:rsidRPr="007F53C3">
        <w:rPr>
          <w:rFonts w:ascii="Times New Roman" w:hAnsi="Times New Roman"/>
          <w:szCs w:val="22"/>
        </w:rPr>
        <w:t xml:space="preserve"> atvykti į Klaipėdos rajono savivaldybės administraciją informacijos rinkimui ir darbui su reikalingais dokumentais, susijusiais su tuo metu nagrinėjamu objektu, dalyvavimui pasitarimuose rengiamų dokumentų klausimais bei atlikti apžiūrą objekte, kuri</w:t>
      </w:r>
      <w:r w:rsidR="00FD7E4E" w:rsidRPr="007F53C3">
        <w:rPr>
          <w:rFonts w:ascii="Times New Roman" w:hAnsi="Times New Roman"/>
          <w:szCs w:val="22"/>
        </w:rPr>
        <w:t>a</w:t>
      </w:r>
      <w:r w:rsidR="00052ABE" w:rsidRPr="007F53C3">
        <w:rPr>
          <w:rFonts w:ascii="Times New Roman" w:hAnsi="Times New Roman"/>
          <w:szCs w:val="22"/>
        </w:rPr>
        <w:t xml:space="preserve">m </w:t>
      </w:r>
      <w:r w:rsidRPr="007F53C3">
        <w:rPr>
          <w:rFonts w:ascii="Times New Roman" w:hAnsi="Times New Roman"/>
          <w:szCs w:val="22"/>
        </w:rPr>
        <w:t>rengiamas atitinkamas dokumentas</w:t>
      </w:r>
      <w:r w:rsidR="00303590" w:rsidRPr="007F53C3">
        <w:rPr>
          <w:rFonts w:ascii="Times New Roman" w:hAnsi="Times New Roman"/>
          <w:szCs w:val="22"/>
        </w:rPr>
        <w:t xml:space="preserve">, atlikti būtinus matavimus, reikalingus rengiant sąmatinius skaičiavimus. </w:t>
      </w:r>
    </w:p>
    <w:p w14:paraId="03BAAB5E" w14:textId="77777777" w:rsidR="00B67164" w:rsidRPr="007F53C3" w:rsidRDefault="00B67164" w:rsidP="00B67164">
      <w:pPr>
        <w:pStyle w:val="Pagrindinistekstas"/>
        <w:tabs>
          <w:tab w:val="num" w:pos="0"/>
          <w:tab w:val="left" w:pos="360"/>
        </w:tabs>
        <w:spacing w:after="0"/>
        <w:ind w:firstLine="0"/>
        <w:jc w:val="center"/>
        <w:rPr>
          <w:rFonts w:ascii="Times New Roman" w:hAnsi="Times New Roman"/>
          <w:szCs w:val="22"/>
        </w:rPr>
      </w:pPr>
      <w:r w:rsidRPr="007F53C3">
        <w:rPr>
          <w:rFonts w:ascii="Times New Roman" w:hAnsi="Times New Roman"/>
          <w:szCs w:val="22"/>
        </w:rPr>
        <w:t>________________</w:t>
      </w:r>
    </w:p>
    <w:p w14:paraId="6FFF85E4" w14:textId="6F41B9AA" w:rsidR="00933977" w:rsidRDefault="00933977" w:rsidP="00B67164">
      <w:pPr>
        <w:pStyle w:val="Pagrindinistekstas"/>
        <w:tabs>
          <w:tab w:val="num" w:pos="0"/>
          <w:tab w:val="left" w:pos="360"/>
        </w:tabs>
        <w:spacing w:after="0"/>
        <w:ind w:firstLine="0"/>
        <w:jc w:val="center"/>
        <w:rPr>
          <w:rFonts w:ascii="Times New Roman" w:hAnsi="Times New Roman"/>
          <w:szCs w:val="22"/>
        </w:rPr>
      </w:pPr>
    </w:p>
    <w:p w14:paraId="477C95B6" w14:textId="77777777" w:rsidR="006F56CE" w:rsidRPr="007F53C3" w:rsidRDefault="006F56CE" w:rsidP="00B67164">
      <w:pPr>
        <w:pStyle w:val="Pagrindinistekstas"/>
        <w:tabs>
          <w:tab w:val="num" w:pos="0"/>
          <w:tab w:val="left" w:pos="360"/>
        </w:tabs>
        <w:spacing w:after="0"/>
        <w:ind w:firstLine="0"/>
        <w:jc w:val="center"/>
        <w:rPr>
          <w:rFonts w:ascii="Times New Roman" w:hAnsi="Times New Roman"/>
          <w:szCs w:val="22"/>
        </w:rPr>
      </w:pPr>
    </w:p>
    <w:p w14:paraId="03AD009A" w14:textId="1D8320AB" w:rsidR="00933977" w:rsidRPr="006B3F60" w:rsidRDefault="00060397" w:rsidP="00063F5A">
      <w:pPr>
        <w:jc w:val="both"/>
        <w:rPr>
          <w:sz w:val="22"/>
          <w:szCs w:val="22"/>
        </w:rPr>
      </w:pPr>
      <w:bookmarkStart w:id="0" w:name="_Toc76448815"/>
      <w:bookmarkEnd w:id="0"/>
      <w:r w:rsidRPr="007F53C3">
        <w:rPr>
          <w:sz w:val="22"/>
          <w:szCs w:val="22"/>
        </w:rPr>
        <w:t>Vitalija Kazlauskienė</w:t>
      </w:r>
      <w:r w:rsidR="00B67164" w:rsidRPr="007F53C3">
        <w:rPr>
          <w:sz w:val="22"/>
          <w:szCs w:val="22"/>
        </w:rPr>
        <w:t xml:space="preserve">, </w:t>
      </w:r>
      <w:r w:rsidR="00FB1F8F" w:rsidRPr="007F53C3">
        <w:rPr>
          <w:sz w:val="22"/>
          <w:szCs w:val="22"/>
        </w:rPr>
        <w:t>mob. +370 622 35136</w:t>
      </w:r>
      <w:r w:rsidR="00B67164" w:rsidRPr="007F53C3">
        <w:rPr>
          <w:sz w:val="22"/>
          <w:szCs w:val="22"/>
        </w:rPr>
        <w:t xml:space="preserve">, </w:t>
      </w:r>
      <w:hyperlink r:id="rId10" w:history="1">
        <w:r w:rsidR="000268CA" w:rsidRPr="007F53C3">
          <w:rPr>
            <w:rStyle w:val="Hipersaitas"/>
            <w:sz w:val="22"/>
            <w:szCs w:val="22"/>
          </w:rPr>
          <w:t>vitalija.kazlauskiene@klaipedos-r.lt</w:t>
        </w:r>
      </w:hyperlink>
      <w:r w:rsidR="000268CA">
        <w:rPr>
          <w:sz w:val="22"/>
          <w:szCs w:val="22"/>
        </w:rPr>
        <w:t xml:space="preserve"> </w:t>
      </w:r>
    </w:p>
    <w:tbl>
      <w:tblPr>
        <w:tblpPr w:leftFromText="180" w:rightFromText="180" w:vertAnchor="text" w:tblpX="22039" w:tblpY="-220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30147C" w:rsidRPr="006B3F60" w14:paraId="0B7F77E1" w14:textId="77777777" w:rsidTr="0030147C">
        <w:trPr>
          <w:trHeight w:val="12465"/>
        </w:trPr>
        <w:tc>
          <w:tcPr>
            <w:tcW w:w="324" w:type="dxa"/>
          </w:tcPr>
          <w:p w14:paraId="0F7EB8AD" w14:textId="77777777" w:rsidR="0030147C" w:rsidRPr="006B3F60" w:rsidRDefault="0030147C" w:rsidP="0030147C">
            <w:pPr>
              <w:jc w:val="both"/>
              <w:rPr>
                <w:sz w:val="22"/>
                <w:szCs w:val="22"/>
              </w:rPr>
            </w:pPr>
          </w:p>
        </w:tc>
      </w:tr>
    </w:tbl>
    <w:p w14:paraId="34269A9A" w14:textId="77777777" w:rsidR="00D62912" w:rsidRPr="00B67164" w:rsidRDefault="00D62912" w:rsidP="006F56CE">
      <w:pPr>
        <w:pStyle w:val="Antrats"/>
        <w:tabs>
          <w:tab w:val="left" w:pos="1296"/>
        </w:tabs>
        <w:rPr>
          <w:sz w:val="22"/>
          <w:szCs w:val="22"/>
          <w:lang w:val="lt-LT"/>
        </w:rPr>
      </w:pPr>
    </w:p>
    <w:sectPr w:rsidR="00D62912" w:rsidRPr="00B67164" w:rsidSect="00804BE7">
      <w:headerReference w:type="default" r:id="rId11"/>
      <w:footerReference w:type="even" r:id="rId12"/>
      <w:pgSz w:w="11906" w:h="16838"/>
      <w:pgMar w:top="719" w:right="567" w:bottom="568" w:left="1701" w:header="567" w:footer="567" w:gutter="0"/>
      <w:pgNumType w:start="1" w:chapStyle="1" w:chapSep="emDash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87BA" w14:textId="77777777" w:rsidR="00B068A9" w:rsidRDefault="00B068A9">
      <w:r>
        <w:separator/>
      </w:r>
    </w:p>
  </w:endnote>
  <w:endnote w:type="continuationSeparator" w:id="0">
    <w:p w14:paraId="0800F9BF" w14:textId="77777777" w:rsidR="00B068A9" w:rsidRDefault="00B0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8E7E" w14:textId="77777777" w:rsidR="00507CAF" w:rsidRDefault="00507CAF" w:rsidP="00D2426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DB7A87" w14:textId="77777777" w:rsidR="00507CAF" w:rsidRDefault="00507C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2156" w14:textId="77777777" w:rsidR="00B068A9" w:rsidRDefault="00B068A9">
      <w:r>
        <w:separator/>
      </w:r>
    </w:p>
  </w:footnote>
  <w:footnote w:type="continuationSeparator" w:id="0">
    <w:p w14:paraId="5785F52E" w14:textId="77777777" w:rsidR="00B068A9" w:rsidRDefault="00B0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57D7" w14:textId="5F5A0165" w:rsidR="003F35E5" w:rsidRDefault="003F35E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F197B" w:rsidRPr="00DF197B">
      <w:rPr>
        <w:noProof/>
        <w:lang w:val="lt-LT"/>
      </w:rPr>
      <w:t>2</w:t>
    </w:r>
    <w:r>
      <w:fldChar w:fldCharType="end"/>
    </w:r>
  </w:p>
  <w:p w14:paraId="35D4C872" w14:textId="77777777" w:rsidR="003F35E5" w:rsidRDefault="003F35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425"/>
    <w:multiLevelType w:val="multilevel"/>
    <w:tmpl w:val="8CC6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8043E"/>
    <w:multiLevelType w:val="multilevel"/>
    <w:tmpl w:val="EB440E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F3039"/>
    <w:multiLevelType w:val="hybridMultilevel"/>
    <w:tmpl w:val="A31839BA"/>
    <w:lvl w:ilvl="0" w:tplc="B2E20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91D59"/>
    <w:multiLevelType w:val="multilevel"/>
    <w:tmpl w:val="4E56CC7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36D3C4C"/>
    <w:multiLevelType w:val="multilevel"/>
    <w:tmpl w:val="0322A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D7A4B"/>
    <w:multiLevelType w:val="hybridMultilevel"/>
    <w:tmpl w:val="A5949E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72EC"/>
    <w:multiLevelType w:val="multilevel"/>
    <w:tmpl w:val="276835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00A54"/>
    <w:multiLevelType w:val="hybridMultilevel"/>
    <w:tmpl w:val="E13EB384"/>
    <w:lvl w:ilvl="0" w:tplc="7E24CB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F0276"/>
    <w:multiLevelType w:val="multilevel"/>
    <w:tmpl w:val="53C2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33A42"/>
    <w:multiLevelType w:val="hybridMultilevel"/>
    <w:tmpl w:val="5598095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B1626"/>
    <w:multiLevelType w:val="multilevel"/>
    <w:tmpl w:val="C4740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13774"/>
    <w:multiLevelType w:val="multilevel"/>
    <w:tmpl w:val="3FE0BF6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2450868"/>
    <w:multiLevelType w:val="hybridMultilevel"/>
    <w:tmpl w:val="34A64ADC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D74465"/>
    <w:multiLevelType w:val="multilevel"/>
    <w:tmpl w:val="141017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784227">
    <w:abstractNumId w:val="12"/>
  </w:num>
  <w:num w:numId="2" w16cid:durableId="1125386112">
    <w:abstractNumId w:val="3"/>
  </w:num>
  <w:num w:numId="3" w16cid:durableId="1324237550">
    <w:abstractNumId w:val="8"/>
  </w:num>
  <w:num w:numId="4" w16cid:durableId="1885361885">
    <w:abstractNumId w:val="6"/>
  </w:num>
  <w:num w:numId="5" w16cid:durableId="1680543084">
    <w:abstractNumId w:val="1"/>
  </w:num>
  <w:num w:numId="6" w16cid:durableId="26955488">
    <w:abstractNumId w:val="0"/>
  </w:num>
  <w:num w:numId="7" w16cid:durableId="1795825972">
    <w:abstractNumId w:val="4"/>
  </w:num>
  <w:num w:numId="8" w16cid:durableId="2083022339">
    <w:abstractNumId w:val="10"/>
  </w:num>
  <w:num w:numId="9" w16cid:durableId="1475102622">
    <w:abstractNumId w:val="13"/>
  </w:num>
  <w:num w:numId="10" w16cid:durableId="376975021">
    <w:abstractNumId w:val="9"/>
  </w:num>
  <w:num w:numId="11" w16cid:durableId="1677616664">
    <w:abstractNumId w:val="5"/>
  </w:num>
  <w:num w:numId="12" w16cid:durableId="800922683">
    <w:abstractNumId w:val="11"/>
  </w:num>
  <w:num w:numId="13" w16cid:durableId="1353845152">
    <w:abstractNumId w:val="2"/>
  </w:num>
  <w:num w:numId="14" w16cid:durableId="1432819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12"/>
    <w:rsid w:val="00000BB0"/>
    <w:rsid w:val="0000623A"/>
    <w:rsid w:val="00014F9E"/>
    <w:rsid w:val="00020B99"/>
    <w:rsid w:val="000268CA"/>
    <w:rsid w:val="0003305D"/>
    <w:rsid w:val="00033893"/>
    <w:rsid w:val="0004078E"/>
    <w:rsid w:val="000529FB"/>
    <w:rsid w:val="00052ABE"/>
    <w:rsid w:val="00056A40"/>
    <w:rsid w:val="00056AA0"/>
    <w:rsid w:val="00056ABC"/>
    <w:rsid w:val="00060397"/>
    <w:rsid w:val="000604E4"/>
    <w:rsid w:val="000606BC"/>
    <w:rsid w:val="000612EF"/>
    <w:rsid w:val="00061E93"/>
    <w:rsid w:val="00063F5A"/>
    <w:rsid w:val="00064B29"/>
    <w:rsid w:val="00071639"/>
    <w:rsid w:val="000823A6"/>
    <w:rsid w:val="000902EF"/>
    <w:rsid w:val="00094B7D"/>
    <w:rsid w:val="000A54AF"/>
    <w:rsid w:val="000A5CD7"/>
    <w:rsid w:val="000C01CB"/>
    <w:rsid w:val="000C1B39"/>
    <w:rsid w:val="000C2F6F"/>
    <w:rsid w:val="000C5B09"/>
    <w:rsid w:val="000C75F4"/>
    <w:rsid w:val="000D2A0F"/>
    <w:rsid w:val="000D444D"/>
    <w:rsid w:val="000E0405"/>
    <w:rsid w:val="000E49A4"/>
    <w:rsid w:val="000E5337"/>
    <w:rsid w:val="000E74F7"/>
    <w:rsid w:val="000F506C"/>
    <w:rsid w:val="00100866"/>
    <w:rsid w:val="00104950"/>
    <w:rsid w:val="001074C5"/>
    <w:rsid w:val="00107B4B"/>
    <w:rsid w:val="00115E42"/>
    <w:rsid w:val="001220F8"/>
    <w:rsid w:val="001234E7"/>
    <w:rsid w:val="0013253C"/>
    <w:rsid w:val="00132BC1"/>
    <w:rsid w:val="00133883"/>
    <w:rsid w:val="00137DA2"/>
    <w:rsid w:val="00137EB5"/>
    <w:rsid w:val="00150370"/>
    <w:rsid w:val="001573B4"/>
    <w:rsid w:val="0016267C"/>
    <w:rsid w:val="001642B2"/>
    <w:rsid w:val="001643E3"/>
    <w:rsid w:val="00165996"/>
    <w:rsid w:val="00170C4E"/>
    <w:rsid w:val="00172EB6"/>
    <w:rsid w:val="00177351"/>
    <w:rsid w:val="00191DA4"/>
    <w:rsid w:val="00197E04"/>
    <w:rsid w:val="00197FC4"/>
    <w:rsid w:val="001A6A8E"/>
    <w:rsid w:val="001B1C30"/>
    <w:rsid w:val="001B1D46"/>
    <w:rsid w:val="001B5428"/>
    <w:rsid w:val="001B7B17"/>
    <w:rsid w:val="001C05A9"/>
    <w:rsid w:val="001C3311"/>
    <w:rsid w:val="001D013C"/>
    <w:rsid w:val="001D347D"/>
    <w:rsid w:val="001D76CA"/>
    <w:rsid w:val="001E3E1E"/>
    <w:rsid w:val="001E5B9F"/>
    <w:rsid w:val="001E6178"/>
    <w:rsid w:val="001F4067"/>
    <w:rsid w:val="001F6C6F"/>
    <w:rsid w:val="002002A3"/>
    <w:rsid w:val="002002ED"/>
    <w:rsid w:val="00201964"/>
    <w:rsid w:val="00202189"/>
    <w:rsid w:val="00205152"/>
    <w:rsid w:val="0021314C"/>
    <w:rsid w:val="00217A87"/>
    <w:rsid w:val="00220CFF"/>
    <w:rsid w:val="0022704D"/>
    <w:rsid w:val="002342E3"/>
    <w:rsid w:val="00237728"/>
    <w:rsid w:val="00247180"/>
    <w:rsid w:val="00253C55"/>
    <w:rsid w:val="00256900"/>
    <w:rsid w:val="002577E5"/>
    <w:rsid w:val="00260E84"/>
    <w:rsid w:val="00261E39"/>
    <w:rsid w:val="00264EF0"/>
    <w:rsid w:val="00266CA6"/>
    <w:rsid w:val="00267196"/>
    <w:rsid w:val="00272685"/>
    <w:rsid w:val="002752C9"/>
    <w:rsid w:val="002814B3"/>
    <w:rsid w:val="00286A4D"/>
    <w:rsid w:val="002905B6"/>
    <w:rsid w:val="002912E8"/>
    <w:rsid w:val="002912EC"/>
    <w:rsid w:val="00291B84"/>
    <w:rsid w:val="00297D58"/>
    <w:rsid w:val="002A02BD"/>
    <w:rsid w:val="002B4571"/>
    <w:rsid w:val="002B5041"/>
    <w:rsid w:val="002B5BEB"/>
    <w:rsid w:val="002C140E"/>
    <w:rsid w:val="002C1719"/>
    <w:rsid w:val="002C5410"/>
    <w:rsid w:val="002C734D"/>
    <w:rsid w:val="002D7F8B"/>
    <w:rsid w:val="002E1FAF"/>
    <w:rsid w:val="002E27E9"/>
    <w:rsid w:val="002E2938"/>
    <w:rsid w:val="002E43FF"/>
    <w:rsid w:val="002F012B"/>
    <w:rsid w:val="002F4121"/>
    <w:rsid w:val="002F459A"/>
    <w:rsid w:val="002F51AB"/>
    <w:rsid w:val="002F5443"/>
    <w:rsid w:val="0030147C"/>
    <w:rsid w:val="00303590"/>
    <w:rsid w:val="00307E3C"/>
    <w:rsid w:val="00320F25"/>
    <w:rsid w:val="00321B83"/>
    <w:rsid w:val="003236EE"/>
    <w:rsid w:val="003305BB"/>
    <w:rsid w:val="00330F22"/>
    <w:rsid w:val="00333872"/>
    <w:rsid w:val="00343B88"/>
    <w:rsid w:val="0034621C"/>
    <w:rsid w:val="00347790"/>
    <w:rsid w:val="00357B31"/>
    <w:rsid w:val="003609B0"/>
    <w:rsid w:val="0036146C"/>
    <w:rsid w:val="00365670"/>
    <w:rsid w:val="0036747C"/>
    <w:rsid w:val="0037110A"/>
    <w:rsid w:val="00373715"/>
    <w:rsid w:val="0038076E"/>
    <w:rsid w:val="00380E0A"/>
    <w:rsid w:val="003857B1"/>
    <w:rsid w:val="00390AC6"/>
    <w:rsid w:val="00391042"/>
    <w:rsid w:val="003A239E"/>
    <w:rsid w:val="003A5FED"/>
    <w:rsid w:val="003C2B96"/>
    <w:rsid w:val="003C2C89"/>
    <w:rsid w:val="003D024D"/>
    <w:rsid w:val="003D1239"/>
    <w:rsid w:val="003D37AD"/>
    <w:rsid w:val="003E3B74"/>
    <w:rsid w:val="003E5D14"/>
    <w:rsid w:val="003E60C9"/>
    <w:rsid w:val="003F07BB"/>
    <w:rsid w:val="003F2CB8"/>
    <w:rsid w:val="003F356D"/>
    <w:rsid w:val="003F35E5"/>
    <w:rsid w:val="003F7518"/>
    <w:rsid w:val="00403552"/>
    <w:rsid w:val="0040519E"/>
    <w:rsid w:val="00405B6E"/>
    <w:rsid w:val="0042405B"/>
    <w:rsid w:val="00427CA6"/>
    <w:rsid w:val="00431A5C"/>
    <w:rsid w:val="0043307B"/>
    <w:rsid w:val="00435580"/>
    <w:rsid w:val="00440402"/>
    <w:rsid w:val="00442AD9"/>
    <w:rsid w:val="00443FC7"/>
    <w:rsid w:val="00456371"/>
    <w:rsid w:val="0046323F"/>
    <w:rsid w:val="00467855"/>
    <w:rsid w:val="0047714D"/>
    <w:rsid w:val="00495993"/>
    <w:rsid w:val="00496111"/>
    <w:rsid w:val="00496296"/>
    <w:rsid w:val="004967A8"/>
    <w:rsid w:val="0049725F"/>
    <w:rsid w:val="004A178A"/>
    <w:rsid w:val="004A20DC"/>
    <w:rsid w:val="004A2571"/>
    <w:rsid w:val="004B3949"/>
    <w:rsid w:val="004C0BEE"/>
    <w:rsid w:val="004C0EFF"/>
    <w:rsid w:val="004C5401"/>
    <w:rsid w:val="004C580D"/>
    <w:rsid w:val="004C6A91"/>
    <w:rsid w:val="004D27A4"/>
    <w:rsid w:val="004D2D78"/>
    <w:rsid w:val="004D3618"/>
    <w:rsid w:val="004D78BB"/>
    <w:rsid w:val="004E76F3"/>
    <w:rsid w:val="004F05A8"/>
    <w:rsid w:val="004F1C5C"/>
    <w:rsid w:val="004F463C"/>
    <w:rsid w:val="004F5C07"/>
    <w:rsid w:val="005005F5"/>
    <w:rsid w:val="005034A9"/>
    <w:rsid w:val="00503A46"/>
    <w:rsid w:val="00507CAF"/>
    <w:rsid w:val="00514FB9"/>
    <w:rsid w:val="0051779A"/>
    <w:rsid w:val="00520DA3"/>
    <w:rsid w:val="00522BE0"/>
    <w:rsid w:val="00526998"/>
    <w:rsid w:val="00527113"/>
    <w:rsid w:val="00527430"/>
    <w:rsid w:val="00542241"/>
    <w:rsid w:val="0056549B"/>
    <w:rsid w:val="00577839"/>
    <w:rsid w:val="00584462"/>
    <w:rsid w:val="00586047"/>
    <w:rsid w:val="00587DB9"/>
    <w:rsid w:val="00587E17"/>
    <w:rsid w:val="005932AE"/>
    <w:rsid w:val="0059470F"/>
    <w:rsid w:val="005A2E53"/>
    <w:rsid w:val="005A3E67"/>
    <w:rsid w:val="005B0C7E"/>
    <w:rsid w:val="005B1821"/>
    <w:rsid w:val="005B1F93"/>
    <w:rsid w:val="005B2183"/>
    <w:rsid w:val="005B51BE"/>
    <w:rsid w:val="005B75D7"/>
    <w:rsid w:val="005C3EB8"/>
    <w:rsid w:val="005C7A5E"/>
    <w:rsid w:val="005D0CAF"/>
    <w:rsid w:val="005D2C93"/>
    <w:rsid w:val="005D4F1E"/>
    <w:rsid w:val="005D710C"/>
    <w:rsid w:val="005E070B"/>
    <w:rsid w:val="005E1D12"/>
    <w:rsid w:val="005E536D"/>
    <w:rsid w:val="005E6E1D"/>
    <w:rsid w:val="005E78A0"/>
    <w:rsid w:val="0060080F"/>
    <w:rsid w:val="006072AB"/>
    <w:rsid w:val="00611528"/>
    <w:rsid w:val="006126C3"/>
    <w:rsid w:val="006130DF"/>
    <w:rsid w:val="006151F0"/>
    <w:rsid w:val="006214BA"/>
    <w:rsid w:val="006252C7"/>
    <w:rsid w:val="0063158B"/>
    <w:rsid w:val="00633429"/>
    <w:rsid w:val="006346FD"/>
    <w:rsid w:val="00637CE9"/>
    <w:rsid w:val="00641419"/>
    <w:rsid w:val="0064153B"/>
    <w:rsid w:val="0065068D"/>
    <w:rsid w:val="00650D6D"/>
    <w:rsid w:val="00652A3E"/>
    <w:rsid w:val="00654EC4"/>
    <w:rsid w:val="00655E4E"/>
    <w:rsid w:val="00660283"/>
    <w:rsid w:val="00661EEC"/>
    <w:rsid w:val="0066202B"/>
    <w:rsid w:val="00666D74"/>
    <w:rsid w:val="00673EE0"/>
    <w:rsid w:val="006761BE"/>
    <w:rsid w:val="0067780C"/>
    <w:rsid w:val="0068351D"/>
    <w:rsid w:val="00684681"/>
    <w:rsid w:val="00684939"/>
    <w:rsid w:val="00696156"/>
    <w:rsid w:val="006A6542"/>
    <w:rsid w:val="006B3F60"/>
    <w:rsid w:val="006C0D99"/>
    <w:rsid w:val="006C2632"/>
    <w:rsid w:val="006C4CD0"/>
    <w:rsid w:val="006C57B4"/>
    <w:rsid w:val="006D66AD"/>
    <w:rsid w:val="006E088D"/>
    <w:rsid w:val="006F4F35"/>
    <w:rsid w:val="006F56CE"/>
    <w:rsid w:val="006F6019"/>
    <w:rsid w:val="0070478E"/>
    <w:rsid w:val="00706C28"/>
    <w:rsid w:val="00714238"/>
    <w:rsid w:val="00721198"/>
    <w:rsid w:val="00723FA0"/>
    <w:rsid w:val="00735882"/>
    <w:rsid w:val="00735D08"/>
    <w:rsid w:val="007403EA"/>
    <w:rsid w:val="007408D1"/>
    <w:rsid w:val="00742E13"/>
    <w:rsid w:val="007513A1"/>
    <w:rsid w:val="00752DE3"/>
    <w:rsid w:val="007544F2"/>
    <w:rsid w:val="00754D6A"/>
    <w:rsid w:val="00755391"/>
    <w:rsid w:val="007566D1"/>
    <w:rsid w:val="00760B7E"/>
    <w:rsid w:val="00761989"/>
    <w:rsid w:val="007653A1"/>
    <w:rsid w:val="007679AD"/>
    <w:rsid w:val="00767BDC"/>
    <w:rsid w:val="00770687"/>
    <w:rsid w:val="00772059"/>
    <w:rsid w:val="00773C95"/>
    <w:rsid w:val="00776C55"/>
    <w:rsid w:val="00782324"/>
    <w:rsid w:val="00782E35"/>
    <w:rsid w:val="007830A8"/>
    <w:rsid w:val="00784137"/>
    <w:rsid w:val="0078472F"/>
    <w:rsid w:val="00792422"/>
    <w:rsid w:val="00792606"/>
    <w:rsid w:val="00792EBE"/>
    <w:rsid w:val="00793160"/>
    <w:rsid w:val="0079590A"/>
    <w:rsid w:val="00797AE9"/>
    <w:rsid w:val="007A05E7"/>
    <w:rsid w:val="007A6D84"/>
    <w:rsid w:val="007B3395"/>
    <w:rsid w:val="007C335E"/>
    <w:rsid w:val="007C6BDD"/>
    <w:rsid w:val="007C6C6B"/>
    <w:rsid w:val="007C6FA3"/>
    <w:rsid w:val="007D14AA"/>
    <w:rsid w:val="007D656B"/>
    <w:rsid w:val="007E2D6F"/>
    <w:rsid w:val="007E59AC"/>
    <w:rsid w:val="007E7510"/>
    <w:rsid w:val="007F43B2"/>
    <w:rsid w:val="007F53C3"/>
    <w:rsid w:val="007F5DC6"/>
    <w:rsid w:val="007F6750"/>
    <w:rsid w:val="00804BE7"/>
    <w:rsid w:val="0080685A"/>
    <w:rsid w:val="0080778C"/>
    <w:rsid w:val="00807C93"/>
    <w:rsid w:val="008163D5"/>
    <w:rsid w:val="00821E7A"/>
    <w:rsid w:val="008242B5"/>
    <w:rsid w:val="00825A0D"/>
    <w:rsid w:val="0082760E"/>
    <w:rsid w:val="00840954"/>
    <w:rsid w:val="00841674"/>
    <w:rsid w:val="008471F4"/>
    <w:rsid w:val="00867FD0"/>
    <w:rsid w:val="00874BA9"/>
    <w:rsid w:val="0088025B"/>
    <w:rsid w:val="00881AE8"/>
    <w:rsid w:val="00885AB3"/>
    <w:rsid w:val="00887361"/>
    <w:rsid w:val="00896321"/>
    <w:rsid w:val="00897F8C"/>
    <w:rsid w:val="008A37ED"/>
    <w:rsid w:val="008A6067"/>
    <w:rsid w:val="008C0E14"/>
    <w:rsid w:val="008C6301"/>
    <w:rsid w:val="008D08D5"/>
    <w:rsid w:val="008D2D0A"/>
    <w:rsid w:val="008E2E73"/>
    <w:rsid w:val="008E647A"/>
    <w:rsid w:val="008E66BB"/>
    <w:rsid w:val="008E6CDA"/>
    <w:rsid w:val="008F06C3"/>
    <w:rsid w:val="008F1E13"/>
    <w:rsid w:val="008F4461"/>
    <w:rsid w:val="008F4D7D"/>
    <w:rsid w:val="008F7444"/>
    <w:rsid w:val="009077FA"/>
    <w:rsid w:val="00907B6D"/>
    <w:rsid w:val="00921097"/>
    <w:rsid w:val="00927C80"/>
    <w:rsid w:val="00933260"/>
    <w:rsid w:val="00933977"/>
    <w:rsid w:val="00933AE3"/>
    <w:rsid w:val="009409C8"/>
    <w:rsid w:val="00953AE0"/>
    <w:rsid w:val="009548E2"/>
    <w:rsid w:val="00960ABB"/>
    <w:rsid w:val="009630CA"/>
    <w:rsid w:val="009647A4"/>
    <w:rsid w:val="00971893"/>
    <w:rsid w:val="00972DEB"/>
    <w:rsid w:val="00975E58"/>
    <w:rsid w:val="00984022"/>
    <w:rsid w:val="00984A95"/>
    <w:rsid w:val="009865D9"/>
    <w:rsid w:val="009917F9"/>
    <w:rsid w:val="00992FBC"/>
    <w:rsid w:val="00993B43"/>
    <w:rsid w:val="00995722"/>
    <w:rsid w:val="0099788C"/>
    <w:rsid w:val="009A29C8"/>
    <w:rsid w:val="009A39DA"/>
    <w:rsid w:val="009B2D51"/>
    <w:rsid w:val="009B5A9D"/>
    <w:rsid w:val="009C4A88"/>
    <w:rsid w:val="009C62C4"/>
    <w:rsid w:val="009C7F3F"/>
    <w:rsid w:val="009D3E78"/>
    <w:rsid w:val="009D479B"/>
    <w:rsid w:val="009D54E1"/>
    <w:rsid w:val="009E286A"/>
    <w:rsid w:val="009E2BA6"/>
    <w:rsid w:val="009F5A76"/>
    <w:rsid w:val="00A02618"/>
    <w:rsid w:val="00A07073"/>
    <w:rsid w:val="00A26293"/>
    <w:rsid w:val="00A326F7"/>
    <w:rsid w:val="00A33B62"/>
    <w:rsid w:val="00A40C4E"/>
    <w:rsid w:val="00A451EC"/>
    <w:rsid w:val="00A52043"/>
    <w:rsid w:val="00A53F04"/>
    <w:rsid w:val="00A544BE"/>
    <w:rsid w:val="00A564D2"/>
    <w:rsid w:val="00A66F68"/>
    <w:rsid w:val="00A70FAC"/>
    <w:rsid w:val="00A74C39"/>
    <w:rsid w:val="00A777CE"/>
    <w:rsid w:val="00A8002A"/>
    <w:rsid w:val="00A80273"/>
    <w:rsid w:val="00A80BCF"/>
    <w:rsid w:val="00A923D2"/>
    <w:rsid w:val="00A93298"/>
    <w:rsid w:val="00A95FEF"/>
    <w:rsid w:val="00AA09D0"/>
    <w:rsid w:val="00AB1F77"/>
    <w:rsid w:val="00AB2EF8"/>
    <w:rsid w:val="00AB3947"/>
    <w:rsid w:val="00AB5C06"/>
    <w:rsid w:val="00AB7449"/>
    <w:rsid w:val="00AC103E"/>
    <w:rsid w:val="00AC45F6"/>
    <w:rsid w:val="00AC4A5F"/>
    <w:rsid w:val="00AC6FC3"/>
    <w:rsid w:val="00AC73D1"/>
    <w:rsid w:val="00AD1814"/>
    <w:rsid w:val="00AD44C2"/>
    <w:rsid w:val="00AD4FB6"/>
    <w:rsid w:val="00AE2857"/>
    <w:rsid w:val="00AE5B44"/>
    <w:rsid w:val="00AF0069"/>
    <w:rsid w:val="00AF06B6"/>
    <w:rsid w:val="00AF63AC"/>
    <w:rsid w:val="00AF7FD2"/>
    <w:rsid w:val="00B00B68"/>
    <w:rsid w:val="00B0216F"/>
    <w:rsid w:val="00B0413F"/>
    <w:rsid w:val="00B068A9"/>
    <w:rsid w:val="00B06A95"/>
    <w:rsid w:val="00B07EFC"/>
    <w:rsid w:val="00B07F06"/>
    <w:rsid w:val="00B12B06"/>
    <w:rsid w:val="00B14FCE"/>
    <w:rsid w:val="00B151F3"/>
    <w:rsid w:val="00B203A6"/>
    <w:rsid w:val="00B20512"/>
    <w:rsid w:val="00B20581"/>
    <w:rsid w:val="00B21FC1"/>
    <w:rsid w:val="00B2216E"/>
    <w:rsid w:val="00B23B0C"/>
    <w:rsid w:val="00B259D1"/>
    <w:rsid w:val="00B31A1E"/>
    <w:rsid w:val="00B34446"/>
    <w:rsid w:val="00B407D2"/>
    <w:rsid w:val="00B410D0"/>
    <w:rsid w:val="00B50F6C"/>
    <w:rsid w:val="00B53BF5"/>
    <w:rsid w:val="00B56F69"/>
    <w:rsid w:val="00B637DC"/>
    <w:rsid w:val="00B67164"/>
    <w:rsid w:val="00B67866"/>
    <w:rsid w:val="00B709D8"/>
    <w:rsid w:val="00B71334"/>
    <w:rsid w:val="00B732E0"/>
    <w:rsid w:val="00B85E51"/>
    <w:rsid w:val="00B920D1"/>
    <w:rsid w:val="00B9791F"/>
    <w:rsid w:val="00BA5C6D"/>
    <w:rsid w:val="00BB15CB"/>
    <w:rsid w:val="00BB5FB8"/>
    <w:rsid w:val="00BB7F0D"/>
    <w:rsid w:val="00BC5B1E"/>
    <w:rsid w:val="00BC72E3"/>
    <w:rsid w:val="00BD11AC"/>
    <w:rsid w:val="00BD2CC0"/>
    <w:rsid w:val="00BD4EFC"/>
    <w:rsid w:val="00BD6E47"/>
    <w:rsid w:val="00BF059C"/>
    <w:rsid w:val="00BF64D5"/>
    <w:rsid w:val="00C059F9"/>
    <w:rsid w:val="00C11FF0"/>
    <w:rsid w:val="00C16BC5"/>
    <w:rsid w:val="00C21C03"/>
    <w:rsid w:val="00C22FF6"/>
    <w:rsid w:val="00C2540F"/>
    <w:rsid w:val="00C335D8"/>
    <w:rsid w:val="00C33D72"/>
    <w:rsid w:val="00C364F5"/>
    <w:rsid w:val="00C408BA"/>
    <w:rsid w:val="00C45188"/>
    <w:rsid w:val="00C53C83"/>
    <w:rsid w:val="00C54A06"/>
    <w:rsid w:val="00C6135B"/>
    <w:rsid w:val="00C6387F"/>
    <w:rsid w:val="00C71191"/>
    <w:rsid w:val="00C72E4B"/>
    <w:rsid w:val="00C735F1"/>
    <w:rsid w:val="00C81119"/>
    <w:rsid w:val="00C83115"/>
    <w:rsid w:val="00C911A7"/>
    <w:rsid w:val="00C953F6"/>
    <w:rsid w:val="00C967B4"/>
    <w:rsid w:val="00CA3A83"/>
    <w:rsid w:val="00CA3BFB"/>
    <w:rsid w:val="00CB36B1"/>
    <w:rsid w:val="00CB58E5"/>
    <w:rsid w:val="00CC2FF7"/>
    <w:rsid w:val="00CC5979"/>
    <w:rsid w:val="00CC6FF8"/>
    <w:rsid w:val="00CD27C8"/>
    <w:rsid w:val="00CD6048"/>
    <w:rsid w:val="00CD6462"/>
    <w:rsid w:val="00CE0184"/>
    <w:rsid w:val="00CE086A"/>
    <w:rsid w:val="00CE5470"/>
    <w:rsid w:val="00CF3711"/>
    <w:rsid w:val="00CF39D0"/>
    <w:rsid w:val="00CF7596"/>
    <w:rsid w:val="00D007B0"/>
    <w:rsid w:val="00D00E4A"/>
    <w:rsid w:val="00D04981"/>
    <w:rsid w:val="00D04A5C"/>
    <w:rsid w:val="00D04C7F"/>
    <w:rsid w:val="00D11B72"/>
    <w:rsid w:val="00D216C7"/>
    <w:rsid w:val="00D22C20"/>
    <w:rsid w:val="00D24261"/>
    <w:rsid w:val="00D266FA"/>
    <w:rsid w:val="00D320C6"/>
    <w:rsid w:val="00D32C19"/>
    <w:rsid w:val="00D33E1B"/>
    <w:rsid w:val="00D33E2A"/>
    <w:rsid w:val="00D35DD0"/>
    <w:rsid w:val="00D4336C"/>
    <w:rsid w:val="00D476CE"/>
    <w:rsid w:val="00D51B68"/>
    <w:rsid w:val="00D537F1"/>
    <w:rsid w:val="00D55CCE"/>
    <w:rsid w:val="00D56A63"/>
    <w:rsid w:val="00D62912"/>
    <w:rsid w:val="00D65FF3"/>
    <w:rsid w:val="00D66491"/>
    <w:rsid w:val="00D72DD1"/>
    <w:rsid w:val="00D74C1B"/>
    <w:rsid w:val="00D83496"/>
    <w:rsid w:val="00D83BDB"/>
    <w:rsid w:val="00D91005"/>
    <w:rsid w:val="00D93906"/>
    <w:rsid w:val="00D96B46"/>
    <w:rsid w:val="00DA2DAD"/>
    <w:rsid w:val="00DA4677"/>
    <w:rsid w:val="00DA69A5"/>
    <w:rsid w:val="00DB10F5"/>
    <w:rsid w:val="00DB17CC"/>
    <w:rsid w:val="00DB1C17"/>
    <w:rsid w:val="00DB3779"/>
    <w:rsid w:val="00DB7C25"/>
    <w:rsid w:val="00DC680E"/>
    <w:rsid w:val="00DC7BF2"/>
    <w:rsid w:val="00DD0388"/>
    <w:rsid w:val="00DD142A"/>
    <w:rsid w:val="00DD2E90"/>
    <w:rsid w:val="00DD4000"/>
    <w:rsid w:val="00DD5DB5"/>
    <w:rsid w:val="00DD7488"/>
    <w:rsid w:val="00DE5369"/>
    <w:rsid w:val="00DF197B"/>
    <w:rsid w:val="00DF2133"/>
    <w:rsid w:val="00DF2465"/>
    <w:rsid w:val="00DF6B01"/>
    <w:rsid w:val="00E006BF"/>
    <w:rsid w:val="00E11791"/>
    <w:rsid w:val="00E1265F"/>
    <w:rsid w:val="00E13F3D"/>
    <w:rsid w:val="00E1414C"/>
    <w:rsid w:val="00E15129"/>
    <w:rsid w:val="00E161D8"/>
    <w:rsid w:val="00E174CC"/>
    <w:rsid w:val="00E17933"/>
    <w:rsid w:val="00E2252E"/>
    <w:rsid w:val="00E22F4E"/>
    <w:rsid w:val="00E27FCA"/>
    <w:rsid w:val="00E30007"/>
    <w:rsid w:val="00E553CB"/>
    <w:rsid w:val="00E55C61"/>
    <w:rsid w:val="00E55D33"/>
    <w:rsid w:val="00E62CA9"/>
    <w:rsid w:val="00E65DF4"/>
    <w:rsid w:val="00E66FA2"/>
    <w:rsid w:val="00E82AE9"/>
    <w:rsid w:val="00E84035"/>
    <w:rsid w:val="00E84F49"/>
    <w:rsid w:val="00E93105"/>
    <w:rsid w:val="00E93187"/>
    <w:rsid w:val="00E95F1B"/>
    <w:rsid w:val="00E9786E"/>
    <w:rsid w:val="00EA27BC"/>
    <w:rsid w:val="00EA4584"/>
    <w:rsid w:val="00EB236D"/>
    <w:rsid w:val="00EB45EB"/>
    <w:rsid w:val="00EC574D"/>
    <w:rsid w:val="00ED6FE9"/>
    <w:rsid w:val="00ED7E0E"/>
    <w:rsid w:val="00EE0FF5"/>
    <w:rsid w:val="00EE20D7"/>
    <w:rsid w:val="00EE644C"/>
    <w:rsid w:val="00F12152"/>
    <w:rsid w:val="00F1217C"/>
    <w:rsid w:val="00F13276"/>
    <w:rsid w:val="00F14945"/>
    <w:rsid w:val="00F153D7"/>
    <w:rsid w:val="00F167D6"/>
    <w:rsid w:val="00F1776B"/>
    <w:rsid w:val="00F220F9"/>
    <w:rsid w:val="00F227A3"/>
    <w:rsid w:val="00F276B9"/>
    <w:rsid w:val="00F41A27"/>
    <w:rsid w:val="00F41F59"/>
    <w:rsid w:val="00F45E03"/>
    <w:rsid w:val="00F527DE"/>
    <w:rsid w:val="00F54282"/>
    <w:rsid w:val="00F5445E"/>
    <w:rsid w:val="00F54C13"/>
    <w:rsid w:val="00F55B62"/>
    <w:rsid w:val="00F55CEF"/>
    <w:rsid w:val="00F56885"/>
    <w:rsid w:val="00F56DED"/>
    <w:rsid w:val="00F61326"/>
    <w:rsid w:val="00F63A2F"/>
    <w:rsid w:val="00F67526"/>
    <w:rsid w:val="00F70712"/>
    <w:rsid w:val="00F73E13"/>
    <w:rsid w:val="00F77890"/>
    <w:rsid w:val="00F77C4F"/>
    <w:rsid w:val="00F83031"/>
    <w:rsid w:val="00F86B5B"/>
    <w:rsid w:val="00F93ADC"/>
    <w:rsid w:val="00F97CEE"/>
    <w:rsid w:val="00FA265F"/>
    <w:rsid w:val="00FA5771"/>
    <w:rsid w:val="00FA66E8"/>
    <w:rsid w:val="00FB1F8F"/>
    <w:rsid w:val="00FB57CD"/>
    <w:rsid w:val="00FB7CFA"/>
    <w:rsid w:val="00FC6EDC"/>
    <w:rsid w:val="00FC72A6"/>
    <w:rsid w:val="00FD0EBC"/>
    <w:rsid w:val="00FD4881"/>
    <w:rsid w:val="00FD7E4E"/>
    <w:rsid w:val="00FE6786"/>
    <w:rsid w:val="00FF1F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AFC28D"/>
  <w15:chartTrackingRefBased/>
  <w15:docId w15:val="{C4B34308-3086-4E4E-97D8-15D2BC39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0C01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E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FF623C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F06C3"/>
    <w:rPr>
      <w:sz w:val="16"/>
      <w:szCs w:val="16"/>
    </w:rPr>
  </w:style>
  <w:style w:type="paragraph" w:styleId="Komentarotekstas">
    <w:name w:val="annotation text"/>
    <w:basedOn w:val="prastasis"/>
    <w:semiHidden/>
    <w:rsid w:val="008F06C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8F06C3"/>
    <w:rPr>
      <w:b/>
      <w:bCs/>
    </w:rPr>
  </w:style>
  <w:style w:type="character" w:styleId="Grietas">
    <w:name w:val="Strong"/>
    <w:qFormat/>
    <w:rsid w:val="004F5C07"/>
    <w:rPr>
      <w:b/>
      <w:bCs/>
    </w:rPr>
  </w:style>
  <w:style w:type="paragraph" w:styleId="Pagrindinistekstas">
    <w:name w:val="Body Text"/>
    <w:basedOn w:val="prastasis"/>
    <w:rsid w:val="0051779A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51779A"/>
    <w:pPr>
      <w:tabs>
        <w:tab w:val="center" w:pos="4153"/>
        <w:tab w:val="right" w:pos="8306"/>
      </w:tabs>
    </w:pPr>
    <w:rPr>
      <w:lang w:val="en-GB" w:eastAsia="en-US"/>
    </w:rPr>
  </w:style>
  <w:style w:type="paragraph" w:styleId="Pagrindinistekstas2">
    <w:name w:val="Body Text 2"/>
    <w:basedOn w:val="prastasis"/>
    <w:rsid w:val="0051779A"/>
    <w:pPr>
      <w:jc w:val="center"/>
    </w:pPr>
    <w:rPr>
      <w:rFonts w:ascii="Times New Roman Bold" w:hAnsi="Times New Roman Bold"/>
      <w:b/>
      <w:caps/>
      <w:sz w:val="28"/>
      <w:szCs w:val="28"/>
      <w:lang w:eastAsia="en-US"/>
    </w:rPr>
  </w:style>
  <w:style w:type="character" w:styleId="Hipersaitas">
    <w:name w:val="Hyperlink"/>
    <w:rsid w:val="0051779A"/>
    <w:rPr>
      <w:color w:val="0000CC"/>
      <w:u w:val="single"/>
    </w:rPr>
  </w:style>
  <w:style w:type="character" w:customStyle="1" w:styleId="apple-style-span">
    <w:name w:val="apple-style-span"/>
    <w:basedOn w:val="Numatytasispastraiposriftas"/>
    <w:rsid w:val="0051779A"/>
  </w:style>
  <w:style w:type="character" w:styleId="Emfaz">
    <w:name w:val="Emphasis"/>
    <w:qFormat/>
    <w:rsid w:val="005E78A0"/>
    <w:rPr>
      <w:i/>
      <w:iCs/>
    </w:rPr>
  </w:style>
  <w:style w:type="character" w:customStyle="1" w:styleId="spelle">
    <w:name w:val="spelle"/>
    <w:basedOn w:val="Numatytasispastraiposriftas"/>
    <w:rsid w:val="00776C55"/>
  </w:style>
  <w:style w:type="paragraph" w:customStyle="1" w:styleId="DiagramaDiagrama1CharCharDiagramaDiagrama">
    <w:name w:val="Diagrama Diagrama1 Char Char Diagrama Diagrama"/>
    <w:basedOn w:val="prastasis"/>
    <w:rsid w:val="00867F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rsid w:val="0066202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6202B"/>
  </w:style>
  <w:style w:type="paragraph" w:customStyle="1" w:styleId="bodytext">
    <w:name w:val="bodytext"/>
    <w:basedOn w:val="prastasis"/>
    <w:rsid w:val="00AB7449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rsid w:val="003F35E5"/>
    <w:rPr>
      <w:sz w:val="24"/>
      <w:szCs w:val="24"/>
      <w:lang w:val="en-GB" w:eastAsia="en-US"/>
    </w:rPr>
  </w:style>
  <w:style w:type="character" w:customStyle="1" w:styleId="Antrat1Diagrama">
    <w:name w:val="Antraštė 1 Diagrama"/>
    <w:link w:val="Antrat1"/>
    <w:uiPriority w:val="9"/>
    <w:rsid w:val="000C01CB"/>
    <w:rPr>
      <w:b/>
      <w:bCs/>
      <w:kern w:val="36"/>
      <w:sz w:val="48"/>
      <w:szCs w:val="48"/>
    </w:rPr>
  </w:style>
  <w:style w:type="paragraph" w:styleId="Pataisymai">
    <w:name w:val="Revision"/>
    <w:hidden/>
    <w:uiPriority w:val="99"/>
    <w:semiHidden/>
    <w:rsid w:val="003E3B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0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laipedos-r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talija.kazlauskiene@klaipedos-r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talija.kazlauskiene@klaipedos-r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5E54-C06F-49DA-89CB-4B06B470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905</Words>
  <Characters>7100</Characters>
  <Application>Microsoft Office Word</Application>
  <DocSecurity>0</DocSecurity>
  <Lines>59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ES STRUKTŪRINĖS IR KITŲ PARAMOS MECHANIZMŲ FINANSUOJAMŲ PROJEKTŲ ĮGYVENDINIMO 2010 METAIS</vt:lpstr>
      <vt:lpstr>DĖL ES STRUKTŪRINĖS IR KITŲ PARAMOS MECHANIZMŲ FINANSUOJAMŲ PROJEKTŲ ĮGYVENDINIMO 2010 METAIS</vt:lpstr>
    </vt:vector>
  </TitlesOfParts>
  <Company>Hewlett-Packard Company</Company>
  <LinksUpToDate>false</LinksUpToDate>
  <CharactersWithSpaces>7990</CharactersWithSpaces>
  <SharedDoc>false</SharedDoc>
  <HLinks>
    <vt:vector size="18" baseType="variant">
      <vt:variant>
        <vt:i4>2621442</vt:i4>
      </vt:variant>
      <vt:variant>
        <vt:i4>6</vt:i4>
      </vt:variant>
      <vt:variant>
        <vt:i4>0</vt:i4>
      </vt:variant>
      <vt:variant>
        <vt:i4>5</vt:i4>
      </vt:variant>
      <vt:variant>
        <vt:lpwstr>mailto:vitalija.kazlauskiene@klaipedos-r.lt</vt:lpwstr>
      </vt:variant>
      <vt:variant>
        <vt:lpwstr/>
      </vt:variant>
      <vt:variant>
        <vt:i4>2621442</vt:i4>
      </vt:variant>
      <vt:variant>
        <vt:i4>3</vt:i4>
      </vt:variant>
      <vt:variant>
        <vt:i4>0</vt:i4>
      </vt:variant>
      <vt:variant>
        <vt:i4>5</vt:i4>
      </vt:variant>
      <vt:variant>
        <vt:lpwstr>mailto:vitalija.kazlauskiene@klaipedos-r.lt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ES STRUKTŪRINĖS IR KITŲ PARAMOS MECHANIZMŲ FINANSUOJAMŲ PROJEKTŲ ĮGYVENDINIMO 2010 METAIS</dc:title>
  <dc:subject/>
  <dc:creator>Vartotojas</dc:creator>
  <cp:keywords/>
  <cp:lastModifiedBy>Vitalija Kazlauskienė</cp:lastModifiedBy>
  <cp:revision>11</cp:revision>
  <cp:lastPrinted>2021-01-14T16:45:00Z</cp:lastPrinted>
  <dcterms:created xsi:type="dcterms:W3CDTF">2023-03-01T12:48:00Z</dcterms:created>
  <dcterms:modified xsi:type="dcterms:W3CDTF">2023-05-04T13:56:00Z</dcterms:modified>
</cp:coreProperties>
</file>