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6D36D" w14:textId="77777777" w:rsidR="00136AB4" w:rsidRPr="00957548" w:rsidRDefault="00136AB4" w:rsidP="00E520D1">
      <w:pPr>
        <w:jc w:val="center"/>
        <w:rPr>
          <w:b/>
          <w:lang w:val="en-US"/>
        </w:rPr>
      </w:pPr>
    </w:p>
    <w:p w14:paraId="7C69BBAF" w14:textId="77777777" w:rsidR="00136AB4" w:rsidRDefault="00136AB4" w:rsidP="00E520D1">
      <w:pPr>
        <w:jc w:val="center"/>
        <w:rPr>
          <w:b/>
        </w:rPr>
      </w:pPr>
    </w:p>
    <w:p w14:paraId="7F522686" w14:textId="77777777" w:rsidR="00E520D1" w:rsidRPr="00EA73AC"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p>
    <w:p w14:paraId="0D9CEFEC" w14:textId="77777777" w:rsidR="00E520D1" w:rsidRDefault="00E520D1" w:rsidP="00E520D1">
      <w:pPr>
        <w:rPr>
          <w:sz w:val="22"/>
          <w:szCs w:val="22"/>
        </w:rPr>
      </w:pPr>
    </w:p>
    <w:p w14:paraId="58ACF358" w14:textId="77777777" w:rsidR="000B10FF" w:rsidRDefault="000B10FF" w:rsidP="000B10FF">
      <w:pPr>
        <w:jc w:val="center"/>
        <w:rPr>
          <w:b/>
        </w:rPr>
      </w:pPr>
    </w:p>
    <w:p w14:paraId="7E006329" w14:textId="77777777" w:rsidR="000B10FF" w:rsidRPr="00EA73AC" w:rsidRDefault="000B10FF" w:rsidP="000B10FF">
      <w:pPr>
        <w:jc w:val="center"/>
        <w:rPr>
          <w:b/>
        </w:rPr>
      </w:pPr>
      <w:r>
        <w:rPr>
          <w:b/>
        </w:rPr>
        <w:t xml:space="preserve">I. </w:t>
      </w:r>
      <w:r w:rsidRPr="00EA73AC">
        <w:rPr>
          <w:b/>
        </w:rPr>
        <w:t>SPECIALIOJI DALIS</w:t>
      </w:r>
    </w:p>
    <w:p w14:paraId="6FE9272F" w14:textId="77777777" w:rsidR="00E520D1" w:rsidRPr="00EA73AC" w:rsidRDefault="00E520D1" w:rsidP="00E520D1">
      <w:pPr>
        <w:jc w:val="both"/>
        <w:rPr>
          <w:b/>
          <w:sz w:val="22"/>
          <w:szCs w:val="22"/>
        </w:rPr>
      </w:pPr>
    </w:p>
    <w:p w14:paraId="42821F0C" w14:textId="77777777" w:rsidR="00126C25" w:rsidRDefault="000A79DA" w:rsidP="00A96934">
      <w:pPr>
        <w:ind w:firstLine="720"/>
        <w:jc w:val="both"/>
      </w:pPr>
      <w:r w:rsidRPr="001F7CAC">
        <w:rPr>
          <w:b/>
        </w:rPr>
        <w:t>Gynybos resursų agentūra prie Krašto apsaugos ministerijos</w:t>
      </w:r>
      <w:r w:rsidRPr="001F7CAC">
        <w:t xml:space="preserve"> (toliau – GRA), atstovaujama GRA direktoriaus Sigito </w:t>
      </w:r>
      <w:proofErr w:type="spellStart"/>
      <w:r w:rsidRPr="001F7CAC">
        <w:t>Dzekunsko</w:t>
      </w:r>
      <w:proofErr w:type="spellEnd"/>
      <w:r w:rsidRPr="001F7CAC">
        <w:t xml:space="preserve">, veikiančio pagal GRA nuostatus (toliau – </w:t>
      </w:r>
      <w:r w:rsidRPr="001F7CAC">
        <w:rPr>
          <w:b/>
        </w:rPr>
        <w:t>Pirkėjas</w:t>
      </w:r>
      <w:r w:rsidRPr="001F7CAC">
        <w:t xml:space="preserve">), ir </w:t>
      </w:r>
      <w:r w:rsidR="00235C0F" w:rsidRPr="001F7CAC">
        <w:t xml:space="preserve">jungtinės veiklos partneriai </w:t>
      </w:r>
      <w:r w:rsidRPr="001F7CAC">
        <w:rPr>
          <w:b/>
        </w:rPr>
        <w:t>OÜ SPORRONG EESTI</w:t>
      </w:r>
      <w:r w:rsidR="00235C0F" w:rsidRPr="001F7CAC">
        <w:rPr>
          <w:b/>
        </w:rPr>
        <w:t xml:space="preserve"> ir UAB „Ūlos juvelyrų studija“</w:t>
      </w:r>
      <w:r w:rsidR="00235C0F" w:rsidRPr="001F7CAC">
        <w:t xml:space="preserve"> (toliau – </w:t>
      </w:r>
      <w:r w:rsidR="00235C0F" w:rsidRPr="001F7CAC">
        <w:rPr>
          <w:b/>
        </w:rPr>
        <w:t>Pardavėjas</w:t>
      </w:r>
      <w:r w:rsidR="00235C0F" w:rsidRPr="001F7CAC">
        <w:t>)</w:t>
      </w:r>
      <w:r w:rsidRPr="001F7CAC">
        <w:t>, atstovaujam</w:t>
      </w:r>
      <w:r w:rsidR="00235C0F" w:rsidRPr="001F7CAC">
        <w:t>i</w:t>
      </w:r>
      <w:r w:rsidRPr="001F7CAC">
        <w:t xml:space="preserve"> </w:t>
      </w:r>
      <w:r w:rsidR="00235C0F" w:rsidRPr="001F7CAC">
        <w:rPr>
          <w:b/>
        </w:rPr>
        <w:t xml:space="preserve">OÜ SPORRONG EESTI </w:t>
      </w:r>
      <w:r w:rsidRPr="001F7CAC">
        <w:t>pardavimų vadovo</w:t>
      </w:r>
    </w:p>
    <w:p w14:paraId="5E9129B0" w14:textId="14EDEB39" w:rsidR="000A79DA" w:rsidRPr="00844789" w:rsidRDefault="00FD752A" w:rsidP="00A96934">
      <w:pPr>
        <w:ind w:firstLine="720"/>
        <w:jc w:val="both"/>
        <w:rPr>
          <w:color w:val="000000"/>
        </w:rPr>
      </w:pPr>
      <w:r w:rsidRPr="001F7CAC">
        <w:rPr>
          <w:color w:val="000000"/>
        </w:rPr>
        <w:t>, toliau kartu</w:t>
      </w:r>
      <w:r>
        <w:rPr>
          <w:color w:val="000000"/>
        </w:rPr>
        <w:t xml:space="preserve"> šioje prekių</w:t>
      </w:r>
      <w:r w:rsidR="000A79DA" w:rsidRPr="00844789">
        <w:rPr>
          <w:color w:val="000000"/>
        </w:rPr>
        <w:t xml:space="preserve"> viešojo pirkimo-pardavimo sutartyje vadinami „Šalimis“, o kiekvienas atskirai – „Šalimi“, vadovaudamosi Lietuvos Respublikos viešųjų pirkimų įstatymu</w:t>
      </w:r>
      <w:r w:rsidR="000A79DA" w:rsidRPr="00844789">
        <w:rPr>
          <w:i/>
          <w:color w:val="000000"/>
        </w:rPr>
        <w:t xml:space="preserve"> </w:t>
      </w:r>
      <w:r w:rsidR="000A79DA" w:rsidRPr="00844789">
        <w:rPr>
          <w:color w:val="000000"/>
        </w:rPr>
        <w:t>(toliau –</w:t>
      </w:r>
      <w:r w:rsidR="000A79DA">
        <w:rPr>
          <w:color w:val="000000"/>
        </w:rPr>
        <w:t xml:space="preserve"> VPĮ</w:t>
      </w:r>
      <w:r w:rsidR="000A79DA" w:rsidRPr="00844789">
        <w:rPr>
          <w:color w:val="000000"/>
        </w:rPr>
        <w:t>)</w:t>
      </w:r>
      <w:r w:rsidR="000A79DA">
        <w:rPr>
          <w:color w:val="000000"/>
        </w:rPr>
        <w:t xml:space="preserve">, 2023 m. gegužės 6 d. Centrinėje viešųjų pirkimų informacinėje sistemoje (toliau – CVP IS) paskelbtomis viešojo pirkimo „Aksesuarai ir įvairūs metaliniai, tekstiliniai gaminiai“ (Pirkimo Nr. 667868) </w:t>
      </w:r>
      <w:r w:rsidR="000A79DA" w:rsidRPr="00844789">
        <w:t xml:space="preserve">ir atsižvelgdamos į tai, kad </w:t>
      </w:r>
      <w:r w:rsidR="000A79DA" w:rsidRPr="00844789">
        <w:rPr>
          <w:b/>
        </w:rPr>
        <w:t xml:space="preserve">Pirkėjui </w:t>
      </w:r>
      <w:r w:rsidR="000A79DA" w:rsidRPr="00844789">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0A79DA" w:rsidRPr="00844789">
        <w:rPr>
          <w:color w:val="000000"/>
        </w:rPr>
        <w:t xml:space="preserve"> sudarė šią paslaugų viešojo pirkimo-pardavimo sutartį, toliau vadinamą „Sutartimi“, ir susitarė dėl toliau išvardintų sąlygų.</w:t>
      </w:r>
    </w:p>
    <w:p w14:paraId="01F92945" w14:textId="77777777" w:rsidR="00136AB4" w:rsidRDefault="00136AB4" w:rsidP="0051758C"/>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970"/>
        <w:gridCol w:w="3237"/>
      </w:tblGrid>
      <w:tr w:rsidR="0051758C" w14:paraId="09B24764" w14:textId="77777777" w:rsidTr="00BB0FDA">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EB0F7DC" w14:textId="77777777" w:rsidR="0051758C" w:rsidRPr="00EB4422" w:rsidRDefault="0051758C">
            <w:pPr>
              <w:jc w:val="both"/>
              <w:rPr>
                <w:b/>
              </w:rPr>
            </w:pPr>
            <w:r w:rsidRPr="00EB4422">
              <w:rPr>
                <w:b/>
              </w:rPr>
              <w:t>1. Sutarties objektas.</w:t>
            </w:r>
          </w:p>
          <w:p w14:paraId="76218AD0" w14:textId="74BEFB2B" w:rsidR="005B2AD1" w:rsidRDefault="005B2AD1" w:rsidP="00C12E8D">
            <w:pPr>
              <w:jc w:val="both"/>
            </w:pPr>
            <w:r w:rsidRPr="00EB4422">
              <w:t xml:space="preserve">1.1. </w:t>
            </w:r>
            <w:r w:rsidRPr="005B2AD1">
              <w:rPr>
                <w:b/>
              </w:rPr>
              <w:t>Pardavėjas</w:t>
            </w:r>
            <w:r w:rsidRPr="00EB4422">
              <w:t xml:space="preserve"> įsipareigoja </w:t>
            </w:r>
            <w:r w:rsidR="00BB0FDA" w:rsidRPr="00A37A44">
              <w:rPr>
                <w:rFonts w:eastAsia="Calibri"/>
                <w:b/>
                <w:bCs/>
              </w:rPr>
              <w:t>Pirkėjui</w:t>
            </w:r>
            <w:r w:rsidR="00BB0FDA" w:rsidRPr="00EB4422">
              <w:t xml:space="preserve"> </w:t>
            </w:r>
            <w:r w:rsidRPr="00EB4422">
              <w:t>parduoti ir pristatyti</w:t>
            </w:r>
            <w:r>
              <w:t xml:space="preserve"> </w:t>
            </w:r>
            <w:proofErr w:type="spellStart"/>
            <w:r w:rsidR="00C12E8D">
              <w:rPr>
                <w:rFonts w:eastAsia="Calibri"/>
                <w:b/>
                <w:lang w:eastAsia="en-US"/>
              </w:rPr>
              <w:t>ak</w:t>
            </w:r>
            <w:r w:rsidR="00AF4706">
              <w:rPr>
                <w:rFonts w:eastAsia="Calibri"/>
                <w:b/>
                <w:lang w:eastAsia="en-US"/>
              </w:rPr>
              <w:t>s</w:t>
            </w:r>
            <w:r w:rsidR="00C12E8D">
              <w:rPr>
                <w:rFonts w:eastAsia="Calibri"/>
                <w:b/>
                <w:lang w:eastAsia="en-US"/>
              </w:rPr>
              <w:t>elbantus</w:t>
            </w:r>
            <w:proofErr w:type="spellEnd"/>
            <w:r w:rsidR="00C12E8D">
              <w:rPr>
                <w:rFonts w:eastAsia="Calibri"/>
                <w:b/>
                <w:lang w:eastAsia="en-US"/>
              </w:rPr>
              <w:t xml:space="preserve"> </w:t>
            </w:r>
            <w:r w:rsidR="00C2489F" w:rsidRPr="009A63EC">
              <w:rPr>
                <w:rFonts w:eastAsia="Calibri"/>
                <w:b/>
                <w:lang w:eastAsia="en-US"/>
              </w:rPr>
              <w:t>ir</w:t>
            </w:r>
            <w:r w:rsidR="00C12E8D">
              <w:rPr>
                <w:rFonts w:eastAsia="Calibri"/>
                <w:lang w:eastAsia="en-US"/>
              </w:rPr>
              <w:t xml:space="preserve"> </w:t>
            </w:r>
            <w:r w:rsidR="005C6E2A">
              <w:rPr>
                <w:rFonts w:eastAsia="Calibri"/>
                <w:b/>
                <w:lang w:eastAsia="en-US"/>
              </w:rPr>
              <w:t>sagas</w:t>
            </w:r>
            <w:r w:rsidR="00BE369A">
              <w:rPr>
                <w:rFonts w:eastAsia="Calibri"/>
                <w:lang w:eastAsia="en-US"/>
              </w:rPr>
              <w:t xml:space="preserve"> </w:t>
            </w:r>
            <w:r w:rsidR="000A79DA">
              <w:rPr>
                <w:rFonts w:eastAsia="Calibri"/>
                <w:lang w:eastAsia="en-US"/>
              </w:rPr>
              <w:t>(toliau - prekės)</w:t>
            </w:r>
            <w:r w:rsidRPr="00A37A44">
              <w:rPr>
                <w:rFonts w:eastAsia="Calibri"/>
                <w:lang w:eastAsia="en-US"/>
              </w:rPr>
              <w:t xml:space="preserve">, atitinkančias Sutarties </w:t>
            </w:r>
            <w:r>
              <w:rPr>
                <w:rFonts w:eastAsia="Calibri"/>
                <w:lang w:eastAsia="en-US"/>
              </w:rPr>
              <w:t>1 priede „Techninė specifikacija</w:t>
            </w:r>
            <w:r w:rsidR="000A79DA">
              <w:rPr>
                <w:rFonts w:eastAsia="Calibri"/>
                <w:lang w:eastAsia="en-US"/>
              </w:rPr>
              <w:t>“</w:t>
            </w:r>
            <w:r w:rsidRPr="00A37A44">
              <w:rPr>
                <w:rFonts w:eastAsia="Calibri"/>
                <w:lang w:eastAsia="en-US"/>
              </w:rPr>
              <w:t xml:space="preserve"> (toliau - 1 priedas) </w:t>
            </w:r>
            <w:r>
              <w:t>nurodyt</w:t>
            </w:r>
            <w:r w:rsidR="0050449D">
              <w:t>us</w:t>
            </w:r>
            <w:r w:rsidRPr="005B2CC4">
              <w:t xml:space="preserve"> technin</w:t>
            </w:r>
            <w:r w:rsidR="0032089E">
              <w:t>i</w:t>
            </w:r>
            <w:r w:rsidR="0050449D">
              <w:t xml:space="preserve">us </w:t>
            </w:r>
            <w:r w:rsidR="00235C0F">
              <w:t xml:space="preserve">reikalavimus </w:t>
            </w:r>
            <w:r w:rsidRPr="005B2CC4">
              <w:t>ir kitus Sutartyje nurodytus reikalavimus.</w:t>
            </w:r>
          </w:p>
          <w:p w14:paraId="7FD740E0" w14:textId="77777777" w:rsidR="005B2AD1" w:rsidRDefault="005B2AD1" w:rsidP="005B2AD1">
            <w:pPr>
              <w:jc w:val="both"/>
            </w:pPr>
            <w:r w:rsidRPr="004F365C">
              <w:t>1.2.</w:t>
            </w:r>
            <w:r>
              <w:t xml:space="preserve"> </w:t>
            </w:r>
            <w:r w:rsidRPr="00F05F0A">
              <w:rPr>
                <w:b/>
              </w:rPr>
              <w:t>Pirkėjas</w:t>
            </w:r>
            <w:r w:rsidRPr="00F05F0A">
              <w:t xml:space="preserve"> neįsipareigoja per visą Sutarties galiojimo laikotarpį išpirkti viso </w:t>
            </w:r>
            <w:r>
              <w:t>Sutarties 2</w:t>
            </w:r>
            <w:r w:rsidR="004F365C">
              <w:t xml:space="preserve">  priede </w:t>
            </w:r>
            <w:r w:rsidR="004F365C" w:rsidRPr="004538FB">
              <w:t>„</w:t>
            </w:r>
            <w:r w:rsidR="004F365C" w:rsidRPr="000A79DA">
              <w:t>Prekių pavadinimai, kiekiai ir įkainiai</w:t>
            </w:r>
            <w:r w:rsidR="004F365C" w:rsidRPr="004538FB">
              <w:t>“</w:t>
            </w:r>
            <w:r w:rsidRPr="00D46FB3">
              <w:t xml:space="preserve"> (toliau - </w:t>
            </w:r>
            <w:r w:rsidR="004F365C">
              <w:t>2</w:t>
            </w:r>
            <w:r w:rsidRPr="00D46FB3">
              <w:t xml:space="preserve"> priedas) </w:t>
            </w:r>
            <w:r>
              <w:t>nurodyto maksimalaus prekių kiekio</w:t>
            </w:r>
            <w:r w:rsidR="004F365C">
              <w:t>, tačiau įsipareigoja išpirkti visą nurodytą minimalų kiekį.</w:t>
            </w:r>
            <w:r w:rsidRPr="00F05F0A">
              <w:t xml:space="preserve"> Prekės įsigyjamos pagal poreikį</w:t>
            </w:r>
            <w:r>
              <w:t>, teikiant užsakymus</w:t>
            </w:r>
            <w:r w:rsidRPr="00B716A2">
              <w:rPr>
                <w:lang w:eastAsia="en-US"/>
              </w:rPr>
              <w:t xml:space="preserve"> </w:t>
            </w:r>
            <w:r>
              <w:rPr>
                <w:lang w:eastAsia="en-US"/>
              </w:rPr>
              <w:t xml:space="preserve">pagal </w:t>
            </w:r>
            <w:r w:rsidR="004F365C">
              <w:rPr>
                <w:lang w:eastAsia="en-US"/>
              </w:rPr>
              <w:t>Sutarties 3</w:t>
            </w:r>
            <w:r w:rsidRPr="00B716A2">
              <w:rPr>
                <w:lang w:eastAsia="en-US"/>
              </w:rPr>
              <w:t xml:space="preserve"> pried</w:t>
            </w:r>
            <w:r>
              <w:rPr>
                <w:lang w:eastAsia="en-US"/>
              </w:rPr>
              <w:t>ą</w:t>
            </w:r>
            <w:r w:rsidR="004F365C">
              <w:rPr>
                <w:lang w:eastAsia="en-US"/>
              </w:rPr>
              <w:t xml:space="preserve"> „Užsakymas“ (toliau – 3</w:t>
            </w:r>
            <w:r w:rsidRPr="00B716A2">
              <w:rPr>
                <w:lang w:eastAsia="en-US"/>
              </w:rPr>
              <w:t xml:space="preserve"> priedas)</w:t>
            </w:r>
            <w:r w:rsidRPr="00F05F0A">
              <w:t>.</w:t>
            </w:r>
          </w:p>
          <w:p w14:paraId="7FE0C031" w14:textId="60D97691" w:rsidR="0051758C" w:rsidRDefault="00505F77" w:rsidP="004D12A3">
            <w:pPr>
              <w:jc w:val="both"/>
            </w:pPr>
            <w:r>
              <w:t xml:space="preserve">1.3. </w:t>
            </w:r>
            <w:r w:rsidRPr="00311F94">
              <w:rPr>
                <w:b/>
              </w:rPr>
              <w:t>Pirkėjas</w:t>
            </w:r>
            <w:r w:rsidR="00235C0F">
              <w:rPr>
                <w:b/>
              </w:rPr>
              <w:t xml:space="preserve"> </w:t>
            </w:r>
            <w:r w:rsidR="00235C0F" w:rsidRPr="005E56F7">
              <w:t>ar</w:t>
            </w:r>
            <w:r w:rsidR="00235C0F">
              <w:rPr>
                <w:b/>
              </w:rPr>
              <w:t xml:space="preserve"> </w:t>
            </w:r>
            <w:r w:rsidRPr="00311F94">
              <w:rPr>
                <w:b/>
              </w:rPr>
              <w:t>Mokėtojas</w:t>
            </w:r>
            <w:r>
              <w:rPr>
                <w:b/>
              </w:rPr>
              <w:t xml:space="preserve"> – </w:t>
            </w:r>
            <w:r w:rsidRPr="002A214D">
              <w:t>Lietuvos kariuomenė</w:t>
            </w:r>
            <w:r>
              <w:t xml:space="preserve">, įsipareigoja priimti Sutarties reikalavimus atitinkančias prekes. </w:t>
            </w:r>
            <w:r w:rsidRPr="00311F94">
              <w:rPr>
                <w:b/>
              </w:rPr>
              <w:t>Mokėtojas</w:t>
            </w:r>
            <w:r>
              <w:t xml:space="preserve"> už prekes sumoka </w:t>
            </w:r>
            <w:r w:rsidRPr="004E4F60">
              <w:t>Sutarties nustatyta tvarka.</w:t>
            </w:r>
            <w:r w:rsidR="00BF33CA">
              <w:t xml:space="preserve"> </w:t>
            </w:r>
          </w:p>
          <w:p w14:paraId="6C3A0A83" w14:textId="77777777" w:rsidR="00FD752A" w:rsidRDefault="00FD752A" w:rsidP="004D12A3">
            <w:pPr>
              <w:jc w:val="both"/>
            </w:pPr>
          </w:p>
        </w:tc>
      </w:tr>
      <w:tr w:rsidR="0051758C" w14:paraId="0565BCC0" w14:textId="77777777" w:rsidTr="00BB0FDA">
        <w:trPr>
          <w:trHeight w:val="2542"/>
        </w:trPr>
        <w:tc>
          <w:tcPr>
            <w:tcW w:w="5000" w:type="pct"/>
            <w:gridSpan w:val="3"/>
            <w:tcBorders>
              <w:top w:val="single" w:sz="4" w:space="0" w:color="auto"/>
              <w:left w:val="single" w:sz="4" w:space="0" w:color="auto"/>
              <w:bottom w:val="single" w:sz="4" w:space="0" w:color="auto"/>
              <w:right w:val="single" w:sz="4" w:space="0" w:color="auto"/>
            </w:tcBorders>
          </w:tcPr>
          <w:p w14:paraId="17698E4A" w14:textId="77777777" w:rsidR="0051758C" w:rsidRDefault="0051758C">
            <w:pPr>
              <w:rPr>
                <w:b/>
              </w:rPr>
            </w:pPr>
            <w:r w:rsidRPr="00EB4422">
              <w:rPr>
                <w:b/>
              </w:rPr>
              <w:t xml:space="preserve">2. Sutarties </w:t>
            </w:r>
            <w:r w:rsidRPr="00D0327A">
              <w:rPr>
                <w:b/>
              </w:rPr>
              <w:t>kaina/</w:t>
            </w:r>
            <w:r w:rsidR="00504F6B">
              <w:rPr>
                <w:b/>
              </w:rPr>
              <w:t>vertė/</w:t>
            </w:r>
            <w:r w:rsidRPr="00EB4422">
              <w:rPr>
                <w:b/>
              </w:rPr>
              <w:t>prekių įkainiai/kainodaros taisyklės</w:t>
            </w:r>
          </w:p>
          <w:p w14:paraId="478460E2" w14:textId="77777777" w:rsidR="00311F94" w:rsidRDefault="00311F94" w:rsidP="002116B0">
            <w:pPr>
              <w:jc w:val="both"/>
            </w:pPr>
            <w:r w:rsidRPr="004C1DC9">
              <w:t xml:space="preserve">2.1. </w:t>
            </w:r>
            <w:r w:rsidRPr="00E33F17">
              <w:rPr>
                <w:b/>
              </w:rPr>
              <w:t xml:space="preserve">Sutarties </w:t>
            </w:r>
            <w:r w:rsidR="004C1DC9" w:rsidRPr="00E33F17">
              <w:rPr>
                <w:b/>
              </w:rPr>
              <w:t>maksimali kaina</w:t>
            </w:r>
            <w:r w:rsidR="00127264" w:rsidRPr="00E33F17">
              <w:rPr>
                <w:b/>
              </w:rPr>
              <w:t xml:space="preserve"> </w:t>
            </w:r>
            <w:r w:rsidR="000A79DA" w:rsidRPr="00E33F17">
              <w:rPr>
                <w:b/>
              </w:rPr>
              <w:t>–</w:t>
            </w:r>
            <w:r w:rsidR="00127264" w:rsidRPr="00E33F17">
              <w:rPr>
                <w:b/>
              </w:rPr>
              <w:t xml:space="preserve"> </w:t>
            </w:r>
            <w:r w:rsidR="000A79DA" w:rsidRPr="00E33F17">
              <w:rPr>
                <w:b/>
              </w:rPr>
              <w:t xml:space="preserve">123 465,46 </w:t>
            </w:r>
            <w:proofErr w:type="spellStart"/>
            <w:r w:rsidR="000A79DA" w:rsidRPr="00E33F17">
              <w:rPr>
                <w:b/>
              </w:rPr>
              <w:t>Eur</w:t>
            </w:r>
            <w:proofErr w:type="spellEnd"/>
            <w:r w:rsidR="000A79DA">
              <w:t xml:space="preserve"> (vienas šimtas dvidešimt trys tūkstančiai keturi šimtai šešiasdešimt penki eurai ir 46</w:t>
            </w:r>
            <w:r w:rsidR="00127264" w:rsidRPr="00127264">
              <w:t xml:space="preserve"> ct) be pridėtinės vertės mokesčio (toliau - PVM)</w:t>
            </w:r>
            <w:r w:rsidR="000A79DA">
              <w:t>.</w:t>
            </w:r>
            <w:r w:rsidR="00127264" w:rsidRPr="00127264">
              <w:t xml:space="preserve"> </w:t>
            </w:r>
          </w:p>
          <w:p w14:paraId="3C859A30" w14:textId="77777777" w:rsidR="00127264" w:rsidRDefault="00127264" w:rsidP="000D0766">
            <w:pPr>
              <w:jc w:val="both"/>
            </w:pPr>
            <w:r w:rsidRPr="00127264">
              <w:t xml:space="preserve">2.2. </w:t>
            </w:r>
            <w:r w:rsidRPr="00127264">
              <w:rPr>
                <w:b/>
              </w:rPr>
              <w:t xml:space="preserve">Prekių vieneto įkainiai </w:t>
            </w:r>
            <w:r w:rsidRPr="00127264">
              <w:t xml:space="preserve">nurodyti </w:t>
            </w:r>
            <w:r w:rsidRPr="00EB6C07">
              <w:t>Sutarties 2 priede</w:t>
            </w:r>
            <w:r w:rsidRPr="00127264">
              <w:t xml:space="preserve">. Į prekių įkainius turi būti įskaičiuoti visi mokesčiai ir visos </w:t>
            </w:r>
            <w:r w:rsidRPr="00127264">
              <w:rPr>
                <w:b/>
              </w:rPr>
              <w:t>Pardavėjo</w:t>
            </w:r>
            <w:r w:rsidRPr="00127264">
              <w:t xml:space="preserve"> išlaidos, susijusios su prekių pardavimu ir pristatymu (sandėliavimo, pakavimo, transportavimo, pristatymo), bei visi mokesčiai ir išlaidos, galinčios turėti įtakos prekių įkainiams ar galinčios atsirasti vykdant šią Sutartį. Sudarydamas šią Sutartį, </w:t>
            </w:r>
            <w:r w:rsidRPr="00127264">
              <w:rPr>
                <w:b/>
              </w:rPr>
              <w:t>Pardavėjas</w:t>
            </w:r>
            <w:r w:rsidRPr="00127264">
              <w:t xml:space="preserve"> įvertina visas prekių apimtis bei prisiima riziką dėl išlaidų dydžių svyravimo.</w:t>
            </w:r>
          </w:p>
          <w:p w14:paraId="6C790657" w14:textId="77777777" w:rsidR="004C1DC9" w:rsidRPr="00E33F17" w:rsidRDefault="00311F94" w:rsidP="000A79DA">
            <w:pPr>
              <w:jc w:val="both"/>
            </w:pPr>
            <w:r w:rsidRPr="00E33F17">
              <w:t>2.</w:t>
            </w:r>
            <w:r w:rsidR="00896F88" w:rsidRPr="00E33F17">
              <w:t>3</w:t>
            </w:r>
            <w:r w:rsidRPr="00E33F17">
              <w:t xml:space="preserve">. </w:t>
            </w:r>
            <w:r w:rsidR="00CF6A37" w:rsidRPr="00E33F17">
              <w:t>Sutarčiai taikoma</w:t>
            </w:r>
            <w:r w:rsidR="00D474F4" w:rsidRPr="00E33F17">
              <w:t xml:space="preserve"> </w:t>
            </w:r>
            <w:r w:rsidR="000D0766" w:rsidRPr="00E33F17">
              <w:t>fiksuoto įkainio su peržiūra</w:t>
            </w:r>
            <w:r w:rsidR="00D474F4" w:rsidRPr="00E33F17">
              <w:t xml:space="preserve"> kainodara</w:t>
            </w:r>
            <w:r w:rsidR="00634620" w:rsidRPr="00E33F17">
              <w:t xml:space="preserve">. </w:t>
            </w:r>
          </w:p>
          <w:p w14:paraId="79F52ED0" w14:textId="77777777" w:rsidR="0051758C" w:rsidRDefault="004C1DC9" w:rsidP="000A79DA">
            <w:pPr>
              <w:jc w:val="both"/>
            </w:pPr>
            <w:r w:rsidRPr="00E33F17">
              <w:t>2.</w:t>
            </w:r>
            <w:r w:rsidR="00896F88" w:rsidRPr="00E33F17">
              <w:t>4</w:t>
            </w:r>
            <w:r w:rsidRPr="00E33F17">
              <w:t>.</w:t>
            </w:r>
            <w:r w:rsidR="00B52EA1" w:rsidRPr="00E33F17">
              <w:t xml:space="preserve"> </w:t>
            </w:r>
            <w:r w:rsidR="00D84493" w:rsidRPr="00E33F17">
              <w:t>Peržiūros atvejai numatyti</w:t>
            </w:r>
            <w:r w:rsidR="00634620" w:rsidRPr="00E33F17">
              <w:t xml:space="preserve"> Sutarties bendrosios dalies 2.2</w:t>
            </w:r>
            <w:r w:rsidR="00532415" w:rsidRPr="00E33F17">
              <w:t xml:space="preserve"> </w:t>
            </w:r>
            <w:r w:rsidR="000D0766" w:rsidRPr="00E33F17">
              <w:t>papunktyje</w:t>
            </w:r>
            <w:r w:rsidR="00D84493" w:rsidRPr="00E33F17">
              <w:t xml:space="preserve"> ir </w:t>
            </w:r>
            <w:r w:rsidR="00FC2681" w:rsidRPr="00E33F17">
              <w:t xml:space="preserve">Sutarties </w:t>
            </w:r>
            <w:r w:rsidR="00D84493" w:rsidRPr="00E33F17">
              <w:t>Specialiosios dalies 2.6. punkte.</w:t>
            </w:r>
          </w:p>
          <w:p w14:paraId="4E11E177" w14:textId="77777777" w:rsidR="004567E8" w:rsidRDefault="00896F88" w:rsidP="000A79DA">
            <w:pPr>
              <w:jc w:val="both"/>
            </w:pPr>
            <w:r>
              <w:t>2.5</w:t>
            </w:r>
            <w:r w:rsidR="004567E8">
              <w:t>. Sutarčiai taikomas bendrosios dalies 12.9. p</w:t>
            </w:r>
            <w:r w:rsidR="00CF6A37">
              <w:t>apunktis</w:t>
            </w:r>
            <w:r w:rsidR="004567E8">
              <w:t>.</w:t>
            </w:r>
          </w:p>
          <w:p w14:paraId="1F036E78" w14:textId="77777777" w:rsidR="009E3D2A" w:rsidRPr="009E3D2A" w:rsidRDefault="00896F88" w:rsidP="000A79DA">
            <w:pPr>
              <w:jc w:val="both"/>
              <w:rPr>
                <w:rStyle w:val="Emphasis"/>
                <w:i w:val="0"/>
              </w:rPr>
            </w:pPr>
            <w:r w:rsidRPr="009E3D2A">
              <w:rPr>
                <w:rStyle w:val="Emphasis"/>
                <w:rFonts w:eastAsiaTheme="minorHAnsi"/>
                <w:i w:val="0"/>
              </w:rPr>
              <w:t>2.6</w:t>
            </w:r>
            <w:r w:rsidR="008E2B57" w:rsidRPr="009E3D2A">
              <w:rPr>
                <w:rStyle w:val="Emphasis"/>
                <w:rFonts w:eastAsiaTheme="minorHAnsi"/>
                <w:i w:val="0"/>
              </w:rPr>
              <w:t xml:space="preserve">. </w:t>
            </w:r>
            <w:r w:rsidR="00EB5CD1" w:rsidRPr="009E3D2A">
              <w:rPr>
                <w:rStyle w:val="Emphasis"/>
                <w:i w:val="0"/>
              </w:rPr>
              <w:t xml:space="preserve">Bet kuri Šalis turi teisę inicijuoti Susitarimu nustatytų įkainių perskaičiavimą (keitimą), tačiau ne anksčiau kaip po 6 (šešių) mėnesių nuo </w:t>
            </w:r>
            <w:r w:rsidR="00EB5CD1" w:rsidRPr="009E3D2A">
              <w:rPr>
                <w:rStyle w:val="Emphasis"/>
                <w:rFonts w:eastAsia="Calibri"/>
                <w:i w:val="0"/>
              </w:rPr>
              <w:t xml:space="preserve">Sutarties sudarymo dienos </w:t>
            </w:r>
            <w:r w:rsidR="00EB5CD1" w:rsidRPr="009E3D2A">
              <w:rPr>
                <w:rStyle w:val="Emphasis"/>
                <w:i w:val="0"/>
              </w:rPr>
              <w:t>jeigu kainų pokytis (k) apskaičiuotas Sutartyje nustatyta tvarka padidėja arba sumažėja daugiau nei 5 procentai.</w:t>
            </w:r>
          </w:p>
          <w:p w14:paraId="61B1BC12" w14:textId="77777777" w:rsidR="009E3D2A" w:rsidRPr="009E3D2A" w:rsidRDefault="00AC0F66" w:rsidP="000A79DA">
            <w:pPr>
              <w:jc w:val="both"/>
              <w:rPr>
                <w:rStyle w:val="Emphasis"/>
                <w:rFonts w:eastAsiaTheme="minorHAnsi"/>
                <w:i w:val="0"/>
              </w:rPr>
            </w:pPr>
            <w:r w:rsidRPr="009E3D2A">
              <w:rPr>
                <w:rStyle w:val="Emphasis"/>
                <w:rFonts w:eastAsiaTheme="minorHAnsi"/>
                <w:i w:val="0"/>
              </w:rPr>
              <w:t>2.</w:t>
            </w:r>
            <w:r w:rsidR="00896F88" w:rsidRPr="009E3D2A">
              <w:rPr>
                <w:rStyle w:val="Emphasis"/>
                <w:rFonts w:eastAsiaTheme="minorHAnsi"/>
                <w:i w:val="0"/>
              </w:rPr>
              <w:t>6</w:t>
            </w:r>
            <w:r w:rsidR="008E2B57" w:rsidRPr="009E3D2A">
              <w:rPr>
                <w:rStyle w:val="Emphasis"/>
                <w:rFonts w:eastAsiaTheme="minorHAnsi"/>
                <w:i w:val="0"/>
              </w:rPr>
              <w:t>.1</w:t>
            </w:r>
            <w:r w:rsidRPr="009E3D2A">
              <w:rPr>
                <w:rStyle w:val="Emphasis"/>
                <w:rFonts w:eastAsiaTheme="minorHAnsi"/>
                <w:i w:val="0"/>
              </w:rPr>
              <w:t xml:space="preserve"> Perskaičiuotieji įkainiai įforminami raštišku Šalių susitarimu (toliau – Susitarimas) ir taikomi užsakymams, pateiktiems po to, kai Šalys sudaro Susitarimą dėl įkainių perskaičiavimo.</w:t>
            </w:r>
          </w:p>
          <w:p w14:paraId="7A88ED81" w14:textId="77777777" w:rsidR="00EB5CD1" w:rsidRDefault="00896F88" w:rsidP="000A79DA">
            <w:pPr>
              <w:jc w:val="both"/>
              <w:rPr>
                <w:rStyle w:val="Emphasis"/>
                <w:i w:val="0"/>
              </w:rPr>
            </w:pPr>
            <w:r w:rsidRPr="009E3D2A">
              <w:rPr>
                <w:rStyle w:val="Emphasis"/>
                <w:rFonts w:eastAsiaTheme="minorHAnsi"/>
                <w:i w:val="0"/>
              </w:rPr>
              <w:lastRenderedPageBreak/>
              <w:t>2.6</w:t>
            </w:r>
            <w:r w:rsidR="008E2B57" w:rsidRPr="009E3D2A">
              <w:rPr>
                <w:rStyle w:val="Emphasis"/>
                <w:rFonts w:eastAsiaTheme="minorHAnsi"/>
                <w:i w:val="0"/>
              </w:rPr>
              <w:t>.2</w:t>
            </w:r>
            <w:r w:rsidR="00AC0F66" w:rsidRPr="009E3D2A">
              <w:rPr>
                <w:rStyle w:val="Emphasis"/>
                <w:rFonts w:eastAsiaTheme="minorHAnsi"/>
                <w:i w:val="0"/>
              </w:rPr>
              <w:t xml:space="preserve"> Šalys privalo Susitarime nurodyti indekso reikšmę laikotarpio pradžioje ir jos nustatymo datą, indekso reikšmę laikotarpio pabaigoje ir jos nustatymo datą, kainų pokytį (k), perskaičiuotus įkainius, perskaičiuotą pradinės sutarties vertę.</w:t>
            </w:r>
            <w:r w:rsidRPr="009E3D2A">
              <w:rPr>
                <w:rStyle w:val="Emphasis"/>
                <w:rFonts w:eastAsiaTheme="minorHAnsi"/>
                <w:i w:val="0"/>
              </w:rPr>
              <w:t>2.6</w:t>
            </w:r>
            <w:r w:rsidR="008E2B57" w:rsidRPr="009E3D2A">
              <w:rPr>
                <w:rStyle w:val="Emphasis"/>
                <w:rFonts w:eastAsiaTheme="minorHAnsi"/>
                <w:i w:val="0"/>
              </w:rPr>
              <w:t>.3</w:t>
            </w:r>
            <w:r w:rsidR="00AC0F66" w:rsidRPr="009E3D2A">
              <w:rPr>
                <w:rStyle w:val="Emphasis"/>
                <w:rFonts w:eastAsiaTheme="minorHAnsi"/>
                <w:i w:val="0"/>
              </w:rPr>
              <w:t xml:space="preserve"> Nauji įkainiai apskaičiuojami pagal formulę:</w:t>
            </w:r>
            <w:r w:rsidR="00EB5CD1" w:rsidRPr="009E3D2A">
              <w:rPr>
                <w:rStyle w:val="Emphasis"/>
                <w:i w:val="0"/>
              </w:rPr>
              <w:t xml:space="preserve"> </w:t>
            </w:r>
          </w:p>
          <w:p w14:paraId="720C6E70" w14:textId="77777777" w:rsidR="00136AB4" w:rsidRPr="009E3D2A" w:rsidRDefault="00136AB4" w:rsidP="000A79DA">
            <w:pPr>
              <w:jc w:val="both"/>
              <w:rPr>
                <w:rStyle w:val="Emphasis"/>
                <w:i w:val="0"/>
              </w:rPr>
            </w:pPr>
          </w:p>
          <w:p w14:paraId="61F5B333" w14:textId="77777777" w:rsidR="00EB5CD1" w:rsidRPr="00E95EEE" w:rsidRDefault="006D0C12" w:rsidP="00EB5CD1">
            <w:pPr>
              <w:ind w:left="1030"/>
              <w:contextualSpacing/>
              <w:jc w:val="both"/>
              <w:rPr>
                <w:rFonts w:eastAsia="Calibri"/>
              </w:rPr>
            </w:pPr>
            <m:oMath>
              <m:sSub>
                <m:sSubPr>
                  <m:ctrlPr>
                    <w:rPr>
                      <w:rFonts w:ascii="Cambria Math" w:eastAsia="Calibri" w:hAnsi="Cambria Math"/>
                    </w:rPr>
                  </m:ctrlPr>
                </m:sSubPr>
                <m:e>
                  <m:r>
                    <m:rPr>
                      <m:sty m:val="p"/>
                    </m:rPr>
                    <w:rPr>
                      <w:rFonts w:ascii="Cambria Math" w:eastAsia="Calibri" w:hAnsi="Cambria Math"/>
                    </w:rPr>
                    <m:t>a</m:t>
                  </m:r>
                </m:e>
                <m:sub>
                  <m:r>
                    <m:rPr>
                      <m:sty m:val="p"/>
                    </m:rPr>
                    <w:rPr>
                      <w:rFonts w:ascii="Cambria Math" w:eastAsia="Calibri" w:hAnsi="Cambria Math"/>
                    </w:rPr>
                    <m:t>1</m:t>
                  </m:r>
                </m:sub>
              </m:sSub>
              <m:r>
                <m:rPr>
                  <m:sty m:val="p"/>
                </m:rPr>
                <w:rPr>
                  <w:rFonts w:ascii="Cambria Math" w:eastAsia="Calibri" w:hAnsi="Cambria Math"/>
                </w:rPr>
                <m:t>=</m:t>
              </m:r>
              <m:r>
                <m:rPr>
                  <m:sty m:val="p"/>
                </m:rPr>
                <w:rPr>
                  <w:rFonts w:ascii="Cambria Math" w:eastAsiaTheme="minorEastAsia" w:hAnsi="Cambria Math"/>
                </w:rPr>
                <m:t>a+</m:t>
              </m:r>
              <m:d>
                <m:dPr>
                  <m:ctrlPr>
                    <w:rPr>
                      <w:rFonts w:ascii="Cambria Math" w:eastAsiaTheme="minorEastAsia" w:hAnsi="Cambria Math"/>
                    </w:rPr>
                  </m:ctrlPr>
                </m:dPr>
                <m:e>
                  <m:f>
                    <m:fPr>
                      <m:ctrlPr>
                        <w:rPr>
                          <w:rFonts w:ascii="Cambria Math" w:eastAsiaTheme="minorEastAsia" w:hAnsi="Cambria Math"/>
                        </w:rPr>
                      </m:ctrlPr>
                    </m:fPr>
                    <m:num>
                      <m:r>
                        <m:rPr>
                          <m:sty m:val="p"/>
                        </m:rPr>
                        <w:rPr>
                          <w:rFonts w:ascii="Cambria Math" w:eastAsiaTheme="minorEastAsia" w:hAnsi="Cambria Math"/>
                        </w:rPr>
                        <m:t>k</m:t>
                      </m:r>
                    </m:num>
                    <m:den>
                      <m:r>
                        <m:rPr>
                          <m:sty m:val="p"/>
                        </m:rPr>
                        <w:rPr>
                          <w:rFonts w:ascii="Cambria Math" w:eastAsiaTheme="minorEastAsia" w:hAnsi="Cambria Math"/>
                        </w:rPr>
                        <m:t>100</m:t>
                      </m:r>
                    </m:den>
                  </m:f>
                  <m:r>
                    <m:rPr>
                      <m:sty m:val="p"/>
                    </m:rPr>
                    <w:rPr>
                      <w:rFonts w:ascii="Cambria Math" w:eastAsiaTheme="minorEastAsia" w:hAnsi="Cambria Math"/>
                    </w:rPr>
                    <m:t>×a</m:t>
                  </m:r>
                </m:e>
              </m:d>
            </m:oMath>
            <w:r w:rsidR="00EB5CD1" w:rsidRPr="00E95EEE">
              <w:rPr>
                <w:rFonts w:eastAsiaTheme="minorEastAsia"/>
              </w:rPr>
              <w:t>, kur</w:t>
            </w:r>
          </w:p>
          <w:p w14:paraId="29E896C0" w14:textId="77777777" w:rsidR="00EB5CD1" w:rsidRPr="00E95EEE" w:rsidRDefault="00EB5CD1" w:rsidP="00EB5CD1">
            <w:pPr>
              <w:ind w:left="1030"/>
              <w:contextualSpacing/>
              <w:jc w:val="both"/>
              <w:rPr>
                <w:rFonts w:eastAsia="Calibri"/>
              </w:rPr>
            </w:pPr>
          </w:p>
          <w:p w14:paraId="5AEC1AD1" w14:textId="77777777" w:rsidR="00EB5CD1" w:rsidRPr="00E95EEE" w:rsidRDefault="00EB5CD1" w:rsidP="00EB5CD1">
            <w:pPr>
              <w:ind w:left="1030"/>
              <w:contextualSpacing/>
              <w:jc w:val="both"/>
              <w:rPr>
                <w:rFonts w:eastAsia="Calibri"/>
              </w:rPr>
            </w:pPr>
            <w:r w:rsidRPr="00E95EEE">
              <w:rPr>
                <w:rFonts w:eastAsia="Calibri"/>
              </w:rPr>
              <w:t>a – sutart</w:t>
            </w:r>
            <w:r>
              <w:rPr>
                <w:rFonts w:eastAsia="Calibri"/>
              </w:rPr>
              <w:t>ies prekės įkainis (</w:t>
            </w:r>
            <w:proofErr w:type="spellStart"/>
            <w:r>
              <w:rPr>
                <w:rFonts w:eastAsia="Calibri"/>
              </w:rPr>
              <w:t>Eur</w:t>
            </w:r>
            <w:proofErr w:type="spellEnd"/>
            <w:r>
              <w:rPr>
                <w:rFonts w:eastAsia="Calibri"/>
              </w:rPr>
              <w:t xml:space="preserve"> be PVM)</w:t>
            </w:r>
            <w:r w:rsidRPr="00E95EEE">
              <w:rPr>
                <w:rFonts w:eastAsia="Calibri"/>
              </w:rPr>
              <w:t xml:space="preserve"> (jei įkainis buvo perskaičiuotas, tai po paskutinio perskaičiavimo).</w:t>
            </w:r>
          </w:p>
          <w:p w14:paraId="2ECDA050" w14:textId="77777777" w:rsidR="00EB5CD1" w:rsidRPr="00E95EEE" w:rsidRDefault="00EB5CD1" w:rsidP="00EB5CD1">
            <w:pPr>
              <w:ind w:left="1030"/>
              <w:contextualSpacing/>
              <w:jc w:val="both"/>
              <w:rPr>
                <w:rFonts w:eastAsia="Calibri"/>
              </w:rPr>
            </w:pPr>
          </w:p>
          <w:p w14:paraId="218BF57B" w14:textId="77777777" w:rsidR="00EB5CD1" w:rsidRPr="00E95EEE" w:rsidRDefault="00EB5CD1" w:rsidP="00EB5CD1">
            <w:pPr>
              <w:ind w:left="1030"/>
              <w:contextualSpacing/>
              <w:jc w:val="both"/>
              <w:rPr>
                <w:rFonts w:eastAsia="Calibri"/>
              </w:rPr>
            </w:pPr>
            <w:r w:rsidRPr="00E95EEE">
              <w:rPr>
                <w:rFonts w:eastAsia="Calibri"/>
              </w:rPr>
              <w:t>a</w:t>
            </w:r>
            <w:r w:rsidRPr="00E95EEE">
              <w:rPr>
                <w:rFonts w:eastAsia="Calibri"/>
                <w:vertAlign w:val="subscript"/>
              </w:rPr>
              <w:t>1</w:t>
            </w:r>
            <w:r w:rsidRPr="00E95EEE">
              <w:rPr>
                <w:rFonts w:eastAsia="Calibri"/>
              </w:rPr>
              <w:t xml:space="preserve"> – perskaičiuotas (pakeistas) įkainis (</w:t>
            </w:r>
            <w:proofErr w:type="spellStart"/>
            <w:r w:rsidRPr="00E95EEE">
              <w:rPr>
                <w:rFonts w:eastAsia="Calibri"/>
              </w:rPr>
              <w:t>Eur</w:t>
            </w:r>
            <w:proofErr w:type="spellEnd"/>
            <w:r w:rsidRPr="00E95EEE">
              <w:rPr>
                <w:rFonts w:eastAsia="Calibri"/>
              </w:rPr>
              <w:t xml:space="preserve"> be PVM)</w:t>
            </w:r>
          </w:p>
          <w:p w14:paraId="1155300D" w14:textId="77777777" w:rsidR="00EB5CD1" w:rsidRPr="00E95EEE" w:rsidRDefault="00EB5CD1" w:rsidP="00EB5CD1">
            <w:pPr>
              <w:ind w:left="1030"/>
              <w:contextualSpacing/>
              <w:jc w:val="both"/>
              <w:rPr>
                <w:rFonts w:eastAsia="Calibri"/>
              </w:rPr>
            </w:pPr>
          </w:p>
          <w:p w14:paraId="0C211753" w14:textId="77777777" w:rsidR="00EB5CD1" w:rsidRPr="00E95EEE" w:rsidRDefault="00EB5CD1" w:rsidP="00EB5CD1">
            <w:pPr>
              <w:ind w:left="1030"/>
              <w:contextualSpacing/>
              <w:jc w:val="both"/>
              <w:rPr>
                <w:rFonts w:eastAsia="Calibri"/>
              </w:rPr>
            </w:pPr>
            <w:r w:rsidRPr="00E95EEE">
              <w:rPr>
                <w:rFonts w:eastAsia="Calibri"/>
              </w:rPr>
              <w:t xml:space="preserve">k – pagal </w:t>
            </w:r>
            <w:r>
              <w:rPr>
                <w:rFonts w:eastAsia="Calibri"/>
              </w:rPr>
              <w:t>vartotojų kainų indeksą</w:t>
            </w:r>
            <w:r w:rsidRPr="00E95EEE">
              <w:rPr>
                <w:rFonts w:eastAsia="Calibri"/>
              </w:rPr>
              <w:t xml:space="preserve"> </w:t>
            </w:r>
            <w:r>
              <w:rPr>
                <w:rFonts w:eastAsia="Calibri"/>
              </w:rPr>
              <w:t>apskaičiuotas Vartojimo prekių ir paslaugų kainų pokytis</w:t>
            </w:r>
            <w:r w:rsidRPr="00E95EEE">
              <w:rPr>
                <w:rFonts w:eastAsia="Calibri"/>
              </w:rPr>
              <w:t xml:space="preserve"> (padidėjimas arba sumažėjimas) (%). „k“ reikšmė skaičiuojama pagal formulę:</w:t>
            </w:r>
          </w:p>
          <w:p w14:paraId="6C889242" w14:textId="77777777" w:rsidR="00EB5CD1" w:rsidRPr="00E95EEE" w:rsidRDefault="00EB5CD1" w:rsidP="00EB5CD1">
            <w:pPr>
              <w:ind w:left="1030"/>
              <w:contextualSpacing/>
              <w:jc w:val="both"/>
              <w:rPr>
                <w:rFonts w:eastAsia="Calibri"/>
                <w:iCs/>
                <w:color w:val="0070C0"/>
              </w:rPr>
            </w:pPr>
          </w:p>
          <w:p w14:paraId="4E5FD647" w14:textId="77777777" w:rsidR="00EB5CD1" w:rsidRPr="00E95EEE" w:rsidRDefault="00EB5CD1" w:rsidP="00EB5CD1">
            <w:pPr>
              <w:ind w:left="1030"/>
              <w:contextualSpacing/>
              <w:jc w:val="both"/>
              <w:rPr>
                <w:rFonts w:eastAsiaTheme="minorEastAsia"/>
              </w:rPr>
            </w:pPr>
            <m:oMath>
              <m:r>
                <m:rPr>
                  <m:sty m:val="p"/>
                </m:rPr>
                <w:rPr>
                  <w:rFonts w:ascii="Cambria Math" w:eastAsia="Calibri" w:hAnsi="Cambria Math"/>
                </w:rPr>
                <m:t>k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Ind</m:t>
                      </m:r>
                    </m:e>
                    <m:sub>
                      <m:r>
                        <m:rPr>
                          <m:sty m:val="p"/>
                        </m:rPr>
                        <w:rPr>
                          <w:rFonts w:ascii="Cambria Math" w:eastAsiaTheme="minorEastAsia" w:hAnsi="Cambria Math"/>
                        </w:rPr>
                        <m:t>naujausias</m:t>
                      </m:r>
                    </m:sub>
                  </m:sSub>
                </m:num>
                <m:den>
                  <m:sSub>
                    <m:sSubPr>
                      <m:ctrlPr>
                        <w:rPr>
                          <w:rFonts w:ascii="Cambria Math" w:eastAsiaTheme="minorEastAsia" w:hAnsi="Cambria Math"/>
                        </w:rPr>
                      </m:ctrlPr>
                    </m:sSubPr>
                    <m:e>
                      <m:r>
                        <m:rPr>
                          <m:sty m:val="p"/>
                        </m:rPr>
                        <w:rPr>
                          <w:rFonts w:ascii="Cambria Math" w:eastAsiaTheme="minorEastAsia" w:hAnsi="Cambria Math"/>
                        </w:rPr>
                        <m:t>Ind</m:t>
                      </m:r>
                    </m:e>
                    <m:sub>
                      <m:r>
                        <m:rPr>
                          <m:sty m:val="p"/>
                        </m:rPr>
                        <w:rPr>
                          <w:rFonts w:ascii="Cambria Math" w:eastAsiaTheme="minorEastAsia" w:hAnsi="Cambria Math"/>
                        </w:rPr>
                        <m:t>pradžia</m:t>
                      </m:r>
                    </m:sub>
                  </m:sSub>
                </m:den>
              </m:f>
              <m:r>
                <m:rPr>
                  <m:sty m:val="p"/>
                </m:rPr>
                <w:rPr>
                  <w:rFonts w:ascii="Cambria Math" w:eastAsiaTheme="minorEastAsia" w:hAnsi="Cambria Math"/>
                </w:rPr>
                <m:t>×100-100</m:t>
              </m:r>
            </m:oMath>
            <w:r w:rsidRPr="00E95EEE">
              <w:rPr>
                <w:rFonts w:eastAsiaTheme="minorEastAsia"/>
              </w:rPr>
              <w:t>, (proc.), kur</w:t>
            </w:r>
          </w:p>
          <w:p w14:paraId="4DAC35A3" w14:textId="77777777" w:rsidR="00EB5CD1" w:rsidRDefault="00EB5CD1" w:rsidP="00EB5CD1">
            <w:pPr>
              <w:ind w:left="1030"/>
              <w:contextualSpacing/>
              <w:jc w:val="both"/>
              <w:rPr>
                <w:rFonts w:eastAsia="Calibri"/>
              </w:rPr>
            </w:pPr>
          </w:p>
          <w:p w14:paraId="629291DE" w14:textId="77777777" w:rsidR="00136AB4" w:rsidRPr="00E95EEE" w:rsidRDefault="00136AB4" w:rsidP="00EB5CD1">
            <w:pPr>
              <w:ind w:left="1030"/>
              <w:contextualSpacing/>
              <w:jc w:val="both"/>
              <w:rPr>
                <w:rFonts w:eastAsia="Calibri"/>
              </w:rPr>
            </w:pPr>
          </w:p>
          <w:p w14:paraId="2BF2E1D1" w14:textId="77777777" w:rsidR="00EB5CD1" w:rsidRPr="00E95EEE" w:rsidRDefault="00EB5CD1" w:rsidP="00EB5CD1">
            <w:pPr>
              <w:contextualSpacing/>
              <w:jc w:val="both"/>
              <w:rPr>
                <w:rFonts w:eastAsia="Calibri"/>
              </w:rPr>
            </w:pPr>
            <w:proofErr w:type="spellStart"/>
            <w:r w:rsidRPr="00E95EEE">
              <w:rPr>
                <w:rFonts w:eastAsia="Calibri"/>
              </w:rPr>
              <w:t>Ind</w:t>
            </w:r>
            <w:r w:rsidRPr="00E95EEE">
              <w:rPr>
                <w:rFonts w:eastAsia="Calibri"/>
                <w:vertAlign w:val="subscript"/>
              </w:rPr>
              <w:t>naujausias</w:t>
            </w:r>
            <w:proofErr w:type="spellEnd"/>
            <w:r w:rsidRPr="00E95EEE">
              <w:rPr>
                <w:rFonts w:eastAsia="Calibri"/>
              </w:rPr>
              <w:t xml:space="preserve"> – kreipimosi dėl kainos perskaičiavimo išsiuntimo kitai šaliai datą naujausias paskelbtas </w:t>
            </w:r>
            <w:r>
              <w:rPr>
                <w:rFonts w:eastAsia="Calibri"/>
              </w:rPr>
              <w:t>vartojimo prekių ir paslaugų indeksas „HICP“</w:t>
            </w:r>
            <w:r>
              <w:rPr>
                <w:rStyle w:val="FootnoteReference"/>
                <w:rFonts w:eastAsia="Calibri"/>
              </w:rPr>
              <w:footnoteReference w:id="1"/>
            </w:r>
            <w:r>
              <w:rPr>
                <w:rFonts w:eastAsia="Calibri"/>
              </w:rPr>
              <w:t>;</w:t>
            </w:r>
          </w:p>
          <w:p w14:paraId="1FCDE58C" w14:textId="77777777" w:rsidR="009E3D2A" w:rsidRDefault="00EB5CD1" w:rsidP="00EB5CD1">
            <w:pPr>
              <w:contextualSpacing/>
              <w:jc w:val="both"/>
              <w:rPr>
                <w:rFonts w:eastAsia="Calibri"/>
              </w:rPr>
            </w:pPr>
            <w:proofErr w:type="spellStart"/>
            <w:r w:rsidRPr="00E95EEE">
              <w:rPr>
                <w:rFonts w:eastAsia="Calibri"/>
              </w:rPr>
              <w:t>Ind</w:t>
            </w:r>
            <w:r w:rsidRPr="00E95EEE">
              <w:rPr>
                <w:rFonts w:eastAsia="Calibri"/>
                <w:vertAlign w:val="subscript"/>
              </w:rPr>
              <w:t>pradžia</w:t>
            </w:r>
            <w:proofErr w:type="spellEnd"/>
            <w:r w:rsidRPr="00E95EEE">
              <w:rPr>
                <w:rFonts w:eastAsia="Calibri"/>
              </w:rPr>
              <w:t xml:space="preserve"> – laikotarpio pradžios datos (mėnesio) </w:t>
            </w:r>
            <w:r>
              <w:rPr>
                <w:rFonts w:eastAsia="Calibri"/>
              </w:rPr>
              <w:t>vartojimo prekių ir paslaugų indeksas „Vartojimo prekės ir paslaugos“;</w:t>
            </w:r>
          </w:p>
          <w:p w14:paraId="38EBDE70" w14:textId="77777777" w:rsidR="009E3D2A" w:rsidRPr="00FD752A" w:rsidRDefault="008E2B57" w:rsidP="00A96934">
            <w:pPr>
              <w:pStyle w:val="Heading2"/>
              <w:rPr>
                <w:rFonts w:eastAsia="Calibri"/>
                <w:b w:val="0"/>
              </w:rPr>
            </w:pPr>
            <w:r w:rsidRPr="009E3D2A">
              <w:rPr>
                <w:rFonts w:eastAsiaTheme="minorHAnsi"/>
                <w:b w:val="0"/>
                <w:szCs w:val="22"/>
              </w:rPr>
              <w:t>2.</w:t>
            </w:r>
            <w:r w:rsidR="00896F88" w:rsidRPr="009E3D2A">
              <w:rPr>
                <w:rFonts w:eastAsiaTheme="minorHAnsi"/>
                <w:b w:val="0"/>
                <w:szCs w:val="22"/>
              </w:rPr>
              <w:t>6</w:t>
            </w:r>
            <w:r w:rsidR="00AC0F66" w:rsidRPr="009E3D2A">
              <w:rPr>
                <w:rFonts w:eastAsiaTheme="minorHAnsi"/>
                <w:b w:val="0"/>
                <w:szCs w:val="22"/>
              </w:rPr>
              <w:t>.</w:t>
            </w:r>
            <w:r w:rsidR="001E5605" w:rsidRPr="009E3D2A">
              <w:rPr>
                <w:rFonts w:eastAsiaTheme="minorHAnsi"/>
                <w:b w:val="0"/>
                <w:szCs w:val="22"/>
              </w:rPr>
              <w:t>4</w:t>
            </w:r>
            <w:r w:rsidRPr="009E3D2A">
              <w:rPr>
                <w:rFonts w:eastAsiaTheme="minorHAnsi"/>
                <w:b w:val="0"/>
                <w:szCs w:val="22"/>
              </w:rPr>
              <w:t>.</w:t>
            </w:r>
            <w:r w:rsidR="00AC0F66" w:rsidRPr="009E3D2A">
              <w:rPr>
                <w:rFonts w:eastAsiaTheme="minorHAnsi"/>
                <w:b w:val="0"/>
                <w:szCs w:val="22"/>
              </w:rPr>
              <w:t xml:space="preserve"> </w:t>
            </w:r>
            <w:r w:rsidR="009E3D2A" w:rsidRPr="009E3D2A">
              <w:rPr>
                <w:rFonts w:eastAsia="Calibri"/>
                <w:b w:val="0"/>
              </w:rPr>
              <w:t xml:space="preserve">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4BC13977" w14:textId="77777777" w:rsidR="009E3D2A" w:rsidRPr="009E3D2A" w:rsidRDefault="009E3D2A" w:rsidP="00A96934">
            <w:pPr>
              <w:pStyle w:val="Heading2"/>
              <w:rPr>
                <w:rFonts w:eastAsia="Calibri"/>
                <w:b w:val="0"/>
              </w:rPr>
            </w:pPr>
            <w:r w:rsidRPr="009E3D2A">
              <w:rPr>
                <w:rFonts w:eastAsia="Calibri"/>
                <w:b w:val="0"/>
              </w:rPr>
              <w:t>2.6.5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4EC66EB5" w14:textId="77777777" w:rsidR="009E3D2A" w:rsidRDefault="009E3D2A" w:rsidP="00A96934">
            <w:pPr>
              <w:jc w:val="both"/>
            </w:pPr>
            <w:r w:rsidRPr="009E3D2A">
              <w:rPr>
                <w:rFonts w:eastAsia="Calibri"/>
              </w:rPr>
              <w:t xml:space="preserve">2.6.6. </w:t>
            </w:r>
            <w:r w:rsidRPr="009E3D2A">
              <w:t>Vadovaujantis VPĮ 89 str. 1 d. 3 p. b papunkčiu, įkainiai negali būti perskaičiuojami, jei po indeksavimo Sutarties kaina viršytų ar būtų mažesnė nei 50 procentų nuo pradinės Sutarties vertės. Tokiu atveju gali būti taikomas tik tokio dydžio įkainis, kuriuo remiantis apskaičiavus Sutarties vertę, ji neviršytų ar nebūtų mažesnė nei 50 procentų pradinės Sutarties vertės.</w:t>
            </w:r>
          </w:p>
          <w:p w14:paraId="2D9205D9" w14:textId="77777777" w:rsidR="009E3D2A" w:rsidRPr="009E3D2A" w:rsidRDefault="009E3D2A" w:rsidP="00A96934">
            <w:pPr>
              <w:jc w:val="both"/>
              <w:rPr>
                <w:lang w:eastAsia="en-US"/>
              </w:rPr>
            </w:pPr>
            <w:r>
              <w:rPr>
                <w:lang w:eastAsia="en-US"/>
              </w:rPr>
              <w:t xml:space="preserve">2.6.7. </w:t>
            </w:r>
            <w:r w:rsidRPr="00E95EEE">
              <w:rPr>
                <w:iCs/>
              </w:rPr>
              <w:t xml:space="preserve">Perskaičiuoti </w:t>
            </w:r>
            <w:bookmarkStart w:id="0" w:name="_Hlk103860217"/>
            <w:r w:rsidRPr="00E95EEE">
              <w:rPr>
                <w:iCs/>
              </w:rPr>
              <w:t>įkainiai įforminami raštišku Šalių susitarimu</w:t>
            </w:r>
            <w:r w:rsidRPr="00E95EEE">
              <w:t xml:space="preserve"> per 7 darbo dienas nuo prašymo indeksuoti įkainį gavimo dienos</w:t>
            </w:r>
            <w:r w:rsidRPr="00E95EEE">
              <w:rPr>
                <w:iCs/>
              </w:rPr>
              <w:t xml:space="preserve"> ir </w:t>
            </w:r>
            <w:bookmarkEnd w:id="0"/>
            <w:r w:rsidRPr="00E95EEE">
              <w:t>taikomi po tokio Šalių pasirašyto susitarimo įsigaliojimo dienos.</w:t>
            </w:r>
          </w:p>
          <w:p w14:paraId="55F7257B" w14:textId="77777777" w:rsidR="00AC0F66" w:rsidRPr="008E2B57" w:rsidRDefault="00AC0F66" w:rsidP="008E2B57">
            <w:pPr>
              <w:suppressAutoHyphens/>
              <w:spacing w:after="200" w:line="276" w:lineRule="auto"/>
              <w:rPr>
                <w:rFonts w:asciiTheme="minorHAnsi" w:eastAsiaTheme="minorHAnsi" w:hAnsiTheme="minorHAnsi" w:cstheme="minorBidi"/>
                <w:sz w:val="22"/>
                <w:szCs w:val="22"/>
                <w:lang w:eastAsia="en-US"/>
              </w:rPr>
            </w:pPr>
          </w:p>
        </w:tc>
      </w:tr>
      <w:tr w:rsidR="0051758C" w14:paraId="29A68823" w14:textId="77777777" w:rsidTr="00BB0FDA">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B06B5CB" w14:textId="77777777" w:rsidR="0051758C" w:rsidRDefault="0051758C">
            <w:pPr>
              <w:rPr>
                <w:b/>
              </w:rPr>
            </w:pPr>
            <w:r w:rsidRPr="00EB4422">
              <w:rPr>
                <w:b/>
              </w:rPr>
              <w:lastRenderedPageBreak/>
              <w:t>3. Prekių pristatymo vieta, terminas ir sąlygos</w:t>
            </w:r>
          </w:p>
          <w:p w14:paraId="3B78EE62" w14:textId="77777777" w:rsidR="0059060C" w:rsidRPr="0059060C" w:rsidRDefault="0059060C" w:rsidP="0059060C">
            <w:pPr>
              <w:suppressAutoHyphens/>
              <w:ind w:right="57"/>
              <w:jc w:val="both"/>
              <w:rPr>
                <w:rFonts w:eastAsia="Calibri"/>
                <w:lang w:eastAsia="en-US"/>
              </w:rPr>
            </w:pPr>
            <w:r w:rsidRPr="0059060C">
              <w:t>3.1.</w:t>
            </w:r>
            <w:r w:rsidRPr="0059060C">
              <w:rPr>
                <w:b/>
              </w:rPr>
              <w:t xml:space="preserve"> Pardavėjas </w:t>
            </w:r>
            <w:r w:rsidRPr="0059060C">
              <w:rPr>
                <w:rFonts w:eastAsia="Calibri"/>
                <w:lang w:eastAsia="en-US"/>
              </w:rPr>
              <w:t>įsipareigoja:</w:t>
            </w:r>
          </w:p>
          <w:p w14:paraId="295E03F0" w14:textId="77777777" w:rsidR="00A013F4" w:rsidRDefault="0059060C" w:rsidP="00A013F4">
            <w:pPr>
              <w:suppressAutoHyphens/>
              <w:ind w:right="57"/>
              <w:jc w:val="both"/>
              <w:rPr>
                <w:rFonts w:eastAsia="Calibri"/>
                <w:lang w:eastAsia="en-US"/>
              </w:rPr>
            </w:pPr>
            <w:r w:rsidRPr="0059060C">
              <w:rPr>
                <w:rFonts w:eastAsia="Calibri"/>
                <w:lang w:eastAsia="en-US"/>
              </w:rPr>
              <w:t xml:space="preserve">3.1.1. </w:t>
            </w:r>
            <w:r w:rsidR="004E4F60">
              <w:rPr>
                <w:rFonts w:eastAsia="Calibri"/>
                <w:lang w:eastAsia="en-US"/>
              </w:rPr>
              <w:t xml:space="preserve">pristatyti </w:t>
            </w:r>
            <w:r w:rsidR="001C6F25">
              <w:rPr>
                <w:rFonts w:eastAsia="Calibri"/>
                <w:lang w:eastAsia="en-US"/>
              </w:rPr>
              <w:t>prekes per 5 (penkis) mėnesius nuo užsakymo pateikimo dienos</w:t>
            </w:r>
            <w:r w:rsidR="005C6E2A">
              <w:rPr>
                <w:rFonts w:eastAsia="Calibri"/>
                <w:lang w:eastAsia="en-US"/>
              </w:rPr>
              <w:t xml:space="preserve"> (</w:t>
            </w:r>
            <w:r w:rsidR="0050449D">
              <w:rPr>
                <w:rFonts w:eastAsia="Calibri"/>
                <w:lang w:eastAsia="en-US"/>
              </w:rPr>
              <w:t>pateikiamas užpildytas</w:t>
            </w:r>
            <w:r w:rsidR="001C6F25">
              <w:rPr>
                <w:lang w:eastAsia="en-US"/>
              </w:rPr>
              <w:t xml:space="preserve"> Sutarties 3</w:t>
            </w:r>
            <w:r w:rsidR="001C6F25" w:rsidRPr="00B716A2">
              <w:rPr>
                <w:lang w:eastAsia="en-US"/>
              </w:rPr>
              <w:t xml:space="preserve"> pried</w:t>
            </w:r>
            <w:r w:rsidR="0050449D">
              <w:rPr>
                <w:lang w:eastAsia="en-US"/>
              </w:rPr>
              <w:t>as</w:t>
            </w:r>
            <w:r w:rsidR="005C6E2A">
              <w:rPr>
                <w:lang w:eastAsia="en-US"/>
              </w:rPr>
              <w:t>)</w:t>
            </w:r>
            <w:r w:rsidR="001C6F25">
              <w:rPr>
                <w:rFonts w:eastAsia="Calibri"/>
                <w:lang w:eastAsia="en-US"/>
              </w:rPr>
              <w:t xml:space="preserve">. </w:t>
            </w:r>
          </w:p>
          <w:p w14:paraId="16C9DBF7" w14:textId="77777777" w:rsidR="003C51B7" w:rsidRPr="0059060C" w:rsidRDefault="001C6F25" w:rsidP="003C51B7">
            <w:pPr>
              <w:suppressAutoHyphens/>
              <w:ind w:right="57"/>
              <w:jc w:val="both"/>
              <w:rPr>
                <w:lang w:eastAsia="en-US"/>
              </w:rPr>
            </w:pPr>
            <w:r>
              <w:rPr>
                <w:lang w:eastAsia="en-US"/>
              </w:rPr>
              <w:t>3.1.2</w:t>
            </w:r>
            <w:r w:rsidR="003C51B7" w:rsidRPr="0059060C">
              <w:rPr>
                <w:lang w:eastAsia="en-US"/>
              </w:rPr>
              <w:t xml:space="preserve">. prekių gamybą pradėti tik suderinus darbinius pavyzdžius; </w:t>
            </w:r>
          </w:p>
          <w:p w14:paraId="59085B09" w14:textId="77777777" w:rsidR="003C51B7" w:rsidRDefault="001C6F25" w:rsidP="003C51B7">
            <w:pPr>
              <w:suppressAutoHyphens/>
              <w:ind w:right="57"/>
              <w:jc w:val="both"/>
              <w:rPr>
                <w:lang w:eastAsia="en-US"/>
              </w:rPr>
            </w:pPr>
            <w:r>
              <w:rPr>
                <w:rFonts w:eastAsia="Calibri"/>
                <w:lang w:eastAsia="en-US"/>
              </w:rPr>
              <w:t>3.1.3</w:t>
            </w:r>
            <w:r w:rsidR="003C51B7">
              <w:rPr>
                <w:rFonts w:eastAsia="Calibri"/>
                <w:lang w:eastAsia="en-US"/>
              </w:rPr>
              <w:t xml:space="preserve">. </w:t>
            </w:r>
            <w:r w:rsidR="003C51B7" w:rsidRPr="0059060C">
              <w:rPr>
                <w:lang w:eastAsia="en-US"/>
              </w:rPr>
              <w:t xml:space="preserve">įvykdyti </w:t>
            </w:r>
            <w:r w:rsidR="003C51B7" w:rsidRPr="0059060C">
              <w:rPr>
                <w:b/>
                <w:lang w:eastAsia="en-US"/>
              </w:rPr>
              <w:t xml:space="preserve">ne </w:t>
            </w:r>
            <w:r w:rsidR="003C51B7" w:rsidRPr="007A5938">
              <w:rPr>
                <w:b/>
                <w:lang w:eastAsia="en-US"/>
              </w:rPr>
              <w:t>vėliau kaip</w:t>
            </w:r>
            <w:r w:rsidR="003C51B7" w:rsidRPr="007A5938">
              <w:rPr>
                <w:lang w:eastAsia="en-US"/>
              </w:rPr>
              <w:t xml:space="preserve"> </w:t>
            </w:r>
            <w:r w:rsidR="003C51B7" w:rsidRPr="007A5938">
              <w:rPr>
                <w:b/>
                <w:lang w:eastAsia="en-US"/>
              </w:rPr>
              <w:t xml:space="preserve">per </w:t>
            </w:r>
            <w:r>
              <w:rPr>
                <w:b/>
                <w:lang w:eastAsia="en-US"/>
              </w:rPr>
              <w:t>3</w:t>
            </w:r>
            <w:r w:rsidR="003C51B7" w:rsidRPr="007A5938">
              <w:rPr>
                <w:b/>
                <w:lang w:eastAsia="en-US"/>
              </w:rPr>
              <w:t xml:space="preserve"> (</w:t>
            </w:r>
            <w:r>
              <w:rPr>
                <w:b/>
                <w:lang w:eastAsia="en-US"/>
              </w:rPr>
              <w:t>tris) mėnesius</w:t>
            </w:r>
            <w:r w:rsidR="003C51B7" w:rsidRPr="007A5938">
              <w:rPr>
                <w:b/>
                <w:lang w:eastAsia="en-US"/>
              </w:rPr>
              <w:t xml:space="preserve"> </w:t>
            </w:r>
            <w:r w:rsidR="003C51B7" w:rsidRPr="007A5938">
              <w:rPr>
                <w:lang w:eastAsia="en-US"/>
              </w:rPr>
              <w:t xml:space="preserve">nuo Sutarties įsigaliojimo dienos Sutarties bendrosios dalies </w:t>
            </w:r>
            <w:r w:rsidR="007A5938" w:rsidRPr="007A5938">
              <w:rPr>
                <w:lang w:eastAsia="en-US"/>
              </w:rPr>
              <w:t xml:space="preserve">3.5.1 </w:t>
            </w:r>
            <w:r w:rsidR="003C51B7" w:rsidRPr="007A5938">
              <w:rPr>
                <w:lang w:eastAsia="en-US"/>
              </w:rPr>
              <w:t xml:space="preserve">ir 3.5.3 papunkčiuose nurodytus įsipareigojimus. </w:t>
            </w:r>
          </w:p>
          <w:p w14:paraId="30994CF9" w14:textId="77777777" w:rsidR="007A5938" w:rsidRDefault="001C6F25" w:rsidP="007A5938">
            <w:pPr>
              <w:suppressAutoHyphens/>
              <w:ind w:right="57"/>
              <w:jc w:val="both"/>
              <w:rPr>
                <w:lang w:eastAsia="en-US"/>
              </w:rPr>
            </w:pPr>
            <w:r>
              <w:rPr>
                <w:lang w:eastAsia="en-US"/>
              </w:rPr>
              <w:lastRenderedPageBreak/>
              <w:t>3.1.4</w:t>
            </w:r>
            <w:r w:rsidR="007A5938">
              <w:rPr>
                <w:lang w:eastAsia="en-US"/>
              </w:rPr>
              <w:t xml:space="preserve">. </w:t>
            </w:r>
            <w:r w:rsidR="007A5938" w:rsidRPr="007A5938">
              <w:rPr>
                <w:b/>
                <w:lang w:eastAsia="en-US"/>
              </w:rPr>
              <w:t>Pardavėjas</w:t>
            </w:r>
            <w:r w:rsidR="007A5938">
              <w:rPr>
                <w:lang w:eastAsia="en-US"/>
              </w:rPr>
              <w:t xml:space="preserve"> kartu </w:t>
            </w:r>
            <w:r w:rsidR="007A5938" w:rsidRPr="000027C2">
              <w:rPr>
                <w:lang w:eastAsia="en-US"/>
              </w:rPr>
              <w:t xml:space="preserve">su pirma prekių partija </w:t>
            </w:r>
            <w:r w:rsidR="007A5938">
              <w:rPr>
                <w:lang w:eastAsia="en-US"/>
              </w:rPr>
              <w:t xml:space="preserve">turi </w:t>
            </w:r>
            <w:r w:rsidR="007A5938" w:rsidRPr="000027C2">
              <w:rPr>
                <w:lang w:eastAsia="en-US"/>
              </w:rPr>
              <w:t>pateikti</w:t>
            </w:r>
            <w:r w:rsidR="007A5938">
              <w:rPr>
                <w:lang w:eastAsia="en-US"/>
              </w:rPr>
              <w:t xml:space="preserve"> gamintojo atitikties deklaraciją, parengtą pagal LST EN ISO/IEC 17050:1 standarto formos A2 pavyzdį arba lygiavertį standartą </w:t>
            </w:r>
            <w:r w:rsidR="00A966F9">
              <w:rPr>
                <w:lang w:eastAsia="en-US"/>
              </w:rPr>
              <w:t xml:space="preserve">su dokumentais (gamintojo techninis dokumentas, protokolas, atitikties sertifikatas ar pan.)  patvirtinantis prekių </w:t>
            </w:r>
            <w:r w:rsidR="00FD28B4">
              <w:rPr>
                <w:lang w:eastAsia="en-US"/>
              </w:rPr>
              <w:t>atitikimą techninėje specifikacijoje nurodytiems reikalavimams.</w:t>
            </w:r>
            <w:r w:rsidR="00A15F43">
              <w:rPr>
                <w:lang w:eastAsia="en-US"/>
              </w:rPr>
              <w:t xml:space="preserve"> </w:t>
            </w:r>
          </w:p>
          <w:p w14:paraId="042ACB18" w14:textId="77777777" w:rsidR="005436AD" w:rsidRPr="0059060C" w:rsidRDefault="001C6F25" w:rsidP="0059060C">
            <w:pPr>
              <w:suppressAutoHyphens/>
              <w:ind w:right="57"/>
              <w:jc w:val="both"/>
            </w:pPr>
            <w:r>
              <w:rPr>
                <w:bCs/>
              </w:rPr>
              <w:t>3.1.</w:t>
            </w:r>
            <w:r w:rsidR="00A966F9">
              <w:rPr>
                <w:bCs/>
              </w:rPr>
              <w:t>5</w:t>
            </w:r>
            <w:r w:rsidR="005436AD">
              <w:rPr>
                <w:bCs/>
              </w:rPr>
              <w:t xml:space="preserve">. </w:t>
            </w:r>
            <w:r w:rsidR="005436AD" w:rsidRPr="00B04666">
              <w:rPr>
                <w:b/>
                <w:lang w:eastAsia="en-US"/>
              </w:rPr>
              <w:t>Pardavėjas</w:t>
            </w:r>
            <w:r w:rsidR="005436AD" w:rsidRPr="00B04666">
              <w:rPr>
                <w:lang w:eastAsia="en-US"/>
              </w:rPr>
              <w:t xml:space="preserve"> privalo užtikrinti, kad Sutarties sudarymo ir vykdymo metu neatsirastų aplinkybių, nurodytų </w:t>
            </w:r>
            <w:r w:rsidR="00A96934">
              <w:rPr>
                <w:lang w:eastAsia="en-US"/>
              </w:rPr>
              <w:t xml:space="preserve">VPĮ </w:t>
            </w:r>
            <w:r w:rsidR="005436AD" w:rsidRPr="00B04666">
              <w:rPr>
                <w:lang w:eastAsia="en-US"/>
              </w:rPr>
              <w:t>45 straipsnio 2</w:t>
            </w:r>
            <w:r w:rsidR="005436AD" w:rsidRPr="00B04666">
              <w:rPr>
                <w:vertAlign w:val="superscript"/>
                <w:lang w:eastAsia="en-US"/>
              </w:rPr>
              <w:t>1</w:t>
            </w:r>
            <w:r w:rsidR="005436AD" w:rsidRPr="00B04666">
              <w:rPr>
                <w:lang w:eastAsia="en-US"/>
              </w:rPr>
              <w:t xml:space="preserve"> dalyje. </w:t>
            </w:r>
            <w:r w:rsidR="005436AD" w:rsidRPr="002A554A">
              <w:rPr>
                <w:b/>
                <w:lang w:eastAsia="en-US"/>
              </w:rPr>
              <w:t>Pirkėjas</w:t>
            </w:r>
            <w:r w:rsidR="005436AD" w:rsidRPr="00B04666">
              <w:rPr>
                <w:lang w:eastAsia="en-US"/>
              </w:rPr>
              <w:t xml:space="preserve"> turi teisę bet kuriuo metu pareikalauti </w:t>
            </w:r>
            <w:r w:rsidR="005436AD" w:rsidRPr="002A554A">
              <w:rPr>
                <w:b/>
                <w:lang w:eastAsia="en-US"/>
              </w:rPr>
              <w:t>Pardavėjo</w:t>
            </w:r>
            <w:r w:rsidR="005436AD" w:rsidRPr="00B04666">
              <w:rPr>
                <w:lang w:eastAsia="en-US"/>
              </w:rPr>
              <w:t xml:space="preserve"> pateikti pagrindžiančius dokumentus, nurodytus </w:t>
            </w:r>
            <w:r w:rsidR="00A96934">
              <w:rPr>
                <w:lang w:eastAsia="en-US"/>
              </w:rPr>
              <w:t xml:space="preserve">VPĮ </w:t>
            </w:r>
            <w:r w:rsidR="005436AD" w:rsidRPr="00B04666">
              <w:rPr>
                <w:lang w:eastAsia="en-US"/>
              </w:rPr>
              <w:t xml:space="preserve">51 straipsnio 12 dalyje, kad nėra sąlygų, numatytų </w:t>
            </w:r>
            <w:r w:rsidR="00A96934">
              <w:rPr>
                <w:lang w:eastAsia="en-US"/>
              </w:rPr>
              <w:t xml:space="preserve">VPĮ </w:t>
            </w:r>
            <w:r w:rsidR="005436AD" w:rsidRPr="00B04666">
              <w:rPr>
                <w:lang w:eastAsia="en-US"/>
              </w:rPr>
              <w:t>45 straipsnio 2</w:t>
            </w:r>
            <w:r w:rsidR="005436AD" w:rsidRPr="00B04666">
              <w:rPr>
                <w:vertAlign w:val="superscript"/>
                <w:lang w:eastAsia="en-US"/>
              </w:rPr>
              <w:t>1</w:t>
            </w:r>
            <w:r w:rsidR="005436AD" w:rsidRPr="00B04666">
              <w:rPr>
                <w:lang w:eastAsia="en-US"/>
              </w:rPr>
              <w:t xml:space="preserve"> dalyje. </w:t>
            </w:r>
            <w:r w:rsidR="005436AD" w:rsidRPr="002A554A">
              <w:rPr>
                <w:b/>
                <w:lang w:eastAsia="en-US"/>
              </w:rPr>
              <w:t>Pardavėjas</w:t>
            </w:r>
            <w:r w:rsidR="005436AD" w:rsidRPr="00B04666">
              <w:rPr>
                <w:lang w:eastAsia="en-US"/>
              </w:rPr>
              <w:t xml:space="preserve"> privalo pateikti </w:t>
            </w:r>
            <w:r w:rsidR="005436AD" w:rsidRPr="002A554A">
              <w:rPr>
                <w:b/>
                <w:lang w:eastAsia="en-US"/>
              </w:rPr>
              <w:t>Pirkėjo</w:t>
            </w:r>
            <w:r w:rsidR="005436AD" w:rsidRPr="00B04666">
              <w:rPr>
                <w:lang w:eastAsia="en-US"/>
              </w:rPr>
              <w:t xml:space="preserve"> prašomus dokumentus ne vėliau kaip per 10 darbo dienų nuo prašymo gavimo dienos.</w:t>
            </w:r>
          </w:p>
          <w:p w14:paraId="78BE1B00" w14:textId="77777777" w:rsidR="0051758C" w:rsidRDefault="0059060C" w:rsidP="00FD28B4">
            <w:pPr>
              <w:suppressAutoHyphens/>
              <w:jc w:val="both"/>
              <w:rPr>
                <w:lang w:eastAsia="en-US"/>
              </w:rPr>
            </w:pPr>
            <w:r w:rsidRPr="0059060C">
              <w:rPr>
                <w:lang w:eastAsia="en-US"/>
              </w:rPr>
              <w:t>3.2. Prekės pristatomos pagal tarptautines prekybos (sutarčių) sąlygas INCOTERMS 2020</w:t>
            </w:r>
            <w:r w:rsidR="0022061A">
              <w:rPr>
                <w:lang w:eastAsia="en-US"/>
              </w:rPr>
              <w:t xml:space="preserve"> (D</w:t>
            </w:r>
            <w:r w:rsidR="005E55F5">
              <w:rPr>
                <w:lang w:eastAsia="en-US"/>
              </w:rPr>
              <w:t>DP</w:t>
            </w:r>
            <w:r w:rsidR="0022061A">
              <w:rPr>
                <w:lang w:eastAsia="en-US"/>
              </w:rPr>
              <w:t>)</w:t>
            </w:r>
            <w:r w:rsidRPr="0059060C">
              <w:rPr>
                <w:lang w:eastAsia="en-US"/>
              </w:rPr>
              <w:t xml:space="preserve"> </w:t>
            </w:r>
            <w:r w:rsidRPr="0059060C">
              <w:rPr>
                <w:szCs w:val="20"/>
              </w:rPr>
              <w:t>Lietuvos kariuomenės Depų tarnyba</w:t>
            </w:r>
            <w:r w:rsidRPr="005E55F5">
              <w:rPr>
                <w:lang w:eastAsia="en-US"/>
              </w:rPr>
              <w:t>i</w:t>
            </w:r>
            <w:r w:rsidRPr="0059060C">
              <w:rPr>
                <w:b/>
                <w:lang w:eastAsia="en-US"/>
              </w:rPr>
              <w:t xml:space="preserve"> </w:t>
            </w:r>
            <w:r w:rsidRPr="0059060C">
              <w:rPr>
                <w:lang w:eastAsia="en-US"/>
              </w:rPr>
              <w:t xml:space="preserve">adresu </w:t>
            </w:r>
            <w:r w:rsidR="00FD28B4">
              <w:rPr>
                <w:lang w:eastAsia="en-US"/>
              </w:rPr>
              <w:t>Savanorių pr. 8.</w:t>
            </w:r>
            <w:r w:rsidR="0050449D">
              <w:rPr>
                <w:lang w:eastAsia="en-US"/>
              </w:rPr>
              <w:t>, Vilnius</w:t>
            </w:r>
          </w:p>
          <w:p w14:paraId="301ED38D" w14:textId="77777777" w:rsidR="00FD752A" w:rsidRDefault="00FD752A" w:rsidP="00FD28B4">
            <w:pPr>
              <w:suppressAutoHyphens/>
              <w:jc w:val="both"/>
              <w:rPr>
                <w:lang w:eastAsia="en-US"/>
              </w:rPr>
            </w:pPr>
          </w:p>
        </w:tc>
      </w:tr>
      <w:tr w:rsidR="0051758C" w14:paraId="3C567692" w14:textId="77777777" w:rsidTr="00BB0FDA">
        <w:trPr>
          <w:trHeight w:val="841"/>
        </w:trPr>
        <w:tc>
          <w:tcPr>
            <w:tcW w:w="5000" w:type="pct"/>
            <w:gridSpan w:val="3"/>
            <w:tcBorders>
              <w:top w:val="single" w:sz="4" w:space="0" w:color="auto"/>
              <w:left w:val="single" w:sz="4" w:space="0" w:color="auto"/>
              <w:bottom w:val="single" w:sz="4" w:space="0" w:color="auto"/>
              <w:right w:val="single" w:sz="4" w:space="0" w:color="auto"/>
            </w:tcBorders>
            <w:hideMark/>
          </w:tcPr>
          <w:p w14:paraId="74C17E3A" w14:textId="77777777" w:rsidR="0051758C" w:rsidRDefault="0051758C">
            <w:pPr>
              <w:jc w:val="both"/>
              <w:rPr>
                <w:b/>
              </w:rPr>
            </w:pPr>
            <w:r w:rsidRPr="00EB4422">
              <w:rPr>
                <w:b/>
              </w:rPr>
              <w:lastRenderedPageBreak/>
              <w:t>4. Apmokėjimo tvarka</w:t>
            </w:r>
          </w:p>
          <w:p w14:paraId="3E147D44" w14:textId="77777777" w:rsidR="007B5A34" w:rsidRDefault="007B5A34">
            <w:pPr>
              <w:jc w:val="both"/>
            </w:pPr>
            <w:r w:rsidRPr="00114A8E">
              <w:t xml:space="preserve">4.1. </w:t>
            </w:r>
            <w:r>
              <w:rPr>
                <w:b/>
              </w:rPr>
              <w:t xml:space="preserve">Mokėtojas </w:t>
            </w:r>
            <w:r>
              <w:t xml:space="preserve">su </w:t>
            </w:r>
            <w:r>
              <w:rPr>
                <w:b/>
              </w:rPr>
              <w:t xml:space="preserve">Pardavėju </w:t>
            </w:r>
            <w:r>
              <w:t xml:space="preserve">atsiskaito Sutarties bendrosios dalies 4.1 papunktyje nustatyta tvarka. </w:t>
            </w:r>
          </w:p>
          <w:p w14:paraId="33167FD5" w14:textId="77777777" w:rsidR="007B5A34" w:rsidRDefault="007B5A34">
            <w:pPr>
              <w:jc w:val="both"/>
            </w:pPr>
            <w:r>
              <w:t xml:space="preserve">4.2. </w:t>
            </w:r>
            <w:r w:rsidRPr="00114A8E">
              <w:rPr>
                <w:b/>
              </w:rPr>
              <w:t>Pirkėjui</w:t>
            </w:r>
            <w:r>
              <w:rPr>
                <w:i/>
              </w:rPr>
              <w:t xml:space="preserve"> </w:t>
            </w:r>
            <w:r w:rsidRPr="00CE7DFE">
              <w:t>nusprendu</w:t>
            </w:r>
            <w:r>
              <w:t xml:space="preserve">s gali būti mokamas avansas iki </w:t>
            </w:r>
            <w:r w:rsidR="00E84CFD">
              <w:t xml:space="preserve">30 </w:t>
            </w:r>
            <w:r w:rsidRPr="00CE7DFE">
              <w:t xml:space="preserve">procentų </w:t>
            </w:r>
            <w:r w:rsidR="00E84CFD" w:rsidRPr="00E84CFD">
              <w:t>prekių užsakymo  kainos</w:t>
            </w:r>
            <w:r w:rsidRPr="00D0327A">
              <w:t>.</w:t>
            </w:r>
            <w:r w:rsidRPr="00CE7DFE">
              <w:t xml:space="preserve"> Tokiu atveju taikomos Sutarties bendrosios dalies 4.3–4.6 punktuose nustatytos sąlygos.</w:t>
            </w:r>
          </w:p>
          <w:p w14:paraId="0132D7F6" w14:textId="77777777" w:rsidR="00846150" w:rsidRDefault="002C5A19">
            <w:pPr>
              <w:jc w:val="both"/>
            </w:pPr>
            <w:r>
              <w:t xml:space="preserve">4.3. </w:t>
            </w:r>
            <w:r w:rsidRPr="00243806">
              <w:t xml:space="preserve">Vykdant Sutartį, PVM sąskaitos faktūros turi būti teikiamos naudojantis informacinės sistemos </w:t>
            </w:r>
            <w:r w:rsidR="003B0DEC">
              <w:t xml:space="preserve">„E. sąskaita“ priemonėmis, nurodant </w:t>
            </w:r>
            <w:r w:rsidR="003B0DEC" w:rsidRPr="00635DE3">
              <w:rPr>
                <w:b/>
              </w:rPr>
              <w:t>Pirkėją</w:t>
            </w:r>
            <w:r w:rsidR="003B0DEC">
              <w:rPr>
                <w:b/>
              </w:rPr>
              <w:t>,</w:t>
            </w:r>
            <w:r w:rsidR="003B0DEC" w:rsidRPr="00635DE3">
              <w:rPr>
                <w:b/>
              </w:rPr>
              <w:t xml:space="preserve"> Mokėtoją</w:t>
            </w:r>
            <w:r w:rsidR="00FB2847">
              <w:rPr>
                <w:b/>
              </w:rPr>
              <w:t>,</w:t>
            </w:r>
            <w:r w:rsidR="003B0DEC">
              <w:rPr>
                <w:b/>
              </w:rPr>
              <w:t xml:space="preserve"> </w:t>
            </w:r>
            <w:r w:rsidR="00154A50">
              <w:t>Sutarties numerį.</w:t>
            </w:r>
            <w:r w:rsidR="003B0DEC">
              <w:t xml:space="preserve"> </w:t>
            </w:r>
            <w:r w:rsidRPr="00CE7DFE">
              <w:t xml:space="preserve">Jeigu </w:t>
            </w:r>
            <w:r w:rsidRPr="00114A8E">
              <w:rPr>
                <w:b/>
              </w:rPr>
              <w:t>Pardavėjas</w:t>
            </w:r>
            <w:r w:rsidRPr="00CE7DFE">
              <w:t xml:space="preserve"> nepateikia sąskaitos informacinės sistemos „E. sąskaita“ priemonėmis, </w:t>
            </w:r>
            <w:r w:rsidRPr="00114A8E">
              <w:rPr>
                <w:b/>
              </w:rPr>
              <w:t>Mokėtojas</w:t>
            </w:r>
            <w:r w:rsidRPr="00CE7DFE">
              <w:t xml:space="preserve"> neatli</w:t>
            </w:r>
            <w:r w:rsidR="0041512E">
              <w:t>eka</w:t>
            </w:r>
            <w:r w:rsidRPr="00CE7DFE">
              <w:t xml:space="preserve"> mokėjimo.</w:t>
            </w:r>
          </w:p>
          <w:p w14:paraId="1693BA15" w14:textId="77777777" w:rsidR="00FF4879" w:rsidRPr="00846150" w:rsidRDefault="00FF4879">
            <w:pPr>
              <w:jc w:val="both"/>
            </w:pPr>
          </w:p>
        </w:tc>
      </w:tr>
      <w:tr w:rsidR="0051758C" w14:paraId="54ED5DE5" w14:textId="77777777" w:rsidTr="00BB0FDA">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5C0F9432" w14:textId="77777777" w:rsidR="0051758C" w:rsidRDefault="0051758C">
            <w:pPr>
              <w:jc w:val="both"/>
              <w:rPr>
                <w:b/>
              </w:rPr>
            </w:pPr>
            <w:r>
              <w:rPr>
                <w:b/>
              </w:rPr>
              <w:t>5.</w:t>
            </w:r>
            <w:r w:rsidR="00846150">
              <w:rPr>
                <w:b/>
              </w:rPr>
              <w:t xml:space="preserve"> </w:t>
            </w:r>
            <w:r>
              <w:rPr>
                <w:b/>
              </w:rPr>
              <w:t>Pirkėjo teisė vienašališkai nutraukti Sutartį</w:t>
            </w:r>
            <w:r>
              <w:t xml:space="preserve"> </w:t>
            </w:r>
          </w:p>
          <w:p w14:paraId="5CB51987" w14:textId="77777777" w:rsidR="00045E3C" w:rsidRPr="00045E3C" w:rsidRDefault="0051758C" w:rsidP="00045E3C">
            <w:pPr>
              <w:jc w:val="both"/>
            </w:pPr>
            <w:r>
              <w:t>5.1.</w:t>
            </w:r>
            <w:r>
              <w:rPr>
                <w:b/>
              </w:rPr>
              <w:t xml:space="preserve"> </w:t>
            </w:r>
            <w:r w:rsidR="00045E3C" w:rsidRPr="00045E3C">
              <w:rPr>
                <w:b/>
              </w:rPr>
              <w:t>Pirkėjas</w:t>
            </w:r>
            <w:r w:rsidR="00045E3C" w:rsidRPr="00045E3C">
              <w:t xml:space="preserve"> turi teisę Sutarties bendrosios dalies 9.2 papunktyje nustatyta tvarka šią Sutartį nutraukti:</w:t>
            </w:r>
          </w:p>
          <w:p w14:paraId="2AA1484E" w14:textId="77777777" w:rsidR="00045E3C" w:rsidRPr="00045E3C" w:rsidRDefault="00045E3C" w:rsidP="00045E3C">
            <w:pPr>
              <w:suppressAutoHyphens/>
              <w:jc w:val="both"/>
            </w:pPr>
            <w:r w:rsidRPr="00045E3C">
              <w:t xml:space="preserve">5.1.1. </w:t>
            </w:r>
            <w:r w:rsidRPr="00045E3C">
              <w:rPr>
                <w:b/>
              </w:rPr>
              <w:t>Pardavėjui</w:t>
            </w:r>
            <w:r w:rsidRPr="00045E3C">
              <w:t xml:space="preserve"> vėluojant pristatyti prekes daugiau kaip 30 (trisdešimt) dienų nuo Sutarties specialiosios dalies 3.1.1 papunk</w:t>
            </w:r>
            <w:r w:rsidR="00A966F9">
              <w:t>tyje</w:t>
            </w:r>
            <w:r w:rsidRPr="00045E3C">
              <w:t xml:space="preserve"> numatyto termino;</w:t>
            </w:r>
          </w:p>
          <w:p w14:paraId="085FA045" w14:textId="77777777" w:rsidR="00706613" w:rsidRDefault="00045E3C" w:rsidP="005436AD">
            <w:pPr>
              <w:suppressAutoHyphens/>
              <w:jc w:val="both"/>
            </w:pPr>
            <w:r w:rsidRPr="00045E3C">
              <w:t xml:space="preserve">5.1.2. </w:t>
            </w:r>
            <w:r w:rsidRPr="00045E3C">
              <w:rPr>
                <w:b/>
              </w:rPr>
              <w:t>Pardavėjui</w:t>
            </w:r>
            <w:r w:rsidRPr="00045E3C">
              <w:t xml:space="preserve"> nevykdant arba netinkamai vykdant Sutarties specialiosios </w:t>
            </w:r>
            <w:r w:rsidR="00AF4912">
              <w:t>dalies 3.1.</w:t>
            </w:r>
            <w:r w:rsidR="00A966F9">
              <w:t>3</w:t>
            </w:r>
            <w:r w:rsidR="00AF4912">
              <w:t xml:space="preserve"> ir  3.1.</w:t>
            </w:r>
            <w:r w:rsidR="00A966F9">
              <w:t>4</w:t>
            </w:r>
            <w:r w:rsidR="00CF6A37">
              <w:t xml:space="preserve"> papunkčių</w:t>
            </w:r>
            <w:r w:rsidRPr="00045E3C">
              <w:t xml:space="preserve"> reikalavimus.</w:t>
            </w:r>
          </w:p>
          <w:p w14:paraId="579438ED" w14:textId="77777777" w:rsidR="005436AD" w:rsidRDefault="005436AD" w:rsidP="005436AD">
            <w:pPr>
              <w:suppressAutoHyphens/>
              <w:jc w:val="both"/>
            </w:pPr>
            <w:r>
              <w:t xml:space="preserve">5.2. Paaiškėja, kad yra aplinkybė, atitinkanti bent vieną iš </w:t>
            </w:r>
            <w:r w:rsidR="00A96934">
              <w:t xml:space="preserve">VPĮ </w:t>
            </w:r>
            <w:r>
              <w:t>45 straipsnio 2</w:t>
            </w:r>
            <w:r w:rsidRPr="00AF4912">
              <w:rPr>
                <w:vertAlign w:val="superscript"/>
              </w:rPr>
              <w:t xml:space="preserve">1 </w:t>
            </w:r>
            <w:r>
              <w:t>dalyje išvardintų sąlygų;</w:t>
            </w:r>
          </w:p>
          <w:p w14:paraId="6C58CF56" w14:textId="77777777" w:rsidR="005436AD" w:rsidRDefault="00706613" w:rsidP="00AF4912">
            <w:pPr>
              <w:suppressAutoHyphens/>
              <w:jc w:val="both"/>
            </w:pPr>
            <w:r>
              <w:t>5.3</w:t>
            </w:r>
            <w:r w:rsidR="005436AD">
              <w:t xml:space="preserve">. </w:t>
            </w:r>
            <w:r w:rsidR="005436AD" w:rsidRPr="00AF4912">
              <w:rPr>
                <w:b/>
              </w:rPr>
              <w:t>Pardavėjas</w:t>
            </w:r>
            <w:r w:rsidR="005436AD">
              <w:t xml:space="preserve"> per nustatytą terminą </w:t>
            </w:r>
            <w:r w:rsidR="005436AD" w:rsidRPr="00AF4912">
              <w:rPr>
                <w:b/>
              </w:rPr>
              <w:t>Pirkėjui</w:t>
            </w:r>
            <w:r w:rsidR="005436AD">
              <w:t xml:space="preserve"> nepateikia Sutarties specialiosios dalies                      3.1.</w:t>
            </w:r>
            <w:r w:rsidR="00A64CB3">
              <w:t>5</w:t>
            </w:r>
            <w:r w:rsidR="005436AD">
              <w:t xml:space="preserve"> punkte nurodytų dokumentų;</w:t>
            </w:r>
          </w:p>
          <w:p w14:paraId="2616FE05" w14:textId="77777777" w:rsidR="0051758C" w:rsidRDefault="0051758C" w:rsidP="00AF4912">
            <w:pPr>
              <w:suppressAutoHyphens/>
              <w:jc w:val="both"/>
            </w:pPr>
            <w:r>
              <w:t>5.</w:t>
            </w:r>
            <w:r w:rsidR="00706613">
              <w:t>4</w:t>
            </w:r>
            <w:r>
              <w:t xml:space="preserve">. Kiti vienašalio Sutarties nutraukimo atvejai numatyti Sutarties bendrosios dalies 9.2 </w:t>
            </w:r>
            <w:r w:rsidR="00CF6A37">
              <w:t>pa</w:t>
            </w:r>
            <w:r>
              <w:t>punkt</w:t>
            </w:r>
            <w:r w:rsidR="00CF6A37">
              <w:t>yj</w:t>
            </w:r>
            <w:r>
              <w:t>e.</w:t>
            </w:r>
          </w:p>
          <w:p w14:paraId="5B1BCF52" w14:textId="77777777" w:rsidR="00FD752A" w:rsidRPr="000027C2" w:rsidRDefault="00FD752A" w:rsidP="00AF4912">
            <w:pPr>
              <w:suppressAutoHyphens/>
              <w:jc w:val="both"/>
            </w:pPr>
          </w:p>
        </w:tc>
      </w:tr>
      <w:tr w:rsidR="0051758C" w14:paraId="19947D4E" w14:textId="77777777" w:rsidTr="00BB0FDA">
        <w:trPr>
          <w:trHeight w:val="841"/>
        </w:trPr>
        <w:tc>
          <w:tcPr>
            <w:tcW w:w="5000" w:type="pct"/>
            <w:gridSpan w:val="3"/>
            <w:tcBorders>
              <w:top w:val="single" w:sz="4" w:space="0" w:color="auto"/>
              <w:left w:val="single" w:sz="4" w:space="0" w:color="auto"/>
              <w:bottom w:val="single" w:sz="4" w:space="0" w:color="auto"/>
              <w:right w:val="single" w:sz="4" w:space="0" w:color="auto"/>
            </w:tcBorders>
            <w:hideMark/>
          </w:tcPr>
          <w:p w14:paraId="3138039E" w14:textId="77777777" w:rsidR="0051758C" w:rsidRPr="00EB4422" w:rsidRDefault="0051758C">
            <w:pPr>
              <w:rPr>
                <w:b/>
              </w:rPr>
            </w:pPr>
            <w:r w:rsidRPr="00EB4422">
              <w:rPr>
                <w:b/>
              </w:rPr>
              <w:t xml:space="preserve">6. Prekių kokybė </w:t>
            </w:r>
          </w:p>
          <w:p w14:paraId="4CEF8DAE" w14:textId="77777777" w:rsidR="00870EC6" w:rsidRPr="00870EC6" w:rsidRDefault="00870EC6" w:rsidP="00870EC6">
            <w:pPr>
              <w:suppressAutoHyphens/>
              <w:jc w:val="both"/>
            </w:pPr>
            <w:r w:rsidRPr="00870EC6">
              <w:t xml:space="preserve">6.1. Prekės privalo atitikti Sutartyje ir jos prieduose nustatytus reikalavimus ir patvirtintą prekės darbinį pavyzdį. </w:t>
            </w:r>
          </w:p>
          <w:p w14:paraId="1D1B186A" w14:textId="77777777" w:rsidR="00AF4912" w:rsidRPr="00870EC6" w:rsidRDefault="00870EC6" w:rsidP="00870EC6">
            <w:pPr>
              <w:suppressAutoHyphens/>
              <w:jc w:val="both"/>
            </w:pPr>
            <w:r w:rsidRPr="00870EC6">
              <w:t xml:space="preserve">6.2. Prekių </w:t>
            </w:r>
            <w:r w:rsidR="00526F78">
              <w:t xml:space="preserve">atitikimas </w:t>
            </w:r>
            <w:r w:rsidRPr="00870EC6">
              <w:t>vertinama</w:t>
            </w:r>
            <w:r w:rsidR="00526F78">
              <w:t>s</w:t>
            </w:r>
            <w:r w:rsidRPr="00870EC6">
              <w:t xml:space="preserve"> pristačius jas Sutarties specialiosios dalies </w:t>
            </w:r>
            <w:r w:rsidRPr="00870EC6">
              <w:rPr>
                <w:bCs/>
              </w:rPr>
              <w:t>3.2. papunktyje nurodytu adresu</w:t>
            </w:r>
            <w:r w:rsidRPr="00870EC6">
              <w:t>.</w:t>
            </w:r>
            <w:r w:rsidR="00CF6A37">
              <w:t xml:space="preserve"> </w:t>
            </w:r>
            <w:r w:rsidRPr="00870EC6">
              <w:rPr>
                <w:b/>
                <w:lang w:eastAsia="en-US"/>
              </w:rPr>
              <w:t>Pirkėjas</w:t>
            </w:r>
            <w:r w:rsidRPr="00870EC6">
              <w:rPr>
                <w:lang w:eastAsia="en-US"/>
              </w:rPr>
              <w:t xml:space="preserve"> patikrinęs prekes surašo p</w:t>
            </w:r>
            <w:r w:rsidR="00527810">
              <w:rPr>
                <w:lang w:eastAsia="en-US"/>
              </w:rPr>
              <w:t>rekių kokybės patikrinimo aktą.</w:t>
            </w:r>
            <w:r w:rsidRPr="00870EC6">
              <w:rPr>
                <w:lang w:eastAsia="en-US"/>
              </w:rPr>
              <w:t xml:space="preserve"> </w:t>
            </w:r>
            <w:r w:rsidRPr="00870EC6">
              <w:t>Nustačius neatitikimus, prekės nepriimamos ir laikoma, kad jos nebuvo pristatytos, o</w:t>
            </w:r>
            <w:r w:rsidRPr="00870EC6">
              <w:rPr>
                <w:b/>
              </w:rPr>
              <w:t xml:space="preserve"> Pardavėjas</w:t>
            </w:r>
            <w:r w:rsidRPr="00870EC6">
              <w:t xml:space="preserve"> savo lėšomis nedelsiant prekes turi atsiimti. </w:t>
            </w:r>
            <w:r w:rsidRPr="00870EC6">
              <w:rPr>
                <w:b/>
              </w:rPr>
              <w:t>Pardavėjui</w:t>
            </w:r>
            <w:r w:rsidRPr="00870EC6">
              <w:t xml:space="preserve"> neįvykdžius pareigos nedelsiant atsiimti prekes, </w:t>
            </w:r>
            <w:r w:rsidRPr="00870EC6">
              <w:rPr>
                <w:b/>
              </w:rPr>
              <w:t>Pardavėjas</w:t>
            </w:r>
            <w:r w:rsidRPr="00870EC6">
              <w:t xml:space="preserve"> neturi teisės reikšti pretenzijų dėl prekių žuvimo ar sugadinimo. </w:t>
            </w:r>
          </w:p>
          <w:p w14:paraId="338469EF" w14:textId="77777777" w:rsidR="00080AAF" w:rsidRPr="00870EC6" w:rsidRDefault="00870EC6" w:rsidP="00080AAF">
            <w:pPr>
              <w:tabs>
                <w:tab w:val="left" w:pos="567"/>
              </w:tabs>
              <w:suppressAutoHyphens/>
              <w:jc w:val="both"/>
              <w:rPr>
                <w:rFonts w:eastAsia="Calibri"/>
                <w:i/>
                <w:lang w:eastAsia="en-US"/>
              </w:rPr>
            </w:pPr>
            <w:r w:rsidRPr="00870EC6">
              <w:rPr>
                <w:rFonts w:eastAsia="Calibri"/>
              </w:rPr>
              <w:t xml:space="preserve">6.3. Sutarties bendrosios dalies 4.2, 5.5-5.7 papunkčiuose nustatyta tvarka prekėms </w:t>
            </w:r>
            <w:r w:rsidR="009F64BD">
              <w:rPr>
                <w:rFonts w:eastAsia="Calibri"/>
              </w:rPr>
              <w:t xml:space="preserve">jų pristatymo ir garantinio termino metu </w:t>
            </w:r>
            <w:r w:rsidRPr="00870EC6">
              <w:rPr>
                <w:rFonts w:eastAsia="Calibri"/>
              </w:rPr>
              <w:t>gali būti atliekami laboratoriniai bandymai. Laboratoriniams b</w:t>
            </w:r>
            <w:r w:rsidR="003A1670">
              <w:rPr>
                <w:rFonts w:eastAsia="Calibri"/>
              </w:rPr>
              <w:t xml:space="preserve">andymams imamų prekių kiekis – </w:t>
            </w:r>
            <w:r w:rsidRPr="00870EC6">
              <w:rPr>
                <w:rFonts w:eastAsia="Calibri"/>
              </w:rPr>
              <w:t>ne daugiau kaip 3 (trys) vienetai prekių iš pasirinktos prekių siuntos</w:t>
            </w:r>
            <w:r w:rsidRPr="00870EC6">
              <w:t xml:space="preserve"> </w:t>
            </w:r>
            <w:r w:rsidRPr="00870EC6">
              <w:rPr>
                <w:rFonts w:eastAsia="Calibri"/>
              </w:rPr>
              <w:t>arba kiekvienos partijos (jeigu siuntą sudaro kelios partijos).</w:t>
            </w:r>
            <w:r w:rsidR="00080AAF">
              <w:rPr>
                <w:rFonts w:eastAsia="Calibri"/>
              </w:rPr>
              <w:t xml:space="preserve"> </w:t>
            </w:r>
            <w:r w:rsidR="00080AAF" w:rsidRPr="008D737F">
              <w:t xml:space="preserve">Laboratoriniams bandymams imamų prekių </w:t>
            </w:r>
            <w:r w:rsidR="00527810">
              <w:t>kiekis gali būti tikslinamas ir</w:t>
            </w:r>
            <w:r w:rsidR="00080AAF" w:rsidRPr="008D737F">
              <w:t xml:space="preserve"> nustatomas, atsižvelgiant į bandymus atliksiančios laboratorijos nurodytą prekių kiekį.</w:t>
            </w:r>
          </w:p>
          <w:p w14:paraId="79E0BDFA" w14:textId="77777777" w:rsidR="00870EC6" w:rsidRPr="00870EC6" w:rsidRDefault="00870EC6" w:rsidP="00870EC6">
            <w:pPr>
              <w:suppressAutoHyphens/>
              <w:jc w:val="both"/>
            </w:pPr>
            <w:r w:rsidRPr="00870EC6">
              <w:t>6.4.</w:t>
            </w:r>
            <w:r w:rsidRPr="00870EC6">
              <w:rPr>
                <w:b/>
              </w:rPr>
              <w:t xml:space="preserve"> Pardavėjas</w:t>
            </w:r>
            <w:r w:rsidRPr="00870EC6">
              <w:t xml:space="preserve"> garantuoja, kad prekės bei medžiagos, iš kurių jos pagamintos, yra be defektų ir atitinka Sutarties specialiosios dalies 6.1 papunktyje nustatytus reikalavimus. </w:t>
            </w:r>
          </w:p>
          <w:p w14:paraId="3DE51CF3" w14:textId="77777777" w:rsidR="00136AB4" w:rsidRPr="00A96934" w:rsidRDefault="00870EC6" w:rsidP="00870EC6">
            <w:pPr>
              <w:jc w:val="both"/>
            </w:pPr>
            <w:r w:rsidRPr="00870EC6">
              <w:lastRenderedPageBreak/>
              <w:t xml:space="preserve">6.5. </w:t>
            </w:r>
            <w:r w:rsidRPr="00870EC6">
              <w:rPr>
                <w:b/>
              </w:rPr>
              <w:t>Pardavėjas</w:t>
            </w:r>
            <w:r w:rsidRPr="00870EC6">
              <w:t xml:space="preserve"> atsakingas už kokybiškų, atitinkančių šioje Sutartyje ir jos prieduose nustatytus reikalavimus prekių pristatymą.</w:t>
            </w:r>
          </w:p>
        </w:tc>
      </w:tr>
      <w:tr w:rsidR="0051758C" w14:paraId="401E5BB4" w14:textId="77777777" w:rsidTr="00BB0FDA">
        <w:trPr>
          <w:trHeight w:val="1125"/>
        </w:trPr>
        <w:tc>
          <w:tcPr>
            <w:tcW w:w="5000" w:type="pct"/>
            <w:gridSpan w:val="3"/>
            <w:tcBorders>
              <w:top w:val="single" w:sz="4" w:space="0" w:color="auto"/>
              <w:left w:val="single" w:sz="4" w:space="0" w:color="auto"/>
              <w:bottom w:val="single" w:sz="4" w:space="0" w:color="auto"/>
              <w:right w:val="single" w:sz="4" w:space="0" w:color="auto"/>
            </w:tcBorders>
          </w:tcPr>
          <w:p w14:paraId="7097E9CE" w14:textId="77777777" w:rsidR="0051758C" w:rsidRDefault="0051758C">
            <w:pPr>
              <w:jc w:val="both"/>
              <w:rPr>
                <w:b/>
              </w:rPr>
            </w:pPr>
            <w:r>
              <w:rPr>
                <w:b/>
              </w:rPr>
              <w:lastRenderedPageBreak/>
              <w:t>7. Garantiniai įsipareigojimai</w:t>
            </w:r>
          </w:p>
          <w:p w14:paraId="0EF18730" w14:textId="77777777" w:rsidR="008D737F" w:rsidRPr="008D737F" w:rsidRDefault="0051758C" w:rsidP="008D737F">
            <w:pPr>
              <w:tabs>
                <w:tab w:val="left" w:pos="394"/>
                <w:tab w:val="left" w:pos="536"/>
              </w:tabs>
              <w:jc w:val="both"/>
            </w:pPr>
            <w:r w:rsidRPr="00EB4422">
              <w:t>7.</w:t>
            </w:r>
            <w:r w:rsidR="008D737F" w:rsidRPr="008D737F">
              <w:t xml:space="preserve">1. </w:t>
            </w:r>
            <w:r w:rsidR="008D737F" w:rsidRPr="008D737F">
              <w:rPr>
                <w:b/>
              </w:rPr>
              <w:t>Pardavėjas</w:t>
            </w:r>
            <w:r w:rsidR="008D737F" w:rsidRPr="008D737F">
              <w:t xml:space="preserve"> suteikia prekėms kokybės garantijos terminą - ne trumpesnį kaip </w:t>
            </w:r>
            <w:r w:rsidR="008D737F" w:rsidRPr="002622D6">
              <w:rPr>
                <w:b/>
              </w:rPr>
              <w:t>12</w:t>
            </w:r>
            <w:r w:rsidR="008D737F" w:rsidRPr="008D737F">
              <w:t xml:space="preserve"> (dvylikos)</w:t>
            </w:r>
            <w:r w:rsidR="000E132A">
              <w:t xml:space="preserve"> </w:t>
            </w:r>
            <w:r w:rsidR="008D737F" w:rsidRPr="008D737F">
              <w:t xml:space="preserve">mėnesių aktyvios eksploatacijos sąlygomis, kuris skaičiuojamas nuo prekių išdavimo iš sandėlio dienos ir </w:t>
            </w:r>
            <w:r w:rsidR="008D737F" w:rsidRPr="002622D6">
              <w:rPr>
                <w:b/>
              </w:rPr>
              <w:t>24</w:t>
            </w:r>
            <w:r w:rsidR="008D737F" w:rsidRPr="008D737F">
              <w:t xml:space="preserve"> (dvidešimt keturių</w:t>
            </w:r>
            <w:r w:rsidR="000E132A">
              <w:t xml:space="preserve">) </w:t>
            </w:r>
            <w:r w:rsidR="008D737F" w:rsidRPr="008D737F">
              <w:t>mėnesių</w:t>
            </w:r>
            <w:r w:rsidR="008D737F" w:rsidRPr="008D737F">
              <w:rPr>
                <w:i/>
                <w:lang w:eastAsia="en-US"/>
              </w:rPr>
              <w:t xml:space="preserve"> </w:t>
            </w:r>
            <w:r w:rsidR="008D737F" w:rsidRPr="008D737F">
              <w:t xml:space="preserve">kokybės garantinį terminą, kuris skaičiuojamas nuo prekių priėmimo iš </w:t>
            </w:r>
            <w:r w:rsidR="008D737F" w:rsidRPr="008D737F">
              <w:rPr>
                <w:b/>
              </w:rPr>
              <w:t>Pardavėjo</w:t>
            </w:r>
            <w:r w:rsidR="008D737F" w:rsidRPr="008D737F">
              <w:t xml:space="preserve"> į sandėlį </w:t>
            </w:r>
            <w:r w:rsidR="008D737F" w:rsidRPr="00635525">
              <w:t xml:space="preserve">dokumentų </w:t>
            </w:r>
            <w:r w:rsidR="008D737F" w:rsidRPr="009A5019">
              <w:t>pasirašymo dienos.</w:t>
            </w:r>
          </w:p>
          <w:p w14:paraId="62DBFFF2" w14:textId="77777777" w:rsidR="008D737F" w:rsidRPr="008D737F" w:rsidRDefault="008D737F" w:rsidP="008D737F">
            <w:pPr>
              <w:suppressAutoHyphens/>
              <w:jc w:val="both"/>
            </w:pPr>
            <w:r w:rsidRPr="008D737F">
              <w:t xml:space="preserve">7.2. Sutarties bendrosios dalies 6.3 papunktyje nurodytus įsipareigojimus </w:t>
            </w:r>
            <w:r w:rsidRPr="008D737F">
              <w:rPr>
                <w:b/>
              </w:rPr>
              <w:t>Pardavėjas</w:t>
            </w:r>
            <w:r w:rsidRPr="008D737F">
              <w:t xml:space="preserve"> turi įvykdyti ne vėliau kaip per </w:t>
            </w:r>
            <w:r w:rsidR="000354BD" w:rsidRPr="000354BD">
              <w:t>3</w:t>
            </w:r>
            <w:r w:rsidRPr="000354BD">
              <w:t>0 (</w:t>
            </w:r>
            <w:r w:rsidR="000354BD" w:rsidRPr="000354BD">
              <w:t>tris</w:t>
            </w:r>
            <w:r w:rsidRPr="000354BD">
              <w:t xml:space="preserve">dešimt) </w:t>
            </w:r>
            <w:r w:rsidRPr="008D737F">
              <w:t xml:space="preserve">dienų nuo raštiško </w:t>
            </w:r>
            <w:r w:rsidRPr="008D737F">
              <w:rPr>
                <w:b/>
              </w:rPr>
              <w:t>Pirkėjo</w:t>
            </w:r>
            <w:r w:rsidRPr="008D737F">
              <w:t xml:space="preserve"> pranešimo.</w:t>
            </w:r>
          </w:p>
          <w:p w14:paraId="2CF6DA01" w14:textId="77777777" w:rsidR="008D737F" w:rsidRPr="008D737F" w:rsidRDefault="008D737F" w:rsidP="008D737F">
            <w:pPr>
              <w:suppressAutoHyphens/>
              <w:jc w:val="both"/>
            </w:pPr>
            <w:r w:rsidRPr="008D737F">
              <w:t xml:space="preserve">7.3. </w:t>
            </w:r>
            <w:r w:rsidRPr="008D737F">
              <w:rPr>
                <w:b/>
              </w:rPr>
              <w:t>Pardavėjui</w:t>
            </w:r>
            <w:r w:rsidRPr="008D737F">
              <w:t xml:space="preserve"> </w:t>
            </w:r>
            <w:r w:rsidRPr="00F5388E">
              <w:t>pavėlavus ištaisyti prekių trūkumus arba pakeisti prekes naujomis per Sutarties specialiosios dalies 7.2 papunktyje nurodytą terminą, taikoma Sutarties specialiosio</w:t>
            </w:r>
            <w:r w:rsidR="00F5388E" w:rsidRPr="00F5388E">
              <w:t>s dalies 9</w:t>
            </w:r>
            <w:r w:rsidRPr="00F5388E">
              <w:t>.1 papunktyje nustatyta atsakomybė.</w:t>
            </w:r>
          </w:p>
          <w:p w14:paraId="15163235" w14:textId="77777777" w:rsidR="0028166B" w:rsidRDefault="008D737F" w:rsidP="0028166B">
            <w:pPr>
              <w:jc w:val="both"/>
            </w:pPr>
            <w:r w:rsidRPr="008D737F">
              <w:t xml:space="preserve">7.4. Taikomos Sutarties bendrosios dalies 6.5 papunktyje nustatytos sąlygos. Laboratoriniams bandymams imamų prekių kiekis – iki 3 (trijų) vienetų prekių iš pasirinktos siuntos arba kiekvienos partijos (jeigu siuntą sudaro kelios partijos). Laboratoriniams bandymams imamų prekių </w:t>
            </w:r>
            <w:r w:rsidR="000E132A">
              <w:t>kiekis gali būti tikslinamas ir</w:t>
            </w:r>
            <w:r w:rsidRPr="008D737F">
              <w:t xml:space="preserve"> nustatomas, atsižvelgiant į bandymus atliksiančios laboratorijos nurodytą prekių kiekį. Nustatytų reikalavimų neatitinkančių prekių pakeitimas kokybiškomis vykdomas pagal Sutarties bendrosios dalies 6.3 papunkčio nuostatas. </w:t>
            </w:r>
          </w:p>
          <w:p w14:paraId="0F90C691" w14:textId="77777777" w:rsidR="00FD752A" w:rsidRPr="00B53C94" w:rsidRDefault="00FD752A" w:rsidP="0028166B">
            <w:pPr>
              <w:jc w:val="both"/>
            </w:pPr>
          </w:p>
        </w:tc>
      </w:tr>
      <w:tr w:rsidR="0051758C" w14:paraId="48CC2F53" w14:textId="77777777" w:rsidTr="00BB0FDA">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67B0D69D" w14:textId="77777777" w:rsidR="00F91C35" w:rsidRDefault="0051758C" w:rsidP="005436AD">
            <w:pPr>
              <w:pStyle w:val="ListParagraph"/>
              <w:spacing w:line="240" w:lineRule="auto"/>
              <w:ind w:left="0"/>
              <w:jc w:val="both"/>
              <w:rPr>
                <w:b/>
              </w:rPr>
            </w:pPr>
            <w:r>
              <w:rPr>
                <w:b/>
              </w:rPr>
              <w:t>8. Papildomas prievolių įvykdymo užtikrinimas</w:t>
            </w:r>
          </w:p>
          <w:p w14:paraId="06263728" w14:textId="77777777" w:rsidR="0051758C" w:rsidRDefault="00C75E89" w:rsidP="005436AD">
            <w:pPr>
              <w:pStyle w:val="ListParagraph"/>
              <w:spacing w:line="240" w:lineRule="auto"/>
              <w:ind w:left="0"/>
              <w:jc w:val="both"/>
            </w:pPr>
            <w:r w:rsidRPr="00F91C35">
              <w:t>Sutarties įvykdymui užtikrinti banko garantijos ar draudimo bendrovės laidavimo rašto  nereikalaujama.</w:t>
            </w:r>
          </w:p>
          <w:p w14:paraId="031E9F26" w14:textId="77777777" w:rsidR="00BB0FDA" w:rsidRPr="00EB4422" w:rsidRDefault="00BB0FDA" w:rsidP="005436AD">
            <w:pPr>
              <w:pStyle w:val="ListParagraph"/>
              <w:spacing w:line="240" w:lineRule="auto"/>
              <w:ind w:left="0"/>
              <w:jc w:val="both"/>
            </w:pPr>
          </w:p>
        </w:tc>
      </w:tr>
      <w:tr w:rsidR="0051758C" w14:paraId="0BA63E7D" w14:textId="77777777" w:rsidTr="00BB0FDA">
        <w:trPr>
          <w:trHeight w:val="1241"/>
        </w:trPr>
        <w:tc>
          <w:tcPr>
            <w:tcW w:w="5000" w:type="pct"/>
            <w:gridSpan w:val="3"/>
            <w:tcBorders>
              <w:top w:val="single" w:sz="4" w:space="0" w:color="auto"/>
              <w:left w:val="single" w:sz="4" w:space="0" w:color="auto"/>
              <w:bottom w:val="single" w:sz="4" w:space="0" w:color="auto"/>
              <w:right w:val="single" w:sz="4" w:space="0" w:color="auto"/>
            </w:tcBorders>
          </w:tcPr>
          <w:p w14:paraId="5C4057AC" w14:textId="77777777" w:rsidR="0051758C" w:rsidRPr="00EB4422" w:rsidRDefault="0051758C">
            <w:pPr>
              <w:jc w:val="both"/>
              <w:rPr>
                <w:b/>
              </w:rPr>
            </w:pPr>
            <w:r w:rsidRPr="00EB4422">
              <w:rPr>
                <w:b/>
              </w:rPr>
              <w:t>9. Kitos sąlygos</w:t>
            </w:r>
          </w:p>
          <w:p w14:paraId="2B704E22" w14:textId="77777777" w:rsidR="0051758C" w:rsidRPr="00EB4422" w:rsidRDefault="0051758C">
            <w:pPr>
              <w:jc w:val="both"/>
            </w:pPr>
            <w:r w:rsidRPr="00EB4422">
              <w:t xml:space="preserve">9.1. Sutarties bendrosios dalies 11.1 </w:t>
            </w:r>
            <w:r w:rsidR="000B3706">
              <w:t>ir 11.3 papunkčiuose</w:t>
            </w:r>
            <w:r w:rsidRPr="00EB4422">
              <w:t xml:space="preserve"> nurodytų Šalių iš anksto sutartų minimalių nuostolių dydis yra </w:t>
            </w:r>
            <w:r w:rsidR="00C147DF">
              <w:t>–</w:t>
            </w:r>
            <w:r w:rsidR="00D43A57">
              <w:t xml:space="preserve"> </w:t>
            </w:r>
            <w:r w:rsidR="00D43A57" w:rsidRPr="00D43A57">
              <w:t>0,1 procento nuo nepristatytų/nepakeistų prekių kainos be PVM už kiekvieną uždelstą dieną.</w:t>
            </w:r>
          </w:p>
          <w:p w14:paraId="0E72305E" w14:textId="77777777" w:rsidR="0051758C" w:rsidRPr="00403322" w:rsidRDefault="0051758C">
            <w:pPr>
              <w:jc w:val="both"/>
            </w:pPr>
            <w:r w:rsidRPr="00091508">
              <w:t>9.2</w:t>
            </w:r>
            <w:r w:rsidR="00403322">
              <w:t xml:space="preserve">. </w:t>
            </w:r>
            <w:r w:rsidRPr="00EB4422">
              <w:t>Sutarties bendrosios dalies 11.4 p</w:t>
            </w:r>
            <w:r w:rsidR="00E7195E">
              <w:t>ap</w:t>
            </w:r>
            <w:r w:rsidRPr="00EB4422">
              <w:t>unkt</w:t>
            </w:r>
            <w:r w:rsidR="00E7195E">
              <w:t>yje</w:t>
            </w:r>
            <w:r w:rsidRPr="00EB4422">
              <w:t xml:space="preserve"> nurodytų Šalių iš anksto sutartų minimalių nuostolių dydis yra </w:t>
            </w:r>
            <w:r w:rsidR="000A79DA">
              <w:rPr>
                <w:bCs/>
              </w:rPr>
              <w:t>8 642,58 (aštuoni tūkstančiai šeši šimtai keturiasdešimt du tūkstančiai 58 ct.</w:t>
            </w:r>
            <w:r w:rsidR="00E7195E" w:rsidRPr="00E7195E">
              <w:rPr>
                <w:bCs/>
              </w:rPr>
              <w:t xml:space="preserve">) </w:t>
            </w:r>
            <w:r w:rsidR="00E7195E" w:rsidRPr="00E7195E">
              <w:rPr>
                <w:bCs/>
                <w:i/>
              </w:rPr>
              <w:t>(7</w:t>
            </w:r>
            <w:r w:rsidR="00AC59D9">
              <w:rPr>
                <w:bCs/>
                <w:i/>
              </w:rPr>
              <w:t xml:space="preserve"> (septyni)</w:t>
            </w:r>
            <w:r w:rsidR="00E7195E" w:rsidRPr="00E7195E">
              <w:rPr>
                <w:bCs/>
                <w:i/>
              </w:rPr>
              <w:t xml:space="preserve"> procentai </w:t>
            </w:r>
            <w:r w:rsidR="000A79DA" w:rsidRPr="00446647">
              <w:rPr>
                <w:i/>
              </w:rPr>
              <w:t>nuo Sutarties specialiosios dalies 2.</w:t>
            </w:r>
            <w:r w:rsidR="000A79DA">
              <w:rPr>
                <w:i/>
              </w:rPr>
              <w:t>1</w:t>
            </w:r>
            <w:r w:rsidR="000A79DA" w:rsidRPr="00446647">
              <w:rPr>
                <w:i/>
              </w:rPr>
              <w:t xml:space="preserve"> punkte nurodytos maksimalios sutarties vertės be PVM</w:t>
            </w:r>
            <w:r w:rsidR="00E7195E" w:rsidRPr="00E7195E">
              <w:rPr>
                <w:bCs/>
                <w:i/>
              </w:rPr>
              <w:t>)</w:t>
            </w:r>
            <w:r w:rsidR="00E7195E" w:rsidRPr="00E7195E">
              <w:rPr>
                <w:bCs/>
              </w:rPr>
              <w:t>.</w:t>
            </w:r>
          </w:p>
          <w:p w14:paraId="4DB63A99" w14:textId="77777777" w:rsidR="0051758C" w:rsidRDefault="00403322">
            <w:pPr>
              <w:jc w:val="both"/>
            </w:pPr>
            <w:r>
              <w:t>9.</w:t>
            </w:r>
            <w:r w:rsidR="00527810">
              <w:t>3</w:t>
            </w:r>
            <w:r w:rsidR="0051758C" w:rsidRPr="00EB4422">
              <w:t>. Nenugalimos jėgos aplinkybių trukmė –</w:t>
            </w:r>
            <w:r w:rsidR="00483FCC">
              <w:t xml:space="preserve"> </w:t>
            </w:r>
            <w:r w:rsidR="00483FCC" w:rsidRPr="00483FCC">
              <w:t>30 (trisdešimt) dienų</w:t>
            </w:r>
            <w:r w:rsidR="0051758C" w:rsidRPr="00EB4422">
              <w:t xml:space="preserve">, taikant Sutarties bendrosios dalies 9.1.2 </w:t>
            </w:r>
            <w:r w:rsidR="00483FCC">
              <w:t>pa</w:t>
            </w:r>
            <w:r w:rsidR="0051758C" w:rsidRPr="00EB4422">
              <w:t>punk</w:t>
            </w:r>
            <w:r w:rsidR="00483FCC">
              <w:t>čio</w:t>
            </w:r>
            <w:r w:rsidR="0051758C" w:rsidRPr="00EB4422">
              <w:t xml:space="preserve"> sąlygas.</w:t>
            </w:r>
          </w:p>
          <w:p w14:paraId="62F2DF1D" w14:textId="77777777" w:rsidR="009C1A1C" w:rsidRDefault="008D1FF3" w:rsidP="00096626">
            <w:pPr>
              <w:jc w:val="both"/>
            </w:pPr>
            <w:r>
              <w:t>9.4</w:t>
            </w:r>
            <w:r w:rsidRPr="00446647">
              <w:t>. Sutartį nutraukus Specialiosios dalies 5.</w:t>
            </w:r>
            <w:r>
              <w:t>2</w:t>
            </w:r>
            <w:r w:rsidRPr="00446647">
              <w:t xml:space="preserve"> ir 5.</w:t>
            </w:r>
            <w:r>
              <w:t>3</w:t>
            </w:r>
            <w:r w:rsidRPr="00446647">
              <w:t xml:space="preserve"> punktuose nurodytais atvejais Šalių iš anksto sutartų minimalių nuostolių dydis yra </w:t>
            </w:r>
            <w:r w:rsidR="000A79DA">
              <w:t>18 519,82</w:t>
            </w:r>
            <w:r w:rsidRPr="006550D9">
              <w:t xml:space="preserve"> </w:t>
            </w:r>
            <w:r w:rsidRPr="00446647">
              <w:t>(</w:t>
            </w:r>
            <w:r w:rsidR="000A79DA" w:rsidRPr="000A79DA">
              <w:t>aštuoniolika tūkstančių penki šimtai devyniolika eurų ir 82 ct.</w:t>
            </w:r>
            <w:r w:rsidRPr="00446647">
              <w:t xml:space="preserve">) </w:t>
            </w:r>
            <w:proofErr w:type="spellStart"/>
            <w:r w:rsidRPr="00446647">
              <w:t>Eur</w:t>
            </w:r>
            <w:proofErr w:type="spellEnd"/>
            <w:r w:rsidRPr="00446647">
              <w:t xml:space="preserve"> (</w:t>
            </w:r>
            <w:r w:rsidRPr="00446647">
              <w:rPr>
                <w:i/>
              </w:rPr>
              <w:t>15 (penkiolika) procentų nuo Sutarties specialiosios dalies 2.</w:t>
            </w:r>
            <w:r>
              <w:rPr>
                <w:i/>
              </w:rPr>
              <w:t>1</w:t>
            </w:r>
            <w:r w:rsidRPr="00446647">
              <w:rPr>
                <w:i/>
              </w:rPr>
              <w:t xml:space="preserve"> punkte nurodytos maksimalios sutarties vertės be PVM</w:t>
            </w:r>
            <w:r w:rsidRPr="00446647">
              <w:t>).</w:t>
            </w:r>
          </w:p>
          <w:p w14:paraId="1A664C14" w14:textId="77777777" w:rsidR="00096626" w:rsidRPr="00096626" w:rsidRDefault="00096626" w:rsidP="00096626">
            <w:pPr>
              <w:jc w:val="both"/>
            </w:pPr>
            <w:r>
              <w:t>9.</w:t>
            </w:r>
            <w:r w:rsidR="008D1FF3">
              <w:t>5</w:t>
            </w:r>
            <w:r>
              <w:t xml:space="preserve">. </w:t>
            </w:r>
            <w:r w:rsidRPr="00096626">
              <w:rPr>
                <w:b/>
              </w:rPr>
              <w:t>Pardavėjas</w:t>
            </w:r>
            <w:r w:rsidRPr="00096626">
              <w:t xml:space="preserve"> įsipareigoja vykdyti Sutarties bendrosios dalies 8 punkte nurodytus įsipareigojimus ir pateikti </w:t>
            </w:r>
            <w:r w:rsidRPr="00096626">
              <w:rPr>
                <w:b/>
              </w:rPr>
              <w:t>Pirkėjui</w:t>
            </w:r>
            <w:r w:rsidRPr="00096626">
              <w:t xml:space="preserve"> pasirašytos Sutarties kopiją ir perkamoms prekėms identifikuoti reikalingus duomenis pagal šios </w:t>
            </w:r>
            <w:r w:rsidRPr="00EB6C07">
              <w:t>Sutarties 4 priede</w:t>
            </w:r>
            <w:r w:rsidRPr="00096626">
              <w:t xml:space="preserve"> „Kodifikavimui reikalingos dokumentų formos“ pateiktas formas. </w:t>
            </w:r>
            <w:r w:rsidRPr="00096626">
              <w:rPr>
                <w:b/>
              </w:rPr>
              <w:t>Pardavėjas</w:t>
            </w:r>
            <w:r w:rsidRPr="00096626">
              <w:t xml:space="preserve"> turi pateikti užpildytas ir pasirašytas formas elektroniniu pavidalu GRA Karybos standartizacijos ir nacionalinio kodifikavimo biurui, elektroninis paštas: </w:t>
            </w:r>
            <w:hyperlink r:id="rId8">
              <w:r w:rsidRPr="00096626">
                <w:rPr>
                  <w:rStyle w:val="Hyperlink"/>
                </w:rPr>
                <w:t>ncblt@mil.lt</w:t>
              </w:r>
            </w:hyperlink>
            <w:r w:rsidRPr="00096626">
              <w:t>,  telefonas +370 5 278 5250.</w:t>
            </w:r>
          </w:p>
          <w:p w14:paraId="61816E5C" w14:textId="77777777" w:rsidR="000A79DA" w:rsidRDefault="00DC3E96">
            <w:pPr>
              <w:jc w:val="both"/>
              <w:rPr>
                <w:i/>
              </w:rPr>
            </w:pPr>
            <w:r>
              <w:t>9.</w:t>
            </w:r>
            <w:r w:rsidR="008D1FF3">
              <w:t>6</w:t>
            </w:r>
            <w:r>
              <w:t>.</w:t>
            </w:r>
            <w:r w:rsidR="00635DE3">
              <w:rPr>
                <w:b/>
              </w:rPr>
              <w:t xml:space="preserve"> Pardavėjas</w:t>
            </w:r>
            <w:r w:rsidR="00635DE3">
              <w:t xml:space="preserve"> šiai Sutarčiai vykdyti subtiekėjo (-ų) nepasitelks</w:t>
            </w:r>
            <w:r w:rsidR="000A79DA">
              <w:t>.</w:t>
            </w:r>
            <w:r w:rsidR="00635DE3">
              <w:t xml:space="preserve"> </w:t>
            </w:r>
          </w:p>
          <w:p w14:paraId="3D73AA1F" w14:textId="77777777" w:rsidR="009C1A1C" w:rsidRPr="00660B9A" w:rsidRDefault="009C1A1C">
            <w:pPr>
              <w:jc w:val="both"/>
            </w:pPr>
            <w:r>
              <w:t xml:space="preserve">9.7. </w:t>
            </w:r>
            <w:r w:rsidRPr="006C0245">
              <w:t xml:space="preserve">Atsižvelgiant į tai, kad vadovaujantis Lietuvos Respublikos krašto apsaugos sistemos organizavimo ir karo tarnybos įstatymo 62 straipsnio 7 dalimi karinius ir kitus krašto apsaugos sistemos ženklus bei atributiką gaminti ir realizuoti ne pagal Krašto apsaugos sistemos institucijų užsakymus draudžiama, </w:t>
            </w:r>
            <w:r w:rsidRPr="006C0245">
              <w:rPr>
                <w:b/>
                <w:bCs/>
              </w:rPr>
              <w:t xml:space="preserve">Pardavėjas </w:t>
            </w:r>
            <w:r w:rsidRPr="006C0245">
              <w:t xml:space="preserve">neturi teisės pagaminti daugiau prekių, negu šioje sutartyje numatytas maksimalus kiekis arba daugiau negu jų buvo užsakęs </w:t>
            </w:r>
            <w:r w:rsidRPr="006C0245">
              <w:rPr>
                <w:b/>
                <w:bCs/>
              </w:rPr>
              <w:t xml:space="preserve">Pirkėjas. </w:t>
            </w:r>
            <w:r w:rsidRPr="00660B9A">
              <w:rPr>
                <w:b/>
                <w:bCs/>
              </w:rPr>
              <w:t xml:space="preserve">Pardavėjas </w:t>
            </w:r>
            <w:r w:rsidRPr="006C0245">
              <w:t xml:space="preserve">taip pat neturi teisės parduoti ar kitaip perleisti pagal sutartį pagamintų prekių </w:t>
            </w:r>
            <w:r w:rsidRPr="006C0245">
              <w:lastRenderedPageBreak/>
              <w:t xml:space="preserve">kitiems juridiniams ar fiziniams asmenims, nenurodytiems šioje sutartyje. Pažeidęs šio punkto reikalavimus </w:t>
            </w:r>
            <w:r w:rsidRPr="006C0245">
              <w:rPr>
                <w:b/>
                <w:bCs/>
              </w:rPr>
              <w:t xml:space="preserve">Pardavėjas </w:t>
            </w:r>
            <w:r w:rsidRPr="006C0245">
              <w:t xml:space="preserve">privalo sumokėti </w:t>
            </w:r>
            <w:r w:rsidRPr="006C0245">
              <w:rPr>
                <w:b/>
                <w:bCs/>
              </w:rPr>
              <w:t xml:space="preserve">Pirkėjui </w:t>
            </w:r>
            <w:r w:rsidRPr="006C0245">
              <w:t xml:space="preserve">pagamintų, parduotų ar kitaip realizuotų prekių vertės dydžio (pagal šią sutartį nustatytos kainos), netesybas, o jeigu prekės buvo realizuotos už didesnę kainą nei nurodyta šioje sutartyje, tokio dydžio netesybas už kokią kainą prekės buvo realizuotos. </w:t>
            </w:r>
          </w:p>
          <w:p w14:paraId="195233EB" w14:textId="0665B7B6" w:rsidR="000A79DA" w:rsidRPr="00EB4422" w:rsidRDefault="000A79DA" w:rsidP="000A79DA">
            <w:pPr>
              <w:jc w:val="both"/>
            </w:pPr>
            <w:r w:rsidRPr="00660B9A">
              <w:t xml:space="preserve">9.8. </w:t>
            </w:r>
            <w:r w:rsidRPr="003A52A4">
              <w:rPr>
                <w:b/>
              </w:rPr>
              <w:t>Pardavėjo</w:t>
            </w:r>
            <w:r w:rsidRPr="00EB4422">
              <w:t xml:space="preserve"> atstovas</w:t>
            </w:r>
            <w:r>
              <w:t xml:space="preserve">, </w:t>
            </w:r>
            <w:r w:rsidRPr="00B942DD">
              <w:t xml:space="preserve">atsakingas už Sutarties vykdymą bei koordinavimą, tiekiamų prekių kokybę </w:t>
            </w:r>
            <w:r w:rsidRPr="00914321">
              <w:t xml:space="preserve">pardavimų vadybininkas </w:t>
            </w:r>
          </w:p>
          <w:p w14:paraId="4EDD221E" w14:textId="074577F8" w:rsidR="000D66D1" w:rsidRDefault="000A79DA" w:rsidP="000D66D1">
            <w:pPr>
              <w:jc w:val="both"/>
            </w:pPr>
            <w:r>
              <w:t>9.9</w:t>
            </w:r>
            <w:r w:rsidRPr="000843A4">
              <w:t xml:space="preserve">. </w:t>
            </w:r>
            <w:r w:rsidR="000D66D1">
              <w:rPr>
                <w:b/>
              </w:rPr>
              <w:t xml:space="preserve">Pirkėjo </w:t>
            </w:r>
            <w:r w:rsidR="000D66D1">
              <w:t xml:space="preserve">atstovas – už Sutarties vykdymą ir pakeitimų paskelbimą atsakingas GRA Atsargų valdymo departamento Aprangos ir kario sistemų skyriaus logistikos vyriausiasis specialistas </w:t>
            </w:r>
          </w:p>
          <w:p w14:paraId="0F181713" w14:textId="77777777" w:rsidR="00126C25" w:rsidRDefault="00126C25" w:rsidP="000D66D1">
            <w:pPr>
              <w:jc w:val="both"/>
              <w:rPr>
                <w:lang w:val="en-US"/>
              </w:rPr>
            </w:pPr>
          </w:p>
          <w:p w14:paraId="35770F88" w14:textId="2A39ED4D" w:rsidR="000A79DA" w:rsidRPr="000843A4" w:rsidRDefault="000A79DA" w:rsidP="000A79DA">
            <w:pPr>
              <w:jc w:val="both"/>
              <w:rPr>
                <w:color w:val="000000"/>
              </w:rPr>
            </w:pPr>
            <w:r>
              <w:t>9.10</w:t>
            </w:r>
            <w:r w:rsidRPr="000843A4">
              <w:t>. A</w:t>
            </w:r>
            <w:r w:rsidRPr="000843A4">
              <w:rPr>
                <w:color w:val="000000"/>
              </w:rPr>
              <w:t xml:space="preserve">smuo, atsakingas už Sutarties paskelbimą – GRA Antrojo pirkimų organizavimo </w:t>
            </w:r>
          </w:p>
          <w:p w14:paraId="339BAD6C" w14:textId="77777777" w:rsidR="0051758C" w:rsidRDefault="00403322">
            <w:pPr>
              <w:jc w:val="both"/>
            </w:pPr>
            <w:r>
              <w:t>9.</w:t>
            </w:r>
            <w:r w:rsidR="009C1A1C">
              <w:t>11</w:t>
            </w:r>
            <w:r w:rsidR="00892287">
              <w:t>. Sutarties priedai:</w:t>
            </w:r>
          </w:p>
          <w:p w14:paraId="7658E571" w14:textId="77777777" w:rsidR="00096626" w:rsidRDefault="00096626">
            <w:pPr>
              <w:jc w:val="both"/>
            </w:pPr>
            <w:r>
              <w:t>9.</w:t>
            </w:r>
            <w:r w:rsidR="00FD752A">
              <w:t>11</w:t>
            </w:r>
            <w:r>
              <w:t xml:space="preserve">.1. </w:t>
            </w:r>
            <w:r w:rsidR="00504EC0" w:rsidRPr="00CF75CE">
              <w:t xml:space="preserve">1 priedas </w:t>
            </w:r>
            <w:r w:rsidR="009C1A1C">
              <w:t>Techninė specifikacija</w:t>
            </w:r>
            <w:r w:rsidR="00535F36" w:rsidRPr="00BF0C07">
              <w:t>“</w:t>
            </w:r>
            <w:r w:rsidR="0052383B">
              <w:t>,</w:t>
            </w:r>
            <w:r w:rsidR="00535F36" w:rsidRPr="00BF0C07">
              <w:t xml:space="preserve"> </w:t>
            </w:r>
            <w:r w:rsidR="000A79DA">
              <w:t>15</w:t>
            </w:r>
            <w:r w:rsidR="00535F36">
              <w:t xml:space="preserve"> lapų</w:t>
            </w:r>
            <w:r w:rsidRPr="00504EC0">
              <w:t>;</w:t>
            </w:r>
          </w:p>
          <w:p w14:paraId="4B671EC1" w14:textId="77777777" w:rsidR="00096626" w:rsidRDefault="00096626">
            <w:pPr>
              <w:jc w:val="both"/>
            </w:pPr>
            <w:r>
              <w:t>9.</w:t>
            </w:r>
            <w:r w:rsidR="00FD752A">
              <w:t>11</w:t>
            </w:r>
            <w:r>
              <w:t xml:space="preserve">.2. </w:t>
            </w:r>
            <w:r w:rsidRPr="00096626">
              <w:t>2 priedas „</w:t>
            </w:r>
            <w:r w:rsidR="00BB0FDA" w:rsidRPr="000A79DA">
              <w:t>Prekių pavadinimai, kiekiai ir įkainiai</w:t>
            </w:r>
            <w:r w:rsidR="00BB0FDA">
              <w:t>“</w:t>
            </w:r>
            <w:r w:rsidR="0052383B">
              <w:t>,</w:t>
            </w:r>
            <w:r w:rsidR="000A79DA">
              <w:t xml:space="preserve"> 1 lapas</w:t>
            </w:r>
            <w:r w:rsidR="00892287">
              <w:t>;</w:t>
            </w:r>
          </w:p>
          <w:p w14:paraId="4E13B1F2" w14:textId="77777777" w:rsidR="00096626" w:rsidRPr="00096626" w:rsidRDefault="00096626" w:rsidP="00096626">
            <w:pPr>
              <w:jc w:val="both"/>
            </w:pPr>
            <w:r>
              <w:t>9.</w:t>
            </w:r>
            <w:r w:rsidR="00FD752A">
              <w:t>11</w:t>
            </w:r>
            <w:r>
              <w:t xml:space="preserve">.3. </w:t>
            </w:r>
            <w:r w:rsidRPr="00096626">
              <w:t>3 prieda</w:t>
            </w:r>
            <w:r w:rsidR="000A79DA">
              <w:t>s „Užsakymas“ (forma pildymui), 1</w:t>
            </w:r>
            <w:r>
              <w:t xml:space="preserve"> </w:t>
            </w:r>
            <w:r w:rsidR="00892287">
              <w:t>lapas;</w:t>
            </w:r>
          </w:p>
          <w:p w14:paraId="2E46CAB5" w14:textId="2352A08C" w:rsidR="0052383B" w:rsidRDefault="00096626" w:rsidP="00527810">
            <w:pPr>
              <w:jc w:val="both"/>
            </w:pPr>
            <w:r>
              <w:t>9.</w:t>
            </w:r>
            <w:r w:rsidR="00FD752A">
              <w:t>11</w:t>
            </w:r>
            <w:r w:rsidRPr="00096626">
              <w:t xml:space="preserve">.4. 4 priedas „Kodifikavimui reikalingos dokumentų formos“ (pavyzdys užpildymui), </w:t>
            </w:r>
            <w:r w:rsidR="000A79DA">
              <w:t>2</w:t>
            </w:r>
            <w:r w:rsidR="00B53C94">
              <w:t xml:space="preserve"> </w:t>
            </w:r>
            <w:r w:rsidRPr="00096626">
              <w:t>lapai</w:t>
            </w:r>
            <w:r w:rsidR="0052383B">
              <w:t>;</w:t>
            </w:r>
          </w:p>
          <w:p w14:paraId="6CDB4796" w14:textId="369644BE" w:rsidR="00FD752A" w:rsidRDefault="00FD752A" w:rsidP="00527810">
            <w:pPr>
              <w:jc w:val="both"/>
            </w:pPr>
            <w:r>
              <w:t>9.11.</w:t>
            </w:r>
            <w:r w:rsidR="00235C0F">
              <w:t>5</w:t>
            </w:r>
            <w:r>
              <w:t xml:space="preserve">. </w:t>
            </w:r>
            <w:r w:rsidR="00235C0F">
              <w:t>5</w:t>
            </w:r>
            <w:r>
              <w:t xml:space="preserve"> priedas „Bendradarbiavimo sutartis“</w:t>
            </w:r>
            <w:r w:rsidR="00235C0F">
              <w:t>, 3 lapai.</w:t>
            </w:r>
          </w:p>
          <w:p w14:paraId="33562A6C" w14:textId="77777777" w:rsidR="00FD752A" w:rsidRDefault="00FD752A" w:rsidP="00527810">
            <w:pPr>
              <w:jc w:val="both"/>
              <w:rPr>
                <w:b/>
              </w:rPr>
            </w:pPr>
          </w:p>
        </w:tc>
      </w:tr>
      <w:tr w:rsidR="0051758C" w14:paraId="1C3F8151" w14:textId="77777777" w:rsidTr="00BB0FDA">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03B7FF4E" w14:textId="77777777" w:rsidR="0051758C" w:rsidRPr="00EB4422" w:rsidRDefault="0051758C" w:rsidP="00E86815">
            <w:pPr>
              <w:jc w:val="both"/>
              <w:rPr>
                <w:b/>
              </w:rPr>
            </w:pPr>
            <w:r>
              <w:rPr>
                <w:b/>
              </w:rPr>
              <w:lastRenderedPageBreak/>
              <w:t xml:space="preserve">10. Sutarties galiojimas </w:t>
            </w:r>
          </w:p>
          <w:p w14:paraId="44CA0829" w14:textId="77777777" w:rsidR="0051758C" w:rsidRPr="00EB4422" w:rsidRDefault="0051758C" w:rsidP="00E86815">
            <w:pPr>
              <w:jc w:val="both"/>
              <w:rPr>
                <w:bCs/>
              </w:rPr>
            </w:pPr>
            <w:r w:rsidRPr="00EB4422">
              <w:rPr>
                <w:bCs/>
              </w:rPr>
              <w:t>10.1. Sutartis galioja</w:t>
            </w:r>
            <w:r w:rsidR="003A52A4">
              <w:rPr>
                <w:bCs/>
              </w:rPr>
              <w:t xml:space="preserve"> </w:t>
            </w:r>
            <w:r w:rsidR="00B42E18">
              <w:rPr>
                <w:bCs/>
              </w:rPr>
              <w:t xml:space="preserve">12 </w:t>
            </w:r>
            <w:r w:rsidR="003A52A4">
              <w:rPr>
                <w:bCs/>
              </w:rPr>
              <w:t>mėn. nuo Sutarties įsigaliojimo dienos, o finansinių ir garantinių įsipareigojimų atžvilgiu – iki visiško finansinių ir gara</w:t>
            </w:r>
            <w:r w:rsidR="00E86815">
              <w:rPr>
                <w:bCs/>
              </w:rPr>
              <w:t>ntinių įsipareigojimų įvykdymo.</w:t>
            </w:r>
          </w:p>
          <w:p w14:paraId="15A7E8E9" w14:textId="77777777" w:rsidR="0051758C" w:rsidRDefault="0051758C" w:rsidP="00096626">
            <w:pPr>
              <w:jc w:val="both"/>
            </w:pPr>
            <w:r w:rsidRPr="00EB4422">
              <w:t xml:space="preserve">10.2. Sutarties pratęsimas </w:t>
            </w:r>
            <w:r w:rsidR="00096626">
              <w:t>nenumatomas</w:t>
            </w:r>
            <w:r w:rsidR="00892287">
              <w:t>.</w:t>
            </w:r>
          </w:p>
          <w:p w14:paraId="659EE837" w14:textId="77777777" w:rsidR="00136AB4" w:rsidRPr="00EB4422" w:rsidRDefault="00136AB4" w:rsidP="00096626">
            <w:pPr>
              <w:jc w:val="both"/>
            </w:pPr>
          </w:p>
        </w:tc>
      </w:tr>
      <w:tr w:rsidR="0051758C" w14:paraId="5A01FB41" w14:textId="77777777" w:rsidTr="00BB0FDA">
        <w:trPr>
          <w:trHeight w:val="2256"/>
        </w:trPr>
        <w:tc>
          <w:tcPr>
            <w:tcW w:w="5000" w:type="pct"/>
            <w:gridSpan w:val="3"/>
            <w:tcBorders>
              <w:top w:val="single" w:sz="4" w:space="0" w:color="auto"/>
              <w:left w:val="single" w:sz="4" w:space="0" w:color="auto"/>
              <w:bottom w:val="single" w:sz="4" w:space="0" w:color="auto"/>
              <w:right w:val="single" w:sz="4" w:space="0" w:color="auto"/>
            </w:tcBorders>
          </w:tcPr>
          <w:p w14:paraId="4B50B327" w14:textId="77777777" w:rsidR="00E655B8" w:rsidRDefault="0051758C">
            <w:pPr>
              <w:rPr>
                <w:b/>
              </w:rPr>
            </w:pPr>
            <w:r>
              <w:rPr>
                <w:b/>
              </w:rPr>
              <w:t>11. Pirkėjo rekvizitai</w:t>
            </w:r>
          </w:p>
          <w:p w14:paraId="71F5B7E1" w14:textId="77777777" w:rsidR="00096626" w:rsidRPr="00096626" w:rsidRDefault="00096626" w:rsidP="00096626">
            <w:pPr>
              <w:suppressAutoHyphens/>
              <w:rPr>
                <w:rFonts w:eastAsia="Calibri"/>
                <w:b/>
                <w:bCs/>
                <w:lang w:eastAsia="en-US"/>
              </w:rPr>
            </w:pPr>
            <w:r w:rsidRPr="00096626">
              <w:rPr>
                <w:rFonts w:eastAsia="Calibri"/>
                <w:b/>
                <w:bCs/>
                <w:lang w:eastAsia="en-US"/>
              </w:rPr>
              <w:t>Gynybos resursų agentūra prie KAM</w:t>
            </w:r>
          </w:p>
          <w:p w14:paraId="7A9C3556" w14:textId="77777777" w:rsidR="00096626" w:rsidRPr="00096626" w:rsidRDefault="00096626" w:rsidP="00096626">
            <w:pPr>
              <w:suppressAutoHyphens/>
              <w:rPr>
                <w:rFonts w:eastAsia="Calibri"/>
                <w:lang w:eastAsia="en-US"/>
              </w:rPr>
            </w:pPr>
            <w:r w:rsidRPr="00096626">
              <w:rPr>
                <w:rFonts w:eastAsia="Calibri"/>
                <w:lang w:eastAsia="en-US"/>
              </w:rPr>
              <w:t>Kodas 304740061</w:t>
            </w:r>
          </w:p>
          <w:p w14:paraId="55B71528" w14:textId="77777777" w:rsidR="00096626" w:rsidRPr="00096626" w:rsidRDefault="00096626" w:rsidP="00096626">
            <w:pPr>
              <w:suppressAutoHyphens/>
              <w:rPr>
                <w:rFonts w:eastAsia="Calibri"/>
                <w:lang w:eastAsia="en-US"/>
              </w:rPr>
            </w:pPr>
            <w:r w:rsidRPr="00096626">
              <w:rPr>
                <w:rFonts w:eastAsia="Calibri"/>
                <w:lang w:eastAsia="en-US"/>
              </w:rPr>
              <w:t>PVM mokėtojo kodas LT100011457012</w:t>
            </w:r>
          </w:p>
          <w:p w14:paraId="6BB3958A" w14:textId="77777777" w:rsidR="00636F07" w:rsidRPr="00A94CC2" w:rsidRDefault="00636F07" w:rsidP="00636F07">
            <w:pPr>
              <w:suppressAutoHyphens/>
              <w:rPr>
                <w:rFonts w:eastAsia="Calibri"/>
                <w:lang w:eastAsia="en-US"/>
              </w:rPr>
            </w:pPr>
            <w:r w:rsidRPr="005503F1">
              <w:rPr>
                <w:rFonts w:eastAsia="Calibri"/>
                <w:lang w:eastAsia="en-US"/>
              </w:rPr>
              <w:t>Giedraičių g. 41</w:t>
            </w:r>
            <w:r>
              <w:rPr>
                <w:rFonts w:eastAsia="Calibri"/>
                <w:lang w:eastAsia="en-US"/>
              </w:rPr>
              <w:t>-101</w:t>
            </w:r>
            <w:r w:rsidRPr="005503F1">
              <w:rPr>
                <w:rFonts w:eastAsia="Calibri"/>
                <w:lang w:eastAsia="en-US"/>
              </w:rPr>
              <w:t xml:space="preserve">, </w:t>
            </w:r>
            <w:r>
              <w:rPr>
                <w:rFonts w:eastAsia="Calibri"/>
                <w:lang w:eastAsia="en-US"/>
              </w:rPr>
              <w:t>LT-</w:t>
            </w:r>
            <w:r w:rsidRPr="005503F1">
              <w:rPr>
                <w:rFonts w:eastAsia="Calibri"/>
                <w:lang w:eastAsia="en-US"/>
              </w:rPr>
              <w:t>09302 Vilnius</w:t>
            </w:r>
            <w:r>
              <w:rPr>
                <w:rFonts w:eastAsia="Calibri"/>
                <w:lang w:eastAsia="en-US"/>
              </w:rPr>
              <w:t xml:space="preserve"> </w:t>
            </w:r>
          </w:p>
          <w:p w14:paraId="637CD28E" w14:textId="77777777" w:rsidR="00096626" w:rsidRPr="00096626" w:rsidRDefault="00096626" w:rsidP="00096626">
            <w:pPr>
              <w:suppressAutoHyphens/>
              <w:rPr>
                <w:rFonts w:eastAsia="Calibri"/>
                <w:lang w:eastAsia="en-US"/>
              </w:rPr>
            </w:pPr>
            <w:r w:rsidRPr="00096626">
              <w:rPr>
                <w:rFonts w:eastAsia="Calibri"/>
                <w:lang w:eastAsia="en-US"/>
              </w:rPr>
              <w:t>Lietuvos Respublika</w:t>
            </w:r>
          </w:p>
          <w:p w14:paraId="46A68281" w14:textId="77777777" w:rsidR="00096626" w:rsidRPr="00096626" w:rsidRDefault="00096626" w:rsidP="00096626">
            <w:pPr>
              <w:suppressAutoHyphens/>
              <w:rPr>
                <w:rFonts w:eastAsia="Calibri"/>
                <w:lang w:eastAsia="en-US"/>
              </w:rPr>
            </w:pPr>
            <w:r w:rsidRPr="00096626">
              <w:rPr>
                <w:rFonts w:eastAsia="Calibri"/>
                <w:lang w:eastAsia="en-US"/>
              </w:rPr>
              <w:t xml:space="preserve">A. s. </w:t>
            </w:r>
            <w:r w:rsidRPr="00096626">
              <w:rPr>
                <w:rFonts w:eastAsia="Calibri"/>
                <w:lang w:val="en-GB" w:eastAsia="en-US"/>
              </w:rPr>
              <w:t>LT23 7044 0600 0820 1907</w:t>
            </w:r>
          </w:p>
          <w:p w14:paraId="7CE95E6F" w14:textId="77777777" w:rsidR="00096626" w:rsidRDefault="00636F07" w:rsidP="00096626">
            <w:pPr>
              <w:rPr>
                <w:b/>
              </w:rPr>
            </w:pPr>
            <w:r w:rsidRPr="00096626">
              <w:rPr>
                <w:rFonts w:eastAsia="Calibri"/>
                <w:lang w:eastAsia="en-US"/>
              </w:rPr>
              <w:t xml:space="preserve">AB </w:t>
            </w:r>
            <w:r w:rsidR="00096626" w:rsidRPr="00096626">
              <w:rPr>
                <w:rFonts w:eastAsia="Calibri"/>
                <w:lang w:eastAsia="en-US"/>
              </w:rPr>
              <w:t xml:space="preserve">SEB bankas </w:t>
            </w:r>
          </w:p>
          <w:p w14:paraId="1FD8C4C8" w14:textId="77777777" w:rsidR="0051758C" w:rsidRDefault="0051758C">
            <w:pPr>
              <w:rPr>
                <w:b/>
              </w:rPr>
            </w:pPr>
          </w:p>
        </w:tc>
      </w:tr>
      <w:tr w:rsidR="003D3BB4" w14:paraId="2F36618C" w14:textId="77777777" w:rsidTr="00BB0FDA">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1910DB36" w14:textId="77777777" w:rsidR="003D3BB4" w:rsidRDefault="003D3BB4" w:rsidP="00264C29">
            <w:pPr>
              <w:rPr>
                <w:b/>
              </w:rPr>
            </w:pPr>
            <w:r>
              <w:rPr>
                <w:b/>
              </w:rPr>
              <w:t xml:space="preserve">12. </w:t>
            </w:r>
            <w:r w:rsidR="00AC017B">
              <w:rPr>
                <w:b/>
              </w:rPr>
              <w:t xml:space="preserve">Pardavėjo rekvizitai </w:t>
            </w:r>
          </w:p>
          <w:p w14:paraId="36B65DFD" w14:textId="77777777" w:rsidR="00235C0F" w:rsidRDefault="00235C0F" w:rsidP="00264C29">
            <w:pPr>
              <w:rPr>
                <w:b/>
              </w:rPr>
            </w:pPr>
            <w:r w:rsidRPr="00235C0F">
              <w:rPr>
                <w:b/>
              </w:rPr>
              <w:t>OÜ SPORRONG EESTI ir UAB „Ūlos juvelyrų studija“</w:t>
            </w:r>
          </w:p>
          <w:p w14:paraId="2590A57F" w14:textId="77777777" w:rsidR="00957548" w:rsidRDefault="00957548" w:rsidP="000A79DA">
            <w:pPr>
              <w:rPr>
                <w:b/>
              </w:rPr>
            </w:pPr>
          </w:p>
          <w:p w14:paraId="0D4095AB" w14:textId="77777777" w:rsidR="000A79DA" w:rsidRPr="00914321" w:rsidRDefault="000A79DA" w:rsidP="000A79DA">
            <w:pPr>
              <w:rPr>
                <w:b/>
              </w:rPr>
            </w:pPr>
            <w:r w:rsidRPr="00914321">
              <w:rPr>
                <w:b/>
              </w:rPr>
              <w:t>OÜ SPORRONG EESTI</w:t>
            </w:r>
          </w:p>
          <w:p w14:paraId="01BA8409" w14:textId="77777777" w:rsidR="000A79DA" w:rsidRPr="00914321" w:rsidRDefault="000A79DA" w:rsidP="000A79DA">
            <w:pPr>
              <w:pStyle w:val="NoSpacing"/>
              <w:rPr>
                <w:lang w:val="lt-LT"/>
              </w:rPr>
            </w:pPr>
            <w:r w:rsidRPr="00914321">
              <w:rPr>
                <w:lang w:val="lt-LT"/>
              </w:rPr>
              <w:t>Kodas 10372949</w:t>
            </w:r>
          </w:p>
          <w:p w14:paraId="6B68089C" w14:textId="77777777" w:rsidR="000A79DA" w:rsidRPr="00914321" w:rsidRDefault="000A79DA" w:rsidP="000A79DA">
            <w:pPr>
              <w:pStyle w:val="NoSpacing"/>
              <w:rPr>
                <w:lang w:val="lt-LT"/>
              </w:rPr>
            </w:pPr>
            <w:r w:rsidRPr="00914321">
              <w:rPr>
                <w:lang w:val="lt-LT"/>
              </w:rPr>
              <w:t>PVM mokėtojo kodas: EE100244915</w:t>
            </w:r>
          </w:p>
          <w:p w14:paraId="111F437C" w14:textId="77777777" w:rsidR="000A79DA" w:rsidRPr="00914321" w:rsidRDefault="000A79DA" w:rsidP="000A79DA">
            <w:pPr>
              <w:pStyle w:val="NoSpacing"/>
              <w:rPr>
                <w:lang w:val="lt-LT"/>
              </w:rPr>
            </w:pPr>
            <w:proofErr w:type="spellStart"/>
            <w:r w:rsidRPr="00914321">
              <w:rPr>
                <w:lang w:val="lt-LT"/>
              </w:rPr>
              <w:t>Pikk</w:t>
            </w:r>
            <w:proofErr w:type="spellEnd"/>
            <w:r w:rsidRPr="00914321">
              <w:rPr>
                <w:lang w:val="lt-LT"/>
              </w:rPr>
              <w:t xml:space="preserve"> 59/1, 93815 </w:t>
            </w:r>
            <w:proofErr w:type="spellStart"/>
            <w:r w:rsidRPr="00914321">
              <w:rPr>
                <w:lang w:val="lt-LT"/>
              </w:rPr>
              <w:t>Kuressaare</w:t>
            </w:r>
            <w:proofErr w:type="spellEnd"/>
            <w:r w:rsidRPr="00914321">
              <w:rPr>
                <w:lang w:val="lt-LT"/>
              </w:rPr>
              <w:t>, Estija</w:t>
            </w:r>
          </w:p>
          <w:p w14:paraId="776CAB5C" w14:textId="77777777" w:rsidR="000A79DA" w:rsidRPr="00914321" w:rsidRDefault="000A79DA" w:rsidP="000A79DA">
            <w:pPr>
              <w:pStyle w:val="NoSpacing"/>
              <w:rPr>
                <w:bCs/>
                <w:lang w:val="et-EE"/>
              </w:rPr>
            </w:pPr>
            <w:r w:rsidRPr="00914321">
              <w:rPr>
                <w:lang w:val="lt-LT"/>
              </w:rPr>
              <w:t xml:space="preserve">IBAN: </w:t>
            </w:r>
            <w:r w:rsidRPr="00914321">
              <w:rPr>
                <w:bCs/>
                <w:lang w:val="et-EE"/>
              </w:rPr>
              <w:t>EE702200221067866684</w:t>
            </w:r>
          </w:p>
          <w:p w14:paraId="1EF6D4EC" w14:textId="77777777" w:rsidR="000A79DA" w:rsidRPr="00914321" w:rsidRDefault="000A79DA" w:rsidP="000A79DA">
            <w:pPr>
              <w:pStyle w:val="NoSpacing"/>
              <w:rPr>
                <w:lang w:val="lt-LT"/>
              </w:rPr>
            </w:pPr>
            <w:r w:rsidRPr="00914321">
              <w:rPr>
                <w:lang w:val="lt-LT"/>
              </w:rPr>
              <w:t xml:space="preserve">SWIFT: </w:t>
            </w:r>
            <w:r w:rsidRPr="00914321">
              <w:rPr>
                <w:bCs/>
                <w:lang w:eastAsia="en-GB"/>
              </w:rPr>
              <w:t>HABAEE2X</w:t>
            </w:r>
          </w:p>
          <w:p w14:paraId="7E5315CE" w14:textId="77777777" w:rsidR="003D3BB4" w:rsidRDefault="000A79DA" w:rsidP="00264C29">
            <w:r w:rsidRPr="00914321">
              <w:t>Bankas: SWEDBANK AS</w:t>
            </w:r>
          </w:p>
          <w:p w14:paraId="33E5D395" w14:textId="77777777" w:rsidR="00E33F17" w:rsidRDefault="00E33F17" w:rsidP="00264C29"/>
          <w:p w14:paraId="12F2C1DD" w14:textId="46F6EE5C" w:rsidR="00E33F17" w:rsidRPr="00E33F17" w:rsidRDefault="00E33F17" w:rsidP="00264C29">
            <w:pPr>
              <w:rPr>
                <w:b/>
              </w:rPr>
            </w:pPr>
            <w:r w:rsidRPr="00E33F17">
              <w:rPr>
                <w:b/>
              </w:rPr>
              <w:t>UAB „Ūlos juvelyrų studija“</w:t>
            </w:r>
          </w:p>
          <w:p w14:paraId="1E914C22" w14:textId="77777777" w:rsidR="00E33F17" w:rsidRPr="00CF7466" w:rsidRDefault="00E33F17" w:rsidP="00E33F17">
            <w:r>
              <w:t>K</w:t>
            </w:r>
            <w:r w:rsidRPr="00CF7466">
              <w:t>odas 300079342</w:t>
            </w:r>
          </w:p>
          <w:p w14:paraId="472283B3" w14:textId="77777777" w:rsidR="00E33F17" w:rsidRPr="00CF7466" w:rsidRDefault="00E33F17" w:rsidP="00E33F17">
            <w:r w:rsidRPr="00CF7466">
              <w:t xml:space="preserve">PVM </w:t>
            </w:r>
            <w:r>
              <w:t>mokėtojo kodas</w:t>
            </w:r>
            <w:r w:rsidRPr="00CF7466">
              <w:t xml:space="preserve"> LT 100001462216  </w:t>
            </w:r>
          </w:p>
          <w:p w14:paraId="12235195" w14:textId="77777777" w:rsidR="00E33F17" w:rsidRPr="004F395F" w:rsidRDefault="00E33F17" w:rsidP="00E33F17">
            <w:pPr>
              <w:rPr>
                <w:lang w:val="de-DE"/>
              </w:rPr>
            </w:pPr>
            <w:proofErr w:type="spellStart"/>
            <w:r w:rsidRPr="004F395F">
              <w:rPr>
                <w:lang w:val="de-DE"/>
              </w:rPr>
              <w:t>Sudervės</w:t>
            </w:r>
            <w:proofErr w:type="spellEnd"/>
            <w:r w:rsidRPr="004F395F">
              <w:rPr>
                <w:lang w:val="de-DE"/>
              </w:rPr>
              <w:t xml:space="preserve"> 8B, LT-14192</w:t>
            </w:r>
            <w:r>
              <w:rPr>
                <w:lang w:val="de-DE"/>
              </w:rPr>
              <w:t xml:space="preserve"> </w:t>
            </w:r>
            <w:proofErr w:type="spellStart"/>
            <w:r w:rsidRPr="004F395F">
              <w:rPr>
                <w:lang w:val="de-DE"/>
              </w:rPr>
              <w:t>Avižieniai</w:t>
            </w:r>
            <w:proofErr w:type="spellEnd"/>
            <w:r w:rsidRPr="004F395F">
              <w:rPr>
                <w:lang w:val="de-DE"/>
              </w:rPr>
              <w:t xml:space="preserve">, </w:t>
            </w:r>
            <w:proofErr w:type="spellStart"/>
            <w:r w:rsidRPr="004F395F">
              <w:rPr>
                <w:lang w:val="de-DE"/>
              </w:rPr>
              <w:t>V</w:t>
            </w:r>
            <w:r>
              <w:rPr>
                <w:lang w:val="de-DE"/>
              </w:rPr>
              <w:t>ilniaus</w:t>
            </w:r>
            <w:proofErr w:type="spellEnd"/>
            <w:r>
              <w:rPr>
                <w:lang w:val="de-DE"/>
              </w:rPr>
              <w:t xml:space="preserve"> r.</w:t>
            </w:r>
            <w:r w:rsidRPr="004F395F">
              <w:rPr>
                <w:lang w:val="de-DE"/>
              </w:rPr>
              <w:t xml:space="preserve"> </w:t>
            </w:r>
          </w:p>
          <w:p w14:paraId="6FFD75A7" w14:textId="77777777" w:rsidR="00E33F17" w:rsidRPr="00575902" w:rsidRDefault="00E33F17" w:rsidP="00E33F17">
            <w:pPr>
              <w:rPr>
                <w:lang w:val="de-DE"/>
              </w:rPr>
            </w:pPr>
            <w:proofErr w:type="spellStart"/>
            <w:r>
              <w:rPr>
                <w:lang w:val="de-DE"/>
              </w:rPr>
              <w:t>A.s.</w:t>
            </w:r>
            <w:proofErr w:type="spellEnd"/>
            <w:r>
              <w:rPr>
                <w:lang w:val="de-DE"/>
              </w:rPr>
              <w:t xml:space="preserve"> </w:t>
            </w:r>
            <w:r w:rsidRPr="00575902">
              <w:rPr>
                <w:lang w:val="de-DE"/>
              </w:rPr>
              <w:t xml:space="preserve">LT 32 7044 0600 0465 0963 </w:t>
            </w:r>
          </w:p>
          <w:p w14:paraId="54788941" w14:textId="3929B468" w:rsidR="00FD752A" w:rsidRPr="00957548" w:rsidRDefault="00E33F17" w:rsidP="00264C29">
            <w:r w:rsidRPr="00CF7466">
              <w:rPr>
                <w:lang w:val="de-DE"/>
              </w:rPr>
              <w:t xml:space="preserve">AB SEB </w:t>
            </w:r>
            <w:proofErr w:type="spellStart"/>
            <w:r w:rsidRPr="00CF7466">
              <w:rPr>
                <w:lang w:val="de-DE"/>
              </w:rPr>
              <w:t>bankas</w:t>
            </w:r>
            <w:proofErr w:type="spellEnd"/>
          </w:p>
        </w:tc>
      </w:tr>
      <w:tr w:rsidR="00E655B8" w14:paraId="64C4C15A" w14:textId="77777777" w:rsidTr="00BB0FDA">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0496820A" w14:textId="77777777" w:rsidR="00E655B8" w:rsidRDefault="00E655B8" w:rsidP="00E655B8">
            <w:pPr>
              <w:rPr>
                <w:b/>
              </w:rPr>
            </w:pPr>
            <w:r>
              <w:rPr>
                <w:b/>
              </w:rPr>
              <w:lastRenderedPageBreak/>
              <w:t xml:space="preserve">13. </w:t>
            </w:r>
            <w:r w:rsidR="00AC017B">
              <w:rPr>
                <w:b/>
              </w:rPr>
              <w:t>Mokėtojo rekvizitai</w:t>
            </w:r>
            <w:r w:rsidR="00AC017B" w:rsidDel="00AC017B">
              <w:rPr>
                <w:b/>
              </w:rPr>
              <w:t xml:space="preserve"> </w:t>
            </w:r>
          </w:p>
          <w:p w14:paraId="1D075A3B" w14:textId="77777777" w:rsidR="00096626" w:rsidRPr="00096626" w:rsidRDefault="00096626" w:rsidP="00096626">
            <w:pPr>
              <w:suppressAutoHyphens/>
              <w:rPr>
                <w:b/>
              </w:rPr>
            </w:pPr>
            <w:r w:rsidRPr="00096626">
              <w:rPr>
                <w:b/>
              </w:rPr>
              <w:t>Lietuvos kariuomenė</w:t>
            </w:r>
          </w:p>
          <w:p w14:paraId="3E1D3D6F" w14:textId="77777777" w:rsidR="00096626" w:rsidRPr="00096626" w:rsidRDefault="00096626" w:rsidP="00096626">
            <w:pPr>
              <w:suppressAutoHyphens/>
            </w:pPr>
            <w:r w:rsidRPr="00096626">
              <w:t>Kodas 188732677</w:t>
            </w:r>
          </w:p>
          <w:p w14:paraId="02CAA76A" w14:textId="77777777" w:rsidR="00096626" w:rsidRPr="00096626" w:rsidRDefault="00096626" w:rsidP="00096626">
            <w:pPr>
              <w:suppressAutoHyphens/>
            </w:pPr>
            <w:r w:rsidRPr="00096626">
              <w:t>PVM mokėtojo kodas LT887326716</w:t>
            </w:r>
          </w:p>
          <w:p w14:paraId="33854A0D" w14:textId="77777777" w:rsidR="00096626" w:rsidRPr="00096626" w:rsidRDefault="00096626" w:rsidP="00096626">
            <w:pPr>
              <w:suppressAutoHyphens/>
            </w:pPr>
            <w:r w:rsidRPr="00096626">
              <w:t>Šv. Ignoto 8, LT-01144 Vilnius</w:t>
            </w:r>
          </w:p>
          <w:p w14:paraId="1B76A593" w14:textId="77777777" w:rsidR="00096626" w:rsidRPr="00096626" w:rsidRDefault="00096626" w:rsidP="00096626">
            <w:pPr>
              <w:suppressAutoHyphens/>
            </w:pPr>
            <w:r w:rsidRPr="00096626">
              <w:t>A. s. LT48 7300 0100 0246 0179</w:t>
            </w:r>
          </w:p>
          <w:p w14:paraId="31BAC282" w14:textId="77777777" w:rsidR="00FD752A" w:rsidRPr="00136AB4" w:rsidRDefault="00096626" w:rsidP="00096626">
            <w:r w:rsidRPr="00096626">
              <w:t>AB ,,Swedbank“</w:t>
            </w:r>
          </w:p>
        </w:tc>
      </w:tr>
      <w:tr w:rsidR="003D3BB4" w:rsidRPr="003802E8" w14:paraId="59FCFDCA" w14:textId="77777777" w:rsidTr="00BB0F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6B3A8883"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2" w:type="pct"/>
            <w:shd w:val="clear" w:color="auto" w:fill="auto"/>
          </w:tcPr>
          <w:p w14:paraId="3F93FC3B"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7" w:type="pct"/>
            <w:shd w:val="clear" w:color="auto" w:fill="auto"/>
          </w:tcPr>
          <w:p w14:paraId="2B4039FA" w14:textId="77777777" w:rsidR="003D3BB4" w:rsidRPr="003802E8" w:rsidRDefault="003D3BB4" w:rsidP="00264C29">
            <w:pPr>
              <w:pStyle w:val="BodyText1"/>
              <w:ind w:firstLine="0"/>
              <w:rPr>
                <w:rFonts w:ascii="Times New Roman" w:eastAsia="Times New Roman" w:hAnsi="Times New Roman"/>
                <w:b/>
                <w:lang w:val="lt-LT" w:eastAsia="en-US"/>
              </w:rPr>
            </w:pPr>
          </w:p>
        </w:tc>
      </w:tr>
    </w:tbl>
    <w:tbl>
      <w:tblPr>
        <w:tblpPr w:leftFromText="180" w:rightFromText="180" w:vertAnchor="text" w:horzAnchor="margin" w:tblpY="344"/>
        <w:tblW w:w="5000" w:type="pct"/>
        <w:tblLook w:val="04A0" w:firstRow="1" w:lastRow="0" w:firstColumn="1" w:lastColumn="0" w:noHBand="0" w:noVBand="1"/>
      </w:tblPr>
      <w:tblGrid>
        <w:gridCol w:w="3840"/>
        <w:gridCol w:w="1688"/>
        <w:gridCol w:w="3686"/>
      </w:tblGrid>
      <w:tr w:rsidR="00BB0FDA" w:rsidRPr="00206065" w14:paraId="5809F310" w14:textId="77777777" w:rsidTr="00E33F17">
        <w:tc>
          <w:tcPr>
            <w:tcW w:w="2084" w:type="pct"/>
            <w:shd w:val="clear" w:color="auto" w:fill="auto"/>
          </w:tcPr>
          <w:p w14:paraId="59A123A5" w14:textId="77777777" w:rsidR="00BB0FDA" w:rsidRPr="00206065" w:rsidRDefault="00BB0FDA" w:rsidP="00BB0FDA">
            <w:pPr>
              <w:widowControl w:val="0"/>
              <w:suppressAutoHyphens/>
              <w:jc w:val="both"/>
              <w:rPr>
                <w:rFonts w:eastAsia="Arial Unicode MS"/>
                <w:b/>
                <w:color w:val="000000"/>
                <w:lang w:eastAsia="en-US" w:bidi="lt-LT"/>
              </w:rPr>
            </w:pPr>
            <w:r w:rsidRPr="00206065">
              <w:rPr>
                <w:rFonts w:eastAsia="Arial Unicode MS"/>
                <w:b/>
                <w:color w:val="000000"/>
                <w:lang w:eastAsia="en-US" w:bidi="lt-LT"/>
              </w:rPr>
              <w:t>PIRKĖJAS</w:t>
            </w:r>
          </w:p>
          <w:p w14:paraId="15E1550C" w14:textId="77777777" w:rsidR="00BB0FDA" w:rsidRPr="00206065" w:rsidRDefault="00BB0FDA" w:rsidP="00BB0FDA">
            <w:pPr>
              <w:widowControl w:val="0"/>
              <w:suppressAutoHyphens/>
              <w:rPr>
                <w:rFonts w:eastAsia="Arial Unicode MS"/>
                <w:b/>
                <w:color w:val="000000"/>
                <w:lang w:eastAsia="en-US" w:bidi="lt-LT"/>
              </w:rPr>
            </w:pPr>
          </w:p>
          <w:p w14:paraId="00887A9D" w14:textId="77777777" w:rsidR="00BB0FDA" w:rsidRPr="00206065" w:rsidRDefault="00BB0FDA" w:rsidP="00BB0FDA">
            <w:pPr>
              <w:widowControl w:val="0"/>
              <w:suppressAutoHyphens/>
              <w:rPr>
                <w:rFonts w:eastAsia="Arial Unicode MS"/>
                <w:b/>
                <w:color w:val="000000"/>
                <w:lang w:eastAsia="en-US" w:bidi="lt-LT"/>
              </w:rPr>
            </w:pPr>
            <w:r w:rsidRPr="00206065">
              <w:rPr>
                <w:rFonts w:eastAsia="Arial Unicode MS"/>
                <w:b/>
                <w:color w:val="000000"/>
                <w:lang w:eastAsia="en-US" w:bidi="lt-LT"/>
              </w:rPr>
              <w:t>Gynybos resursų agentūra</w:t>
            </w:r>
          </w:p>
          <w:p w14:paraId="0ED496EE" w14:textId="77777777" w:rsidR="00BB0FDA" w:rsidRPr="00206065" w:rsidRDefault="00BB0FDA" w:rsidP="00BB0FDA">
            <w:pPr>
              <w:widowControl w:val="0"/>
              <w:suppressAutoHyphens/>
              <w:rPr>
                <w:rFonts w:eastAsia="Arial"/>
                <w:b/>
                <w:color w:val="000000"/>
                <w:lang w:eastAsia="ar-SA" w:bidi="lt-LT"/>
              </w:rPr>
            </w:pPr>
            <w:r w:rsidRPr="00206065">
              <w:rPr>
                <w:rFonts w:eastAsia="Arial"/>
                <w:b/>
                <w:color w:val="000000"/>
                <w:lang w:eastAsia="ar-SA" w:bidi="lt-LT"/>
              </w:rPr>
              <w:t>prie Krašto apsaugos ministerijos</w:t>
            </w:r>
          </w:p>
          <w:p w14:paraId="0CAEDD4A" w14:textId="77777777" w:rsidR="00BB0FDA" w:rsidRPr="00206065" w:rsidRDefault="00BB0FDA" w:rsidP="00BB0FDA">
            <w:pPr>
              <w:widowControl w:val="0"/>
              <w:suppressAutoHyphens/>
              <w:jc w:val="both"/>
              <w:rPr>
                <w:rFonts w:eastAsia="Arial"/>
                <w:b/>
                <w:color w:val="000000"/>
                <w:lang w:eastAsia="ar-SA" w:bidi="lt-LT"/>
              </w:rPr>
            </w:pPr>
          </w:p>
          <w:p w14:paraId="2B6C2109" w14:textId="77777777" w:rsidR="00BB0FDA" w:rsidRPr="00206065" w:rsidRDefault="00BB0FDA" w:rsidP="00BB0FDA">
            <w:pPr>
              <w:widowControl w:val="0"/>
              <w:suppressAutoHyphens/>
              <w:jc w:val="both"/>
              <w:rPr>
                <w:rFonts w:eastAsia="Arial"/>
                <w:color w:val="000000"/>
                <w:lang w:val="en-GB" w:eastAsia="ar-SA" w:bidi="lt-LT"/>
              </w:rPr>
            </w:pPr>
            <w:r w:rsidRPr="00206065">
              <w:rPr>
                <w:rFonts w:eastAsia="Arial"/>
                <w:color w:val="000000"/>
                <w:lang w:val="en-GB" w:eastAsia="ar-SA" w:bidi="lt-LT"/>
              </w:rPr>
              <w:t>________________________</w:t>
            </w:r>
          </w:p>
          <w:p w14:paraId="6E3C1A7D" w14:textId="77777777" w:rsidR="00BB0FDA" w:rsidRPr="00206065" w:rsidRDefault="00BB0FDA" w:rsidP="00BB0FDA">
            <w:pPr>
              <w:widowControl w:val="0"/>
              <w:suppressAutoHyphens/>
              <w:jc w:val="both"/>
              <w:rPr>
                <w:rFonts w:eastAsia="Arial"/>
                <w:color w:val="000000"/>
                <w:lang w:eastAsia="ar-SA" w:bidi="lt-LT"/>
              </w:rPr>
            </w:pPr>
            <w:r w:rsidRPr="00206065">
              <w:rPr>
                <w:rFonts w:eastAsia="Arial"/>
                <w:color w:val="000000"/>
                <w:lang w:eastAsia="ar-SA" w:bidi="lt-LT"/>
              </w:rPr>
              <w:t>direktorius</w:t>
            </w:r>
          </w:p>
          <w:p w14:paraId="12D12928" w14:textId="77777777" w:rsidR="00BB0FDA" w:rsidRPr="00206065" w:rsidRDefault="00BB0FDA" w:rsidP="00BB0FDA">
            <w:pPr>
              <w:widowControl w:val="0"/>
              <w:suppressAutoHyphens/>
              <w:jc w:val="both"/>
              <w:rPr>
                <w:rFonts w:eastAsia="Arial Unicode MS"/>
                <w:b/>
                <w:color w:val="000000"/>
                <w:lang w:eastAsia="en-US" w:bidi="lt-LT"/>
              </w:rPr>
            </w:pPr>
          </w:p>
          <w:p w14:paraId="7D24A970" w14:textId="77777777" w:rsidR="00BB0FDA" w:rsidRPr="00206065" w:rsidRDefault="00BB0FDA" w:rsidP="00BB0FDA">
            <w:pPr>
              <w:widowControl w:val="0"/>
              <w:suppressAutoHyphens/>
              <w:jc w:val="both"/>
              <w:rPr>
                <w:rFonts w:eastAsia="Arial Unicode MS"/>
                <w:b/>
                <w:color w:val="000000"/>
                <w:lang w:eastAsia="en-US" w:bidi="lt-LT"/>
              </w:rPr>
            </w:pPr>
            <w:r w:rsidRPr="00206065">
              <w:rPr>
                <w:rFonts w:eastAsia="Arial"/>
                <w:color w:val="000000"/>
                <w:lang w:val="en-GB" w:eastAsia="ar-SA" w:bidi="lt-LT"/>
              </w:rPr>
              <w:t xml:space="preserve">Sigitas Dzekunskas     </w:t>
            </w:r>
          </w:p>
        </w:tc>
        <w:tc>
          <w:tcPr>
            <w:tcW w:w="916" w:type="pct"/>
            <w:shd w:val="clear" w:color="auto" w:fill="auto"/>
          </w:tcPr>
          <w:p w14:paraId="02851997" w14:textId="77777777" w:rsidR="00BB0FDA" w:rsidRPr="00206065" w:rsidRDefault="00BB0FDA" w:rsidP="00BB0FDA">
            <w:pPr>
              <w:widowControl w:val="0"/>
              <w:suppressAutoHyphens/>
              <w:ind w:right="870"/>
              <w:jc w:val="both"/>
              <w:rPr>
                <w:rFonts w:eastAsia="Arial Unicode MS"/>
                <w:b/>
                <w:color w:val="000000"/>
                <w:lang w:eastAsia="en-US" w:bidi="lt-LT"/>
              </w:rPr>
            </w:pPr>
          </w:p>
        </w:tc>
        <w:tc>
          <w:tcPr>
            <w:tcW w:w="2000" w:type="pct"/>
            <w:shd w:val="clear" w:color="auto" w:fill="auto"/>
          </w:tcPr>
          <w:p w14:paraId="4733588C" w14:textId="77777777" w:rsidR="00BB0FDA" w:rsidRPr="00206065" w:rsidRDefault="00BB0FDA" w:rsidP="00BB0FDA">
            <w:pPr>
              <w:widowControl w:val="0"/>
              <w:suppressAutoHyphens/>
              <w:jc w:val="both"/>
              <w:rPr>
                <w:rFonts w:eastAsia="Arial Unicode MS"/>
                <w:b/>
                <w:color w:val="000000"/>
                <w:lang w:eastAsia="en-US" w:bidi="lt-LT"/>
              </w:rPr>
            </w:pPr>
            <w:r w:rsidRPr="00206065">
              <w:rPr>
                <w:rFonts w:eastAsia="Arial Unicode MS"/>
                <w:b/>
                <w:color w:val="000000"/>
                <w:lang w:eastAsia="en-US" w:bidi="lt-LT"/>
              </w:rPr>
              <w:t>PARDAVĖJAS</w:t>
            </w:r>
          </w:p>
          <w:p w14:paraId="17D8D086" w14:textId="77777777" w:rsidR="00BB0FDA" w:rsidRPr="00206065" w:rsidRDefault="00BB0FDA" w:rsidP="00BB0FDA">
            <w:pPr>
              <w:widowControl w:val="0"/>
              <w:suppressAutoHyphens/>
              <w:jc w:val="both"/>
              <w:rPr>
                <w:rFonts w:eastAsia="Arial Unicode MS"/>
                <w:b/>
                <w:color w:val="000000"/>
                <w:lang w:eastAsia="en-US" w:bidi="lt-LT"/>
              </w:rPr>
            </w:pPr>
          </w:p>
          <w:p w14:paraId="662266A7" w14:textId="77777777" w:rsidR="00E33F17" w:rsidRDefault="00235C0F" w:rsidP="00BB0FDA">
            <w:pPr>
              <w:widowControl w:val="0"/>
              <w:suppressAutoHyphens/>
              <w:ind w:left="-513" w:firstLine="513"/>
              <w:jc w:val="both"/>
              <w:rPr>
                <w:b/>
              </w:rPr>
            </w:pPr>
            <w:r w:rsidRPr="00235C0F">
              <w:rPr>
                <w:b/>
              </w:rPr>
              <w:t xml:space="preserve">OÜ SPORRONG EESTI ir </w:t>
            </w:r>
          </w:p>
          <w:p w14:paraId="5233FD23" w14:textId="33A5CD52" w:rsidR="00BB0FDA" w:rsidRPr="00206065" w:rsidRDefault="00235C0F" w:rsidP="00BB0FDA">
            <w:pPr>
              <w:widowControl w:val="0"/>
              <w:suppressAutoHyphens/>
              <w:ind w:left="-513" w:firstLine="513"/>
              <w:jc w:val="both"/>
              <w:rPr>
                <w:rFonts w:eastAsia="Arial"/>
                <w:color w:val="000000"/>
                <w:lang w:eastAsia="ar-SA" w:bidi="lt-LT"/>
              </w:rPr>
            </w:pPr>
            <w:r w:rsidRPr="00235C0F">
              <w:rPr>
                <w:b/>
              </w:rPr>
              <w:t>UA</w:t>
            </w:r>
            <w:r w:rsidR="00E33F17">
              <w:rPr>
                <w:b/>
              </w:rPr>
              <w:t>B „Ūlos juvelyrų studija“</w:t>
            </w:r>
          </w:p>
          <w:p w14:paraId="2F8309F2" w14:textId="77777777" w:rsidR="00BB0FDA" w:rsidRDefault="00BB0FDA" w:rsidP="00BB0FDA">
            <w:pPr>
              <w:widowControl w:val="0"/>
              <w:suppressAutoHyphens/>
              <w:jc w:val="both"/>
              <w:rPr>
                <w:rFonts w:eastAsia="Arial"/>
                <w:color w:val="000000"/>
                <w:lang w:eastAsia="ar-SA" w:bidi="lt-LT"/>
              </w:rPr>
            </w:pPr>
          </w:p>
          <w:p w14:paraId="512167C6" w14:textId="77777777" w:rsidR="00BB0FDA" w:rsidRPr="00206065" w:rsidRDefault="00BB0FDA" w:rsidP="00BB0FDA">
            <w:pPr>
              <w:widowControl w:val="0"/>
              <w:suppressAutoHyphens/>
              <w:jc w:val="both"/>
              <w:rPr>
                <w:rFonts w:eastAsia="Arial"/>
                <w:color w:val="000000"/>
                <w:lang w:eastAsia="ar-SA" w:bidi="lt-LT"/>
              </w:rPr>
            </w:pPr>
            <w:r w:rsidRPr="00206065">
              <w:rPr>
                <w:rFonts w:eastAsia="Arial"/>
                <w:color w:val="000000"/>
                <w:lang w:eastAsia="ar-SA" w:bidi="lt-LT"/>
              </w:rPr>
              <w:t>______________________</w:t>
            </w:r>
          </w:p>
          <w:p w14:paraId="0996EF20" w14:textId="77777777" w:rsidR="00BB0FDA" w:rsidRDefault="00BB0FDA" w:rsidP="00BB0FDA">
            <w:pPr>
              <w:widowControl w:val="0"/>
              <w:suppressAutoHyphens/>
              <w:jc w:val="both"/>
              <w:rPr>
                <w:rFonts w:eastAsia="Arial Unicode MS"/>
                <w:color w:val="000000"/>
                <w:lang w:eastAsia="en-US" w:bidi="lt-LT"/>
              </w:rPr>
            </w:pPr>
            <w:r>
              <w:rPr>
                <w:rFonts w:eastAsia="Arial Unicode MS"/>
                <w:color w:val="000000"/>
                <w:lang w:eastAsia="en-US" w:bidi="lt-LT"/>
              </w:rPr>
              <w:t>pardavimų vadovas</w:t>
            </w:r>
          </w:p>
          <w:p w14:paraId="7E604A14" w14:textId="77777777" w:rsidR="00BB0FDA" w:rsidRDefault="00BB0FDA" w:rsidP="00BB0FDA">
            <w:pPr>
              <w:widowControl w:val="0"/>
              <w:suppressAutoHyphens/>
              <w:jc w:val="both"/>
              <w:rPr>
                <w:rFonts w:eastAsia="Arial Unicode MS"/>
                <w:color w:val="000000"/>
                <w:lang w:eastAsia="en-US" w:bidi="lt-LT"/>
              </w:rPr>
            </w:pPr>
          </w:p>
          <w:p w14:paraId="4F06EEF4" w14:textId="0B515BB2" w:rsidR="00BB0FDA" w:rsidRPr="00206065" w:rsidRDefault="00BB0FDA" w:rsidP="00BB0FDA">
            <w:pPr>
              <w:widowControl w:val="0"/>
              <w:suppressAutoHyphens/>
              <w:jc w:val="both"/>
              <w:rPr>
                <w:rFonts w:eastAsia="Arial Unicode MS"/>
                <w:color w:val="000000"/>
                <w:highlight w:val="yellow"/>
                <w:lang w:eastAsia="en-US" w:bidi="lt-LT"/>
              </w:rPr>
            </w:pPr>
          </w:p>
        </w:tc>
      </w:tr>
    </w:tbl>
    <w:p w14:paraId="10BE8049" w14:textId="77777777" w:rsidR="00B57C6C" w:rsidRPr="00BB0FDA" w:rsidRDefault="00010D70" w:rsidP="00BB0FDA">
      <w:r>
        <w:br w:type="page"/>
      </w:r>
    </w:p>
    <w:p w14:paraId="774C3154" w14:textId="77777777" w:rsidR="00593E93" w:rsidRPr="00010D70" w:rsidRDefault="004B4FFE" w:rsidP="003A5A25">
      <w:pPr>
        <w:jc w:val="center"/>
        <w:rPr>
          <w:b/>
        </w:rPr>
      </w:pPr>
      <w:r w:rsidRPr="00010D70">
        <w:rPr>
          <w:b/>
        </w:rPr>
        <w:lastRenderedPageBreak/>
        <w:t>PREKIŲ PIRKIMO-PARDAVIMO SUTARTIS</w:t>
      </w:r>
      <w:r w:rsidR="00AB15FE">
        <w:rPr>
          <w:b/>
        </w:rPr>
        <w:t xml:space="preserve"> </w:t>
      </w:r>
    </w:p>
    <w:p w14:paraId="410D684A" w14:textId="77777777" w:rsidR="004B4FFE" w:rsidRPr="00010D70" w:rsidRDefault="004B4FFE" w:rsidP="00EB04AE">
      <w:pPr>
        <w:jc w:val="center"/>
        <w:rPr>
          <w:b/>
        </w:rPr>
      </w:pPr>
    </w:p>
    <w:p w14:paraId="3A66B3A1" w14:textId="77777777" w:rsidR="00EB04AE" w:rsidRDefault="005C316B" w:rsidP="00EB04AE">
      <w:pPr>
        <w:jc w:val="center"/>
        <w:rPr>
          <w:b/>
        </w:rPr>
      </w:pPr>
      <w:r>
        <w:rPr>
          <w:b/>
        </w:rPr>
        <w:t xml:space="preserve">II. </w:t>
      </w:r>
      <w:r w:rsidR="00EB04AE" w:rsidRPr="00010D70">
        <w:rPr>
          <w:b/>
        </w:rPr>
        <w:t>BENDROJI DALIS</w:t>
      </w:r>
    </w:p>
    <w:p w14:paraId="1105EBAD" w14:textId="77777777" w:rsidR="003B1F71" w:rsidRDefault="003B1F71" w:rsidP="00EB04AE">
      <w:pPr>
        <w:jc w:val="center"/>
        <w:rPr>
          <w:b/>
        </w:rPr>
      </w:pPr>
    </w:p>
    <w:p w14:paraId="2B2F0A90" w14:textId="77777777" w:rsidR="003B1F71" w:rsidRDefault="003B1F71" w:rsidP="003B1F71">
      <w:pPr>
        <w:rPr>
          <w:sz w:val="22"/>
          <w:szCs w:val="22"/>
        </w:rPr>
      </w:pPr>
    </w:p>
    <w:p w14:paraId="46B5116D" w14:textId="77777777" w:rsidR="0055239D" w:rsidRPr="00010D70" w:rsidRDefault="0055239D" w:rsidP="0055239D">
      <w:pPr>
        <w:jc w:val="both"/>
        <w:rPr>
          <w:b/>
        </w:rPr>
      </w:pPr>
      <w:r w:rsidRPr="00010D70">
        <w:rPr>
          <w:b/>
        </w:rPr>
        <w:t>1.</w:t>
      </w:r>
      <w:r w:rsidRPr="00010D70">
        <w:t xml:space="preserve"> </w:t>
      </w:r>
      <w:r w:rsidRPr="00010D70">
        <w:rPr>
          <w:b/>
        </w:rPr>
        <w:t>Sąvokos</w:t>
      </w:r>
    </w:p>
    <w:p w14:paraId="2B6A57A5" w14:textId="77777777" w:rsidR="00EB04AE" w:rsidRPr="00010D70" w:rsidRDefault="0055239D" w:rsidP="00EB04AE">
      <w:pPr>
        <w:jc w:val="both"/>
      </w:pPr>
      <w:r w:rsidRPr="00010D70">
        <w:t xml:space="preserve">1.1. Šioje </w:t>
      </w:r>
      <w:r w:rsidR="004F0D9E">
        <w:t>S</w:t>
      </w:r>
      <w:r w:rsidRPr="00010D70">
        <w:t>utartyje naudojamos pagrindinės sąvokos:</w:t>
      </w:r>
    </w:p>
    <w:p w14:paraId="29B10EA3"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14:paraId="088B57D0" w14:textId="77777777"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14:paraId="64B47CCF" w14:textId="77777777"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14:paraId="7B24FE84" w14:textId="77777777"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14:paraId="55450EAE" w14:textId="77777777"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14:paraId="55510572" w14:textId="77777777"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14:paraId="204AD742" w14:textId="77777777"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14:paraId="7230C794"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14:paraId="54657957"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w:t>
      </w:r>
      <w:r w:rsidR="004826A0" w:rsidRPr="00892287">
        <w:t>nustatyta kaina</w:t>
      </w:r>
      <w:r w:rsidR="00504F6B" w:rsidRPr="00892287">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14:paraId="53ECF31E"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14:paraId="4437B10C" w14:textId="77777777"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14:paraId="278FE976" w14:textId="77777777"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14:paraId="56FC0E03"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1EB26122"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3C45193D"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41E6025E"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2FF59562"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7B70A425" w14:textId="77777777" w:rsidR="000B3CAF" w:rsidRPr="00010D70" w:rsidRDefault="00447AAA" w:rsidP="009C1A1C">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2B560D96" w14:textId="77777777" w:rsidR="00EB04AE" w:rsidRPr="00010D70" w:rsidRDefault="00EB04AE" w:rsidP="00EB04AE">
      <w:pPr>
        <w:jc w:val="both"/>
        <w:rPr>
          <w:b/>
        </w:rPr>
      </w:pPr>
      <w:r w:rsidRPr="00010D70">
        <w:rPr>
          <w:b/>
        </w:rPr>
        <w:lastRenderedPageBreak/>
        <w:t>2. Sutarties kaina/</w:t>
      </w:r>
      <w:r w:rsidR="0050107A" w:rsidRPr="00010D70">
        <w:rPr>
          <w:b/>
        </w:rPr>
        <w:t xml:space="preserve">prekių </w:t>
      </w:r>
      <w:r w:rsidRPr="00010D70">
        <w:rPr>
          <w:b/>
        </w:rPr>
        <w:t>įkainiai</w:t>
      </w:r>
      <w:r w:rsidR="0050107A" w:rsidRPr="00010D70">
        <w:rPr>
          <w:b/>
        </w:rPr>
        <w:t>/kainodaros taisyklės</w:t>
      </w:r>
    </w:p>
    <w:p w14:paraId="1F540DEF" w14:textId="77777777"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14:paraId="76A74683" w14:textId="77777777"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0A4914BE"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30AD67F5"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14:paraId="0779FEEB"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6E3539D6"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0AF8B6FD"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0290BF49"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06070FEA"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57FA46EC"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377F9E12" w14:textId="77777777"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14:paraId="35DFFAFF" w14:textId="77777777"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6CACD609" w14:textId="77777777"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3D9C0976" w14:textId="77777777"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2623C6D1" w14:textId="77777777"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14:paraId="458EF653" w14:textId="77777777"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188CA30D" w14:textId="77777777"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14:paraId="6657D57B" w14:textId="77777777"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14:paraId="52A5AC85" w14:textId="77777777"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14:paraId="38D8462E" w14:textId="77777777"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14:paraId="5C0920B6" w14:textId="77777777"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14:paraId="6538C353" w14:textId="77777777"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14:paraId="4DAA45DB" w14:textId="77777777"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14:paraId="1846C252" w14:textId="77777777"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6D997C82" w14:textId="77777777" w:rsidR="007504BC" w:rsidRDefault="00DD143A" w:rsidP="00DD143A">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344A7453" w14:textId="77777777" w:rsidR="00B3200A" w:rsidRPr="00010D70" w:rsidRDefault="00B3200A" w:rsidP="00EB04AE">
      <w:pPr>
        <w:jc w:val="both"/>
      </w:pPr>
    </w:p>
    <w:p w14:paraId="275D599D"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43439E1F"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1415ED0C" w14:textId="77777777"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14:paraId="28339A69"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14:paraId="5EB778B2"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14:paraId="3F9E3A9A"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343AFC0A"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55E3DA28"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21351829"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0CEC9864" w14:textId="77777777"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w:t>
      </w:r>
      <w:r w:rsidR="00737830" w:rsidRPr="00010D70">
        <w:lastRenderedPageBreak/>
        <w:t xml:space="preserve">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14:paraId="6B9EF058" w14:textId="77777777" w:rsidR="006F675A" w:rsidRPr="003C4AD6"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4B774CC4" w14:textId="77777777" w:rsidR="00EB04AE" w:rsidRPr="00010D70" w:rsidRDefault="00EB04AE" w:rsidP="00EB04AE">
      <w:pPr>
        <w:jc w:val="both"/>
      </w:pPr>
    </w:p>
    <w:p w14:paraId="3AC8CB27" w14:textId="77777777" w:rsidR="00EB04AE" w:rsidRPr="00010D70" w:rsidRDefault="00EB04AE" w:rsidP="00EB04AE">
      <w:pPr>
        <w:jc w:val="both"/>
        <w:rPr>
          <w:b/>
        </w:rPr>
      </w:pPr>
      <w:r w:rsidRPr="00010D70">
        <w:rPr>
          <w:b/>
        </w:rPr>
        <w:t>4. Mokėjimo terminai ir sąlygos</w:t>
      </w:r>
    </w:p>
    <w:p w14:paraId="442669BD" w14:textId="77777777"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14:paraId="10B357F2"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14:paraId="4B41A20D"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14:paraId="2FF29CF9" w14:textId="77777777"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14:paraId="097CC48B"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 xml:space="preserve">garantiją ar </w:t>
      </w:r>
      <w:r w:rsidR="000155AF" w:rsidRPr="00395267">
        <w:rPr>
          <w:lang w:val="lt-LT"/>
        </w:rPr>
        <w:lastRenderedPageBreak/>
        <w:t>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128CB1EF"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3A92E276" w14:textId="77777777"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30068B08" w14:textId="77777777"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0610744C" w14:textId="77777777" w:rsidR="004211EA" w:rsidRPr="00C33D3A" w:rsidRDefault="004211EA" w:rsidP="00C33D3A">
      <w:pPr>
        <w:jc w:val="both"/>
      </w:pPr>
    </w:p>
    <w:p w14:paraId="404A388A" w14:textId="77777777" w:rsidR="00EB04AE" w:rsidRPr="00010D70" w:rsidRDefault="00EB04AE" w:rsidP="00EB04AE">
      <w:pPr>
        <w:jc w:val="both"/>
        <w:rPr>
          <w:b/>
        </w:rPr>
      </w:pPr>
      <w:r w:rsidRPr="00010D70">
        <w:rPr>
          <w:b/>
        </w:rPr>
        <w:t>5. Prekių kokybė</w:t>
      </w:r>
    </w:p>
    <w:p w14:paraId="7A67D10F"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7BCC1EDD"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14:paraId="60C8EC36"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14:paraId="171AAB10"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14:paraId="75213750"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1653E23D"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p>
    <w:p w14:paraId="2B1B0079"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45EDF248" w14:textId="77777777" w:rsidR="00EB04AE" w:rsidRPr="00010D70" w:rsidRDefault="00EB04AE" w:rsidP="00EB04AE">
      <w:pPr>
        <w:jc w:val="both"/>
        <w:rPr>
          <w:b/>
        </w:rPr>
      </w:pPr>
    </w:p>
    <w:p w14:paraId="54748334" w14:textId="77777777" w:rsidR="00EB04AE" w:rsidRPr="00010D70" w:rsidRDefault="00A57CA3" w:rsidP="00EB04AE">
      <w:pPr>
        <w:jc w:val="both"/>
        <w:rPr>
          <w:b/>
        </w:rPr>
      </w:pPr>
      <w:r w:rsidRPr="00010D70">
        <w:rPr>
          <w:b/>
        </w:rPr>
        <w:lastRenderedPageBreak/>
        <w:t xml:space="preserve">6. </w:t>
      </w:r>
      <w:r w:rsidR="008111C5" w:rsidRPr="00010D70">
        <w:rPr>
          <w:b/>
        </w:rPr>
        <w:t xml:space="preserve">Prekės </w:t>
      </w:r>
      <w:r w:rsidR="00693E67" w:rsidRPr="00010D70">
        <w:rPr>
          <w:b/>
        </w:rPr>
        <w:t>k</w:t>
      </w:r>
      <w:r w:rsidR="00B055D4" w:rsidRPr="00010D70">
        <w:rPr>
          <w:b/>
        </w:rPr>
        <w:t>okybės garantija</w:t>
      </w:r>
    </w:p>
    <w:p w14:paraId="14DA53EF"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16D2BCD6"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2DA31C62"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14:paraId="6584AFBE" w14:textId="77777777"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14:paraId="2E570B8E"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5C62FFE8"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14:paraId="5D003F65" w14:textId="77777777"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6D8CF6E8"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14:paraId="53E90DBA" w14:textId="77777777" w:rsidR="001A1F7A" w:rsidRPr="00010D70" w:rsidRDefault="001A1F7A" w:rsidP="00EB04AE">
      <w:pPr>
        <w:jc w:val="both"/>
      </w:pPr>
    </w:p>
    <w:p w14:paraId="2EC084B1"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2AAF5843"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010D70">
        <w:lastRenderedPageBreak/>
        <w:t>neįvykdymą, dalinį neįvykdymą arba netinkamą įvykdymą, o įsipareigojimų vykdymo terminas pratęsiamas.</w:t>
      </w:r>
    </w:p>
    <w:p w14:paraId="23D9D3A4" w14:textId="77777777"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7698F11F" w14:textId="77777777" w:rsidR="008F29B4" w:rsidRPr="00010D70" w:rsidRDefault="008F29B4" w:rsidP="00EB04AE">
      <w:pPr>
        <w:jc w:val="both"/>
      </w:pPr>
    </w:p>
    <w:p w14:paraId="64673B74"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6760C175"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05EA8A10"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11BF3226" w14:textId="77777777" w:rsidR="00EB04AE" w:rsidRPr="00010D70" w:rsidRDefault="00EB04AE" w:rsidP="00EB04AE">
      <w:pPr>
        <w:jc w:val="both"/>
      </w:pPr>
    </w:p>
    <w:p w14:paraId="6EF3A754" w14:textId="77777777" w:rsidR="00EB04AE" w:rsidRPr="00010D70" w:rsidRDefault="00EB04AE" w:rsidP="00EB04AE">
      <w:pPr>
        <w:jc w:val="both"/>
        <w:rPr>
          <w:b/>
        </w:rPr>
      </w:pPr>
      <w:r w:rsidRPr="00010D70">
        <w:rPr>
          <w:b/>
        </w:rPr>
        <w:t>9. Sutarties nutraukimas</w:t>
      </w:r>
    </w:p>
    <w:p w14:paraId="14674551" w14:textId="77777777" w:rsidR="00EB04AE" w:rsidRPr="00010D70" w:rsidRDefault="00EB04AE" w:rsidP="00EB04AE">
      <w:pPr>
        <w:jc w:val="both"/>
      </w:pPr>
      <w:r w:rsidRPr="00010D70">
        <w:t>9.1. Ši Sutartis gali būti nutraukta:</w:t>
      </w:r>
    </w:p>
    <w:p w14:paraId="58DAFB62"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63EAB8F7" w14:textId="77777777"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14:paraId="3EC6B7D1"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6886AFD4"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12144F3B"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30303D89"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45B585F7"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5FE11C5C"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5A09E823"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491B6413"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3ADB132E"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14:paraId="017BA33B" w14:textId="77777777"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14:paraId="7F31C7E6" w14:textId="77777777" w:rsidR="000324B7" w:rsidRPr="00554E63" w:rsidRDefault="000324B7" w:rsidP="000324B7">
      <w:pPr>
        <w:jc w:val="both"/>
      </w:pPr>
      <w:r w:rsidRPr="00554E63">
        <w:lastRenderedPageBreak/>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14:paraId="33CECEF9" w14:textId="77777777"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14:paraId="1FE6F49C" w14:textId="77777777"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7A42C974"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14:paraId="6F375D9A" w14:textId="77777777" w:rsidR="00706E7E" w:rsidRPr="00010D70" w:rsidRDefault="00706E7E" w:rsidP="00EB04AE">
      <w:pPr>
        <w:jc w:val="both"/>
      </w:pPr>
    </w:p>
    <w:p w14:paraId="3A0EBD87" w14:textId="77777777" w:rsidR="00EB04AE" w:rsidRPr="00010D70" w:rsidRDefault="00EB04AE" w:rsidP="00EB04AE">
      <w:pPr>
        <w:rPr>
          <w:b/>
        </w:rPr>
      </w:pPr>
      <w:r w:rsidRPr="00010D70">
        <w:rPr>
          <w:b/>
        </w:rPr>
        <w:t>10. Ginčų sprendimo tvarka</w:t>
      </w:r>
    </w:p>
    <w:p w14:paraId="6289C320" w14:textId="77777777" w:rsidR="00EB04AE" w:rsidRPr="00010D70" w:rsidRDefault="00EB04AE" w:rsidP="00EB04AE">
      <w:r w:rsidRPr="00010D70">
        <w:t>10.1. Sutartis sudaryta ir turi būti aiškinama pagal Lietuvos Respublikos teisę.</w:t>
      </w:r>
    </w:p>
    <w:p w14:paraId="5A0F8FB8"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14:paraId="220971AB" w14:textId="77777777" w:rsidR="00DB2A11" w:rsidRPr="00010D70" w:rsidRDefault="00DB2A11" w:rsidP="00EB04AE">
      <w:pPr>
        <w:jc w:val="both"/>
      </w:pPr>
    </w:p>
    <w:p w14:paraId="5F5A6F35" w14:textId="77777777" w:rsidR="00EB04AE" w:rsidRPr="00010D70" w:rsidRDefault="00EB04AE" w:rsidP="00EB04AE">
      <w:pPr>
        <w:jc w:val="both"/>
        <w:rPr>
          <w:b/>
        </w:rPr>
      </w:pPr>
      <w:r w:rsidRPr="00010D70">
        <w:rPr>
          <w:b/>
        </w:rPr>
        <w:t>11. Atsakomybė</w:t>
      </w:r>
    </w:p>
    <w:p w14:paraId="2B692609"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7BE502AE"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1BA4BE21"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1A1EC7A4"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D46F95">
        <w:t>,</w:t>
      </w:r>
      <w:r w:rsidR="000F6744" w:rsidRPr="00010D70">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ne mažiau kaip</w:t>
      </w:r>
      <w:r w:rsidR="005739F8" w:rsidRPr="00010D70">
        <w:rPr>
          <w:b/>
        </w:rPr>
        <w:t xml:space="preserve"> </w:t>
      </w:r>
      <w:r w:rsidR="00C86E65" w:rsidRPr="00063FD4">
        <w:t>5</w:t>
      </w:r>
      <w:r w:rsidR="00C86E65">
        <w:rPr>
          <w:b/>
        </w:rPr>
        <w:t>-</w:t>
      </w:r>
      <w:r w:rsidR="00EB04AE" w:rsidRPr="00010D70">
        <w:t>7</w:t>
      </w:r>
      <w:r w:rsidR="00E6025E" w:rsidRPr="00010D70">
        <w:t xml:space="preserve">  </w:t>
      </w:r>
      <w:r w:rsidR="00EB04AE" w:rsidRPr="00010D70">
        <w:t xml:space="preserve">% sutarties kainos </w:t>
      </w:r>
      <w:r w:rsidR="0062140A" w:rsidRPr="0062140A">
        <w:t>be PVM</w:t>
      </w:r>
      <w:r w:rsidR="0062140A" w:rsidRPr="00010D70">
        <w:t xml:space="preserve"> </w:t>
      </w:r>
      <w:r w:rsidR="00E6025E" w:rsidRPr="00010D70">
        <w:t>(</w:t>
      </w:r>
      <w:r w:rsidR="0062140A">
        <w:t>arba bendros pasiūlymo kainos</w:t>
      </w:r>
      <w:r w:rsidR="00C86E65">
        <w:t xml:space="preserve"> be PVM, arba bendros užsakymo kainos be PVM</w:t>
      </w:r>
      <w:r w:rsidR="0062140A">
        <w:t xml:space="preserve">) </w:t>
      </w:r>
      <w:r w:rsidR="0079744B" w:rsidRPr="00010D70">
        <w:t xml:space="preserve">(konkretus procentinis dydis </w:t>
      </w:r>
      <w:r w:rsidR="00AE446D" w:rsidRPr="00010D70">
        <w:t xml:space="preserve">arba </w:t>
      </w:r>
      <w:r w:rsidR="0079744B" w:rsidRPr="00010D70">
        <w:t xml:space="preserve">konkreti fiksuota suma </w:t>
      </w:r>
      <w:r w:rsidR="0079744B" w:rsidRPr="00010D70">
        <w:lastRenderedPageBreak/>
        <w:t xml:space="preserve">nurodoma </w:t>
      </w:r>
      <w:r w:rsidR="00F50F65" w:rsidRPr="00010D70">
        <w:t>Sutarties specialioje dalyje</w:t>
      </w:r>
      <w:r w:rsidR="0079744B" w:rsidRPr="00010D70">
        <w:t>)</w:t>
      </w:r>
      <w:r w:rsidR="00F50F65" w:rsidRPr="00010D70">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203FCA">
        <w:rPr>
          <w:b/>
          <w:bCs/>
        </w:rPr>
        <w:t>Mokėtojo</w:t>
      </w:r>
      <w:r w:rsidR="00EB04AE" w:rsidRPr="00010D70">
        <w:t xml:space="preserve"> patirtus nuostolius, </w:t>
      </w:r>
      <w:r w:rsidR="00EB04AE" w:rsidRPr="00010D70">
        <w:rPr>
          <w:b/>
        </w:rPr>
        <w:t>Pardavėjui</w:t>
      </w:r>
      <w:r w:rsidR="00EB04AE" w:rsidRPr="00010D70">
        <w:t xml:space="preserve"> nevykdant ar netinkamai vykdant sutartį.</w:t>
      </w:r>
      <w:r w:rsidR="00382662">
        <w:t xml:space="preserve"> </w:t>
      </w:r>
      <w:r w:rsidR="00382662" w:rsidRPr="00E21B83">
        <w:t xml:space="preserve">Šalių iš anksto sutartus minimalius nuostolius </w:t>
      </w:r>
      <w:r w:rsidR="00382662" w:rsidRPr="00E21B83">
        <w:rPr>
          <w:b/>
        </w:rPr>
        <w:t>Pardavėjas</w:t>
      </w:r>
      <w:r w:rsidR="00382662" w:rsidRPr="00E21B83">
        <w:t xml:space="preserve"> įsipareigoja sumokėti ne vėliau kaip per sąskaitoje faktūroje ar pareikalavime nurodytą terminą.</w:t>
      </w:r>
    </w:p>
    <w:p w14:paraId="29DD9547"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w:t>
      </w:r>
      <w:r w:rsidR="00203FCA">
        <w:rPr>
          <w:b/>
          <w:bCs/>
        </w:rPr>
        <w:t>Mokėtojui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203FCA" w:rsidRPr="00203FCA">
        <w:rPr>
          <w:b/>
        </w:rPr>
        <w:t>Mokėtojo</w:t>
      </w:r>
      <w:r w:rsidR="00341EA0">
        <w:t xml:space="preserve"> </w:t>
      </w:r>
      <w:r w:rsidR="00E6025E" w:rsidRPr="00010D70">
        <w:t xml:space="preserve">patirtus nuostolius, </w:t>
      </w:r>
      <w:r w:rsidR="00E6025E" w:rsidRPr="00010D70">
        <w:rPr>
          <w:b/>
        </w:rPr>
        <w:t>Pardavėjui</w:t>
      </w:r>
      <w:r w:rsidR="00E6025E" w:rsidRPr="00010D70">
        <w:t xml:space="preserve"> nevykdant ar netinkamai vykdant </w:t>
      </w:r>
      <w:r w:rsidR="005D6A93">
        <w:t>S</w:t>
      </w:r>
      <w:r w:rsidR="00E6025E" w:rsidRPr="00010D70">
        <w:t xml:space="preserve">utartį. </w:t>
      </w:r>
    </w:p>
    <w:p w14:paraId="34B48F33"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0DE6592B" w14:textId="77777777"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14:paraId="58F77E97" w14:textId="77777777" w:rsidR="000B10FF" w:rsidRPr="000B10FF" w:rsidRDefault="000B10FF" w:rsidP="00EB04AE">
      <w:pPr>
        <w:jc w:val="both"/>
      </w:pPr>
    </w:p>
    <w:p w14:paraId="29C05AFF" w14:textId="77777777" w:rsidR="00EB04AE" w:rsidRPr="00010D70" w:rsidRDefault="00EB04AE" w:rsidP="00EB04AE">
      <w:pPr>
        <w:jc w:val="both"/>
        <w:rPr>
          <w:b/>
        </w:rPr>
      </w:pPr>
      <w:r w:rsidRPr="00010D70">
        <w:rPr>
          <w:b/>
        </w:rPr>
        <w:t>12. Sutarties galiojimas</w:t>
      </w:r>
    </w:p>
    <w:p w14:paraId="536FB0F1"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14:paraId="7EE3F240"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09D18640"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 xml:space="preserve">per </w:t>
      </w:r>
      <w:r w:rsidR="005436AD">
        <w:t>7</w:t>
      </w:r>
      <w:r w:rsidR="00115837" w:rsidRPr="00010D70">
        <w:t xml:space="preserve"> (</w:t>
      </w:r>
      <w:r w:rsidR="005436AD">
        <w:t>septynias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8D1FF3">
        <w:t xml:space="preserve">Jeigu Pardavėjas vėluoja per šiame punkte nurodytą terminą pateikti Sutarties įvykdymo užtikrinimo banko garantiją arba draudimo bendrovės laidavimo raštą, prekių pristatymo terminas pradedamas skaičiuoti praėjus šiame punkte nurodytam 7 (septynių) darbo dienų terminui (nebent Sutarties specialiojoje dalyje nurodyta kitaip).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4618089C" w14:textId="77777777"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lastRenderedPageBreak/>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230F2DD4"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185DD9BC" w14:textId="77777777"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14:paraId="6376D238" w14:textId="77777777"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14:paraId="606B8EC6" w14:textId="77777777"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14:paraId="1951395E" w14:textId="77777777"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14:paraId="5C129327" w14:textId="77777777"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14:paraId="4FA42E5C" w14:textId="77777777" w:rsidR="000134F5" w:rsidRPr="00010D70" w:rsidRDefault="000134F5" w:rsidP="00EB04AE">
      <w:pPr>
        <w:jc w:val="both"/>
        <w:rPr>
          <w:b/>
        </w:rPr>
      </w:pPr>
    </w:p>
    <w:p w14:paraId="68936E8A" w14:textId="77777777" w:rsidR="00560D10" w:rsidRPr="00010D70" w:rsidRDefault="00560D10" w:rsidP="00560D10">
      <w:pPr>
        <w:pStyle w:val="BodyText"/>
        <w:spacing w:after="0"/>
        <w:ind w:right="125"/>
        <w:jc w:val="both"/>
        <w:rPr>
          <w:b/>
          <w:bCs/>
        </w:rPr>
      </w:pPr>
      <w:r w:rsidRPr="00010D70">
        <w:rPr>
          <w:b/>
          <w:bCs/>
        </w:rPr>
        <w:t>13. Susirašinėjimas</w:t>
      </w:r>
    </w:p>
    <w:p w14:paraId="7B048C48" w14:textId="77777777"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886926D" w14:textId="77777777"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DAC4B91" w14:textId="77777777" w:rsidR="00560D10" w:rsidRPr="00010D70" w:rsidRDefault="00560D10" w:rsidP="00EB04AE">
      <w:pPr>
        <w:jc w:val="both"/>
        <w:rPr>
          <w:b/>
        </w:rPr>
      </w:pPr>
    </w:p>
    <w:p w14:paraId="35DBF023" w14:textId="77777777"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14:paraId="51984F39"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5B2415BF" w14:textId="77777777"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14:paraId="12632AA3" w14:textId="77777777"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14:paraId="0167786D" w14:textId="77777777" w:rsidR="000C45FF" w:rsidRDefault="000C45FF" w:rsidP="000C45FF">
      <w:pPr>
        <w:jc w:val="both"/>
      </w:pPr>
      <w:r>
        <w:lastRenderedPageBreak/>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14:paraId="79838C77" w14:textId="77777777"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14:paraId="46B0AB24" w14:textId="77777777"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2A2577A" w14:textId="77777777"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14:paraId="29029D2B" w14:textId="77777777"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14:paraId="645436CA" w14:textId="77777777"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14:paraId="0DC6CEC2" w14:textId="77777777" w:rsidR="00852C0F" w:rsidRDefault="000C45FF" w:rsidP="000C45FF">
      <w:pPr>
        <w:jc w:val="both"/>
      </w:pPr>
      <w:r>
        <w:t>14.10. Šalys neatlygina viena kitos patirtų išlaidų ir nuostolių dėl asmens duomenų tvarkymo įsipareigojimų pagal šią Sutartį vykdymo.</w:t>
      </w:r>
    </w:p>
    <w:p w14:paraId="1EF6A71E" w14:textId="77777777"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2B70D9">
        <w:t>S</w:t>
      </w:r>
      <w:r>
        <w:t>utarties vertės</w:t>
      </w:r>
      <w:r w:rsidR="002B70D9">
        <w:t>/pasiūlymo kainos</w:t>
      </w:r>
      <w:r>
        <w:t xml:space="preserve"> be PVM Šalių iš anksto sutartų minimalių nuostolių dydžio sumą ir atlyginti kitus dėl tokio pažeidimo padarytus nuostolius.</w:t>
      </w:r>
    </w:p>
    <w:p w14:paraId="7775FE0A" w14:textId="77777777" w:rsidR="008F29B4" w:rsidRPr="00010D70" w:rsidRDefault="008F29B4" w:rsidP="00560D10">
      <w:pPr>
        <w:jc w:val="both"/>
        <w:rPr>
          <w:b/>
        </w:rPr>
      </w:pPr>
    </w:p>
    <w:p w14:paraId="049FC52A"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005B95BB"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14:paraId="548BE69F"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14:paraId="161B4ABE" w14:textId="77777777"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14:paraId="300F08E1"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45101D">
        <w:t>maksimalios 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14:paraId="4BD47FDF"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14:paraId="323A6993"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xml:space="preserve">. Sutarties Šalys patvirtina, kad sudarydamos Sutartį neviršijo ir nepažeidė savo kompetencijos (įstatų, nuostatų, statuto, jokio Sutarties Šalies valdymo organo (savininko, steigėjo ar kito kompetentingo subjekto) nutarimo, sprendimo, įsakymo, jokio privalomo teisės </w:t>
      </w:r>
      <w:r w:rsidR="00560D10" w:rsidRPr="00010D70">
        <w:lastRenderedPageBreak/>
        <w:t>akto (taip pat ir lokalinio, individualaus), sandorio, teismo sprendimo (nutarties, nutarimo) ar kt.).</w:t>
      </w:r>
    </w:p>
    <w:p w14:paraId="05F104E6"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14:paraId="0A558C87"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0EFCC786" w14:textId="77777777"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14:paraId="127F272A"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330E34AD"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43079016" w14:textId="77777777" w:rsidR="003B1F71" w:rsidRDefault="003B1F71" w:rsidP="00646DC6">
      <w:pPr>
        <w:jc w:val="both"/>
      </w:pPr>
    </w:p>
    <w:tbl>
      <w:tblPr>
        <w:tblpPr w:leftFromText="180" w:rightFromText="180" w:vertAnchor="text" w:horzAnchor="margin" w:tblpY="344"/>
        <w:tblW w:w="5000" w:type="pct"/>
        <w:tblLook w:val="04A0" w:firstRow="1" w:lastRow="0" w:firstColumn="1" w:lastColumn="0" w:noHBand="0" w:noVBand="1"/>
      </w:tblPr>
      <w:tblGrid>
        <w:gridCol w:w="3840"/>
        <w:gridCol w:w="1688"/>
        <w:gridCol w:w="3686"/>
      </w:tblGrid>
      <w:tr w:rsidR="00E33F17" w:rsidRPr="00206065" w14:paraId="57BCACB1" w14:textId="77777777" w:rsidTr="001A35CA">
        <w:tc>
          <w:tcPr>
            <w:tcW w:w="2084" w:type="pct"/>
            <w:shd w:val="clear" w:color="auto" w:fill="auto"/>
          </w:tcPr>
          <w:p w14:paraId="2D5F4C84" w14:textId="77777777" w:rsidR="00E33F17" w:rsidRPr="00206065" w:rsidRDefault="00E33F17" w:rsidP="00E33F17">
            <w:pPr>
              <w:widowControl w:val="0"/>
              <w:suppressAutoHyphens/>
              <w:jc w:val="both"/>
              <w:rPr>
                <w:rFonts w:eastAsia="Arial Unicode MS"/>
                <w:b/>
                <w:color w:val="000000"/>
                <w:lang w:eastAsia="en-US" w:bidi="lt-LT"/>
              </w:rPr>
            </w:pPr>
            <w:r w:rsidRPr="00206065">
              <w:rPr>
                <w:rFonts w:eastAsia="Arial Unicode MS"/>
                <w:b/>
                <w:color w:val="000000"/>
                <w:lang w:eastAsia="en-US" w:bidi="lt-LT"/>
              </w:rPr>
              <w:t>PIRKĖJAS</w:t>
            </w:r>
          </w:p>
          <w:p w14:paraId="3C072AC3" w14:textId="77777777" w:rsidR="00E33F17" w:rsidRPr="00206065" w:rsidRDefault="00E33F17" w:rsidP="00E33F17">
            <w:pPr>
              <w:widowControl w:val="0"/>
              <w:suppressAutoHyphens/>
              <w:rPr>
                <w:rFonts w:eastAsia="Arial Unicode MS"/>
                <w:b/>
                <w:color w:val="000000"/>
                <w:lang w:eastAsia="en-US" w:bidi="lt-LT"/>
              </w:rPr>
            </w:pPr>
          </w:p>
          <w:p w14:paraId="7A004743" w14:textId="77777777" w:rsidR="00E33F17" w:rsidRPr="00206065" w:rsidRDefault="00E33F17" w:rsidP="00E33F17">
            <w:pPr>
              <w:widowControl w:val="0"/>
              <w:suppressAutoHyphens/>
              <w:rPr>
                <w:rFonts w:eastAsia="Arial Unicode MS"/>
                <w:b/>
                <w:color w:val="000000"/>
                <w:lang w:eastAsia="en-US" w:bidi="lt-LT"/>
              </w:rPr>
            </w:pPr>
            <w:r w:rsidRPr="00206065">
              <w:rPr>
                <w:rFonts w:eastAsia="Arial Unicode MS"/>
                <w:b/>
                <w:color w:val="000000"/>
                <w:lang w:eastAsia="en-US" w:bidi="lt-LT"/>
              </w:rPr>
              <w:t>Gynybos resursų agentūra</w:t>
            </w:r>
          </w:p>
          <w:p w14:paraId="77BAE007" w14:textId="77777777" w:rsidR="00E33F17" w:rsidRPr="00206065" w:rsidRDefault="00E33F17" w:rsidP="00E33F17">
            <w:pPr>
              <w:widowControl w:val="0"/>
              <w:suppressAutoHyphens/>
              <w:rPr>
                <w:rFonts w:eastAsia="Arial"/>
                <w:b/>
                <w:color w:val="000000"/>
                <w:lang w:eastAsia="ar-SA" w:bidi="lt-LT"/>
              </w:rPr>
            </w:pPr>
            <w:r w:rsidRPr="00206065">
              <w:rPr>
                <w:rFonts w:eastAsia="Arial"/>
                <w:b/>
                <w:color w:val="000000"/>
                <w:lang w:eastAsia="ar-SA" w:bidi="lt-LT"/>
              </w:rPr>
              <w:t>prie Krašto apsaugos ministerijos</w:t>
            </w:r>
          </w:p>
          <w:p w14:paraId="57317523" w14:textId="77777777" w:rsidR="00E33F17" w:rsidRPr="00206065" w:rsidRDefault="00E33F17" w:rsidP="00E33F17">
            <w:pPr>
              <w:widowControl w:val="0"/>
              <w:suppressAutoHyphens/>
              <w:jc w:val="both"/>
              <w:rPr>
                <w:rFonts w:eastAsia="Arial"/>
                <w:b/>
                <w:color w:val="000000"/>
                <w:lang w:eastAsia="ar-SA" w:bidi="lt-LT"/>
              </w:rPr>
            </w:pPr>
          </w:p>
          <w:p w14:paraId="1F679EA7" w14:textId="77777777" w:rsidR="00E33F17" w:rsidRPr="00206065" w:rsidRDefault="00E33F17" w:rsidP="00E33F17">
            <w:pPr>
              <w:widowControl w:val="0"/>
              <w:suppressAutoHyphens/>
              <w:jc w:val="both"/>
              <w:rPr>
                <w:rFonts w:eastAsia="Arial"/>
                <w:color w:val="000000"/>
                <w:lang w:val="en-GB" w:eastAsia="ar-SA" w:bidi="lt-LT"/>
              </w:rPr>
            </w:pPr>
            <w:r w:rsidRPr="00206065">
              <w:rPr>
                <w:rFonts w:eastAsia="Arial"/>
                <w:color w:val="000000"/>
                <w:lang w:val="en-GB" w:eastAsia="ar-SA" w:bidi="lt-LT"/>
              </w:rPr>
              <w:t>________________________</w:t>
            </w:r>
          </w:p>
          <w:p w14:paraId="653E2576" w14:textId="77777777" w:rsidR="00E33F17" w:rsidRPr="00206065" w:rsidRDefault="00E33F17" w:rsidP="00E33F17">
            <w:pPr>
              <w:widowControl w:val="0"/>
              <w:suppressAutoHyphens/>
              <w:jc w:val="both"/>
              <w:rPr>
                <w:rFonts w:eastAsia="Arial"/>
                <w:color w:val="000000"/>
                <w:lang w:eastAsia="ar-SA" w:bidi="lt-LT"/>
              </w:rPr>
            </w:pPr>
            <w:r w:rsidRPr="00206065">
              <w:rPr>
                <w:rFonts w:eastAsia="Arial"/>
                <w:color w:val="000000"/>
                <w:lang w:eastAsia="ar-SA" w:bidi="lt-LT"/>
              </w:rPr>
              <w:t>direktorius</w:t>
            </w:r>
          </w:p>
          <w:p w14:paraId="1C3013EF" w14:textId="77777777" w:rsidR="00E33F17" w:rsidRPr="00206065" w:rsidRDefault="00E33F17" w:rsidP="00E33F17">
            <w:pPr>
              <w:widowControl w:val="0"/>
              <w:suppressAutoHyphens/>
              <w:jc w:val="both"/>
              <w:rPr>
                <w:rFonts w:eastAsia="Arial Unicode MS"/>
                <w:b/>
                <w:color w:val="000000"/>
                <w:lang w:eastAsia="en-US" w:bidi="lt-LT"/>
              </w:rPr>
            </w:pPr>
          </w:p>
          <w:p w14:paraId="7B797929" w14:textId="77777777" w:rsidR="00E33F17" w:rsidRPr="00206065" w:rsidRDefault="00E33F17" w:rsidP="00E33F17">
            <w:pPr>
              <w:widowControl w:val="0"/>
              <w:suppressAutoHyphens/>
              <w:jc w:val="both"/>
              <w:rPr>
                <w:rFonts w:eastAsia="Arial Unicode MS"/>
                <w:b/>
                <w:color w:val="000000"/>
                <w:lang w:eastAsia="en-US" w:bidi="lt-LT"/>
              </w:rPr>
            </w:pPr>
            <w:r w:rsidRPr="00206065">
              <w:rPr>
                <w:rFonts w:eastAsia="Arial"/>
                <w:color w:val="000000"/>
                <w:lang w:val="en-GB" w:eastAsia="ar-SA" w:bidi="lt-LT"/>
              </w:rPr>
              <w:t xml:space="preserve">Sigitas Dzekunskas     </w:t>
            </w:r>
          </w:p>
        </w:tc>
        <w:tc>
          <w:tcPr>
            <w:tcW w:w="916" w:type="pct"/>
            <w:shd w:val="clear" w:color="auto" w:fill="auto"/>
          </w:tcPr>
          <w:p w14:paraId="7E2A02B7" w14:textId="77777777" w:rsidR="00E33F17" w:rsidRPr="00206065" w:rsidRDefault="00E33F17" w:rsidP="00E33F17">
            <w:pPr>
              <w:widowControl w:val="0"/>
              <w:suppressAutoHyphens/>
              <w:ind w:right="870"/>
              <w:jc w:val="both"/>
              <w:rPr>
                <w:rFonts w:eastAsia="Arial Unicode MS"/>
                <w:b/>
                <w:color w:val="000000"/>
                <w:lang w:eastAsia="en-US" w:bidi="lt-LT"/>
              </w:rPr>
            </w:pPr>
          </w:p>
        </w:tc>
        <w:tc>
          <w:tcPr>
            <w:tcW w:w="2000" w:type="pct"/>
            <w:shd w:val="clear" w:color="auto" w:fill="auto"/>
          </w:tcPr>
          <w:p w14:paraId="2CB72B2E" w14:textId="77777777" w:rsidR="00E33F17" w:rsidRPr="00206065" w:rsidRDefault="00E33F17" w:rsidP="00E33F17">
            <w:pPr>
              <w:widowControl w:val="0"/>
              <w:suppressAutoHyphens/>
              <w:jc w:val="both"/>
              <w:rPr>
                <w:rFonts w:eastAsia="Arial Unicode MS"/>
                <w:b/>
                <w:color w:val="000000"/>
                <w:lang w:eastAsia="en-US" w:bidi="lt-LT"/>
              </w:rPr>
            </w:pPr>
            <w:r w:rsidRPr="00206065">
              <w:rPr>
                <w:rFonts w:eastAsia="Arial Unicode MS"/>
                <w:b/>
                <w:color w:val="000000"/>
                <w:lang w:eastAsia="en-US" w:bidi="lt-LT"/>
              </w:rPr>
              <w:t>PARDAVĖJAS</w:t>
            </w:r>
          </w:p>
          <w:p w14:paraId="0A005191" w14:textId="77777777" w:rsidR="00E33F17" w:rsidRPr="00206065" w:rsidRDefault="00E33F17" w:rsidP="00E33F17">
            <w:pPr>
              <w:widowControl w:val="0"/>
              <w:suppressAutoHyphens/>
              <w:jc w:val="both"/>
              <w:rPr>
                <w:rFonts w:eastAsia="Arial Unicode MS"/>
                <w:b/>
                <w:color w:val="000000"/>
                <w:lang w:eastAsia="en-US" w:bidi="lt-LT"/>
              </w:rPr>
            </w:pPr>
          </w:p>
          <w:p w14:paraId="4945D096" w14:textId="77777777" w:rsidR="00E33F17" w:rsidRDefault="00E33F17" w:rsidP="00E33F17">
            <w:pPr>
              <w:widowControl w:val="0"/>
              <w:suppressAutoHyphens/>
              <w:ind w:left="-513" w:firstLine="513"/>
              <w:jc w:val="both"/>
              <w:rPr>
                <w:b/>
              </w:rPr>
            </w:pPr>
            <w:r w:rsidRPr="00235C0F">
              <w:rPr>
                <w:b/>
              </w:rPr>
              <w:t xml:space="preserve">OÜ SPORRONG EESTI ir </w:t>
            </w:r>
          </w:p>
          <w:p w14:paraId="165FEB14" w14:textId="77777777" w:rsidR="00E33F17" w:rsidRPr="00206065" w:rsidRDefault="00E33F17" w:rsidP="00E33F17">
            <w:pPr>
              <w:widowControl w:val="0"/>
              <w:suppressAutoHyphens/>
              <w:ind w:left="-513" w:firstLine="513"/>
              <w:jc w:val="both"/>
              <w:rPr>
                <w:rFonts w:eastAsia="Arial"/>
                <w:color w:val="000000"/>
                <w:lang w:eastAsia="ar-SA" w:bidi="lt-LT"/>
              </w:rPr>
            </w:pPr>
            <w:r w:rsidRPr="00235C0F">
              <w:rPr>
                <w:b/>
              </w:rPr>
              <w:t>UA</w:t>
            </w:r>
            <w:r>
              <w:rPr>
                <w:b/>
              </w:rPr>
              <w:t>B „Ūlos juvelyrų studija“</w:t>
            </w:r>
          </w:p>
          <w:p w14:paraId="78CA16E9" w14:textId="77777777" w:rsidR="00E33F17" w:rsidRDefault="00E33F17" w:rsidP="00E33F17">
            <w:pPr>
              <w:widowControl w:val="0"/>
              <w:suppressAutoHyphens/>
              <w:jc w:val="both"/>
              <w:rPr>
                <w:rFonts w:eastAsia="Arial"/>
                <w:color w:val="000000"/>
                <w:lang w:eastAsia="ar-SA" w:bidi="lt-LT"/>
              </w:rPr>
            </w:pPr>
          </w:p>
          <w:p w14:paraId="7BDDCEC5" w14:textId="77777777" w:rsidR="00E33F17" w:rsidRPr="00206065" w:rsidRDefault="00E33F17" w:rsidP="00E33F17">
            <w:pPr>
              <w:widowControl w:val="0"/>
              <w:suppressAutoHyphens/>
              <w:jc w:val="both"/>
              <w:rPr>
                <w:rFonts w:eastAsia="Arial"/>
                <w:color w:val="000000"/>
                <w:lang w:eastAsia="ar-SA" w:bidi="lt-LT"/>
              </w:rPr>
            </w:pPr>
            <w:r w:rsidRPr="00206065">
              <w:rPr>
                <w:rFonts w:eastAsia="Arial"/>
                <w:color w:val="000000"/>
                <w:lang w:eastAsia="ar-SA" w:bidi="lt-LT"/>
              </w:rPr>
              <w:t>______________________</w:t>
            </w:r>
          </w:p>
          <w:p w14:paraId="07524B97" w14:textId="77777777" w:rsidR="00E33F17" w:rsidRDefault="00E33F17" w:rsidP="00E33F17">
            <w:pPr>
              <w:widowControl w:val="0"/>
              <w:suppressAutoHyphens/>
              <w:jc w:val="both"/>
              <w:rPr>
                <w:rFonts w:eastAsia="Arial Unicode MS"/>
                <w:color w:val="000000"/>
                <w:lang w:eastAsia="en-US" w:bidi="lt-LT"/>
              </w:rPr>
            </w:pPr>
            <w:r>
              <w:rPr>
                <w:rFonts w:eastAsia="Arial Unicode MS"/>
                <w:color w:val="000000"/>
                <w:lang w:eastAsia="en-US" w:bidi="lt-LT"/>
              </w:rPr>
              <w:t>pardavimų vadovas</w:t>
            </w:r>
          </w:p>
          <w:p w14:paraId="7B2A823F" w14:textId="77777777" w:rsidR="00E33F17" w:rsidRDefault="00E33F17" w:rsidP="00E33F17">
            <w:pPr>
              <w:widowControl w:val="0"/>
              <w:suppressAutoHyphens/>
              <w:jc w:val="both"/>
              <w:rPr>
                <w:rFonts w:eastAsia="Arial Unicode MS"/>
                <w:color w:val="000000"/>
                <w:lang w:eastAsia="en-US" w:bidi="lt-LT"/>
              </w:rPr>
            </w:pPr>
          </w:p>
          <w:p w14:paraId="28D3930A" w14:textId="4B378265" w:rsidR="00E33F17" w:rsidRPr="00206065" w:rsidRDefault="00E33F17" w:rsidP="00E33F17">
            <w:pPr>
              <w:widowControl w:val="0"/>
              <w:suppressAutoHyphens/>
              <w:jc w:val="both"/>
              <w:rPr>
                <w:rFonts w:eastAsia="Arial Unicode MS"/>
                <w:color w:val="000000"/>
                <w:highlight w:val="yellow"/>
                <w:lang w:eastAsia="en-US" w:bidi="lt-LT"/>
              </w:rPr>
            </w:pPr>
            <w:bookmarkStart w:id="1" w:name="_GoBack"/>
            <w:bookmarkEnd w:id="1"/>
          </w:p>
        </w:tc>
      </w:tr>
    </w:tbl>
    <w:p w14:paraId="789E9A67" w14:textId="2C32A136" w:rsidR="003B1F71" w:rsidRPr="00EA73AC" w:rsidRDefault="003B1F71" w:rsidP="00F6734F">
      <w:pPr>
        <w:pStyle w:val="BodyText1"/>
        <w:ind w:firstLine="0"/>
      </w:pPr>
    </w:p>
    <w:sectPr w:rsidR="003B1F71" w:rsidRPr="00EA73AC" w:rsidSect="00063FD4">
      <w:headerReference w:type="even" r:id="rId9"/>
      <w:headerReference w:type="default" r:id="rId10"/>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51209" w14:textId="77777777" w:rsidR="006D0C12" w:rsidRDefault="006D0C12">
      <w:r>
        <w:separator/>
      </w:r>
    </w:p>
  </w:endnote>
  <w:endnote w:type="continuationSeparator" w:id="0">
    <w:p w14:paraId="7E952735" w14:textId="77777777" w:rsidR="006D0C12" w:rsidRDefault="006D0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BA"/>
    <w:family w:val="roman"/>
    <w:pitch w:val="default"/>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50099" w14:textId="77777777" w:rsidR="006D0C12" w:rsidRDefault="006D0C12">
      <w:r>
        <w:separator/>
      </w:r>
    </w:p>
  </w:footnote>
  <w:footnote w:type="continuationSeparator" w:id="0">
    <w:p w14:paraId="77613F6E" w14:textId="77777777" w:rsidR="006D0C12" w:rsidRDefault="006D0C12">
      <w:r>
        <w:continuationSeparator/>
      </w:r>
    </w:p>
  </w:footnote>
  <w:footnote w:id="1">
    <w:p w14:paraId="614283CC" w14:textId="77777777" w:rsidR="00EB5CD1" w:rsidRDefault="00EB5CD1" w:rsidP="00EB5CD1">
      <w:pPr>
        <w:pStyle w:val="FootnoteText"/>
      </w:pPr>
      <w:r>
        <w:rPr>
          <w:rStyle w:val="FootnoteReference"/>
        </w:rPr>
        <w:footnoteRef/>
      </w:r>
      <w:r w:rsidRPr="00DE30F5">
        <w:t xml:space="preserve"> </w:t>
      </w:r>
      <w:hyperlink r:id="rId1" w:history="1">
        <w:r w:rsidRPr="00B63985">
          <w:rPr>
            <w:rStyle w:val="Hyperlink"/>
          </w:rPr>
          <w:t>https://ec.europa.eu/eurostat/databrowser/view/prc_hicp_midx/default/table?lang=en</w:t>
        </w:r>
      </w:hyperlink>
    </w:p>
    <w:p w14:paraId="4FC71BE6" w14:textId="77777777" w:rsidR="00EB5CD1" w:rsidRPr="00DE30F5" w:rsidRDefault="00EB5CD1" w:rsidP="00EB5CD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DB504"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C61C76"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C7CFE" w14:textId="77777777" w:rsidR="003B65D9" w:rsidRDefault="003B65D9" w:rsidP="00EB04AE">
    <w:pPr>
      <w:pStyle w:val="Header"/>
      <w:framePr w:wrap="around" w:vAnchor="text" w:hAnchor="margin" w:xAlign="center" w:y="1"/>
      <w:rPr>
        <w:rStyle w:val="PageNumber"/>
      </w:rPr>
    </w:pPr>
  </w:p>
  <w:p w14:paraId="41A404CC"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A383123"/>
    <w:multiLevelType w:val="hybridMultilevel"/>
    <w:tmpl w:val="1BF25B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7"/>
  </w:num>
  <w:num w:numId="4">
    <w:abstractNumId w:val="5"/>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CC3"/>
    <w:rsid w:val="000027C2"/>
    <w:rsid w:val="00002EB3"/>
    <w:rsid w:val="000044FB"/>
    <w:rsid w:val="00006E0F"/>
    <w:rsid w:val="00010D70"/>
    <w:rsid w:val="000134F5"/>
    <w:rsid w:val="000137AA"/>
    <w:rsid w:val="000155AF"/>
    <w:rsid w:val="000163AF"/>
    <w:rsid w:val="00017996"/>
    <w:rsid w:val="00017F60"/>
    <w:rsid w:val="0002013B"/>
    <w:rsid w:val="00020ABB"/>
    <w:rsid w:val="00020FFC"/>
    <w:rsid w:val="000274E3"/>
    <w:rsid w:val="000324B7"/>
    <w:rsid w:val="00033999"/>
    <w:rsid w:val="00034101"/>
    <w:rsid w:val="000354BD"/>
    <w:rsid w:val="0004005D"/>
    <w:rsid w:val="00043F0E"/>
    <w:rsid w:val="00044E1B"/>
    <w:rsid w:val="000457FB"/>
    <w:rsid w:val="00045E3C"/>
    <w:rsid w:val="00046519"/>
    <w:rsid w:val="00047409"/>
    <w:rsid w:val="000530A6"/>
    <w:rsid w:val="00053538"/>
    <w:rsid w:val="00055848"/>
    <w:rsid w:val="00056D2A"/>
    <w:rsid w:val="00062BD0"/>
    <w:rsid w:val="00063E3D"/>
    <w:rsid w:val="00063FD4"/>
    <w:rsid w:val="000670D5"/>
    <w:rsid w:val="00067FB9"/>
    <w:rsid w:val="00074550"/>
    <w:rsid w:val="00074DAB"/>
    <w:rsid w:val="00075263"/>
    <w:rsid w:val="0007548A"/>
    <w:rsid w:val="000803B6"/>
    <w:rsid w:val="0008050E"/>
    <w:rsid w:val="00080AAF"/>
    <w:rsid w:val="00090C88"/>
    <w:rsid w:val="00091508"/>
    <w:rsid w:val="0009328E"/>
    <w:rsid w:val="00096626"/>
    <w:rsid w:val="000970F7"/>
    <w:rsid w:val="000A3634"/>
    <w:rsid w:val="000A3FAF"/>
    <w:rsid w:val="000A7966"/>
    <w:rsid w:val="000A79DA"/>
    <w:rsid w:val="000B10FF"/>
    <w:rsid w:val="000B1E6C"/>
    <w:rsid w:val="000B3706"/>
    <w:rsid w:val="000B3B27"/>
    <w:rsid w:val="000B3CAF"/>
    <w:rsid w:val="000B6DAD"/>
    <w:rsid w:val="000C0FE3"/>
    <w:rsid w:val="000C2205"/>
    <w:rsid w:val="000C45FF"/>
    <w:rsid w:val="000C63E2"/>
    <w:rsid w:val="000C7166"/>
    <w:rsid w:val="000C7F90"/>
    <w:rsid w:val="000D0426"/>
    <w:rsid w:val="000D0766"/>
    <w:rsid w:val="000D31DB"/>
    <w:rsid w:val="000D35FE"/>
    <w:rsid w:val="000D669E"/>
    <w:rsid w:val="000D66D1"/>
    <w:rsid w:val="000D792D"/>
    <w:rsid w:val="000E132A"/>
    <w:rsid w:val="000E242A"/>
    <w:rsid w:val="000E3914"/>
    <w:rsid w:val="000E4893"/>
    <w:rsid w:val="000E5D67"/>
    <w:rsid w:val="000E6C17"/>
    <w:rsid w:val="000E7ECE"/>
    <w:rsid w:val="000F1E27"/>
    <w:rsid w:val="000F3206"/>
    <w:rsid w:val="000F50B3"/>
    <w:rsid w:val="000F6744"/>
    <w:rsid w:val="0010248B"/>
    <w:rsid w:val="00104989"/>
    <w:rsid w:val="00107939"/>
    <w:rsid w:val="00107F79"/>
    <w:rsid w:val="00107FA3"/>
    <w:rsid w:val="001101A3"/>
    <w:rsid w:val="001112AB"/>
    <w:rsid w:val="00114A8E"/>
    <w:rsid w:val="00115837"/>
    <w:rsid w:val="00116D84"/>
    <w:rsid w:val="001172CC"/>
    <w:rsid w:val="00117375"/>
    <w:rsid w:val="00122596"/>
    <w:rsid w:val="001238E7"/>
    <w:rsid w:val="00123F75"/>
    <w:rsid w:val="00125F4B"/>
    <w:rsid w:val="00126232"/>
    <w:rsid w:val="00126825"/>
    <w:rsid w:val="00126C25"/>
    <w:rsid w:val="00126C5C"/>
    <w:rsid w:val="001270AF"/>
    <w:rsid w:val="00127264"/>
    <w:rsid w:val="001323F9"/>
    <w:rsid w:val="0013461C"/>
    <w:rsid w:val="00136AB4"/>
    <w:rsid w:val="0013773F"/>
    <w:rsid w:val="00141229"/>
    <w:rsid w:val="00141428"/>
    <w:rsid w:val="00142A15"/>
    <w:rsid w:val="0014305B"/>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773"/>
    <w:rsid w:val="00170B15"/>
    <w:rsid w:val="00171524"/>
    <w:rsid w:val="001724C1"/>
    <w:rsid w:val="00172F4B"/>
    <w:rsid w:val="00173548"/>
    <w:rsid w:val="00174CEB"/>
    <w:rsid w:val="00175B59"/>
    <w:rsid w:val="00184C94"/>
    <w:rsid w:val="00190248"/>
    <w:rsid w:val="00195E7B"/>
    <w:rsid w:val="00196FEF"/>
    <w:rsid w:val="0019708C"/>
    <w:rsid w:val="001A0060"/>
    <w:rsid w:val="001A0D32"/>
    <w:rsid w:val="001A1C50"/>
    <w:rsid w:val="001A1F7A"/>
    <w:rsid w:val="001A3672"/>
    <w:rsid w:val="001A4564"/>
    <w:rsid w:val="001A7311"/>
    <w:rsid w:val="001B01A3"/>
    <w:rsid w:val="001B1F64"/>
    <w:rsid w:val="001B41AA"/>
    <w:rsid w:val="001B47DB"/>
    <w:rsid w:val="001B4E58"/>
    <w:rsid w:val="001B7240"/>
    <w:rsid w:val="001C61FF"/>
    <w:rsid w:val="001C6F25"/>
    <w:rsid w:val="001D005E"/>
    <w:rsid w:val="001D1EEA"/>
    <w:rsid w:val="001D222D"/>
    <w:rsid w:val="001D4B12"/>
    <w:rsid w:val="001D4DE5"/>
    <w:rsid w:val="001D76C2"/>
    <w:rsid w:val="001D7E6A"/>
    <w:rsid w:val="001E17A9"/>
    <w:rsid w:val="001E4F8A"/>
    <w:rsid w:val="001E5605"/>
    <w:rsid w:val="001F14E1"/>
    <w:rsid w:val="001F7CAC"/>
    <w:rsid w:val="002007A3"/>
    <w:rsid w:val="00201C02"/>
    <w:rsid w:val="00202A76"/>
    <w:rsid w:val="00202F29"/>
    <w:rsid w:val="00203FCA"/>
    <w:rsid w:val="0020486A"/>
    <w:rsid w:val="0021077C"/>
    <w:rsid w:val="002116B0"/>
    <w:rsid w:val="00211E52"/>
    <w:rsid w:val="00213F8C"/>
    <w:rsid w:val="002171B8"/>
    <w:rsid w:val="002179CD"/>
    <w:rsid w:val="002204FC"/>
    <w:rsid w:val="0022061A"/>
    <w:rsid w:val="00221422"/>
    <w:rsid w:val="00224181"/>
    <w:rsid w:val="00230B21"/>
    <w:rsid w:val="00230C73"/>
    <w:rsid w:val="00235C0F"/>
    <w:rsid w:val="00236A22"/>
    <w:rsid w:val="00237286"/>
    <w:rsid w:val="00242262"/>
    <w:rsid w:val="00242BED"/>
    <w:rsid w:val="002443FF"/>
    <w:rsid w:val="0024476B"/>
    <w:rsid w:val="002455E4"/>
    <w:rsid w:val="00247AFE"/>
    <w:rsid w:val="00254816"/>
    <w:rsid w:val="00257B89"/>
    <w:rsid w:val="0026173E"/>
    <w:rsid w:val="00261A8E"/>
    <w:rsid w:val="002622D6"/>
    <w:rsid w:val="00263377"/>
    <w:rsid w:val="00264C29"/>
    <w:rsid w:val="00273403"/>
    <w:rsid w:val="00274F0A"/>
    <w:rsid w:val="002765AE"/>
    <w:rsid w:val="00280A96"/>
    <w:rsid w:val="0028166B"/>
    <w:rsid w:val="00284C03"/>
    <w:rsid w:val="00285033"/>
    <w:rsid w:val="002857F9"/>
    <w:rsid w:val="0028680C"/>
    <w:rsid w:val="00286C63"/>
    <w:rsid w:val="00290B54"/>
    <w:rsid w:val="00294021"/>
    <w:rsid w:val="0029437E"/>
    <w:rsid w:val="00297CD8"/>
    <w:rsid w:val="002A0272"/>
    <w:rsid w:val="002A0F1D"/>
    <w:rsid w:val="002A2118"/>
    <w:rsid w:val="002A214D"/>
    <w:rsid w:val="002A3D36"/>
    <w:rsid w:val="002A7B95"/>
    <w:rsid w:val="002B1748"/>
    <w:rsid w:val="002B3381"/>
    <w:rsid w:val="002B6BE8"/>
    <w:rsid w:val="002B70D9"/>
    <w:rsid w:val="002C048E"/>
    <w:rsid w:val="002C24F4"/>
    <w:rsid w:val="002C37D7"/>
    <w:rsid w:val="002C38B0"/>
    <w:rsid w:val="002C57F8"/>
    <w:rsid w:val="002C5A19"/>
    <w:rsid w:val="002D065D"/>
    <w:rsid w:val="002D230C"/>
    <w:rsid w:val="002D2935"/>
    <w:rsid w:val="002D330F"/>
    <w:rsid w:val="002D41F8"/>
    <w:rsid w:val="002D4504"/>
    <w:rsid w:val="002D7249"/>
    <w:rsid w:val="002E07D6"/>
    <w:rsid w:val="002E4085"/>
    <w:rsid w:val="002E51A0"/>
    <w:rsid w:val="002E6F8C"/>
    <w:rsid w:val="002F0539"/>
    <w:rsid w:val="002F54E9"/>
    <w:rsid w:val="002F65A5"/>
    <w:rsid w:val="002F6E38"/>
    <w:rsid w:val="00300B56"/>
    <w:rsid w:val="00300CF8"/>
    <w:rsid w:val="0030170B"/>
    <w:rsid w:val="0030569F"/>
    <w:rsid w:val="00306063"/>
    <w:rsid w:val="00306781"/>
    <w:rsid w:val="0031093C"/>
    <w:rsid w:val="00310DE1"/>
    <w:rsid w:val="00311F94"/>
    <w:rsid w:val="0031363B"/>
    <w:rsid w:val="0031461D"/>
    <w:rsid w:val="003146FB"/>
    <w:rsid w:val="00315C99"/>
    <w:rsid w:val="00315DC8"/>
    <w:rsid w:val="00317994"/>
    <w:rsid w:val="0032089E"/>
    <w:rsid w:val="003215CA"/>
    <w:rsid w:val="003225E3"/>
    <w:rsid w:val="003227C8"/>
    <w:rsid w:val="00323886"/>
    <w:rsid w:val="00323F0F"/>
    <w:rsid w:val="00325DC7"/>
    <w:rsid w:val="00326C7C"/>
    <w:rsid w:val="0033089A"/>
    <w:rsid w:val="00331258"/>
    <w:rsid w:val="003321BD"/>
    <w:rsid w:val="003327A1"/>
    <w:rsid w:val="00333183"/>
    <w:rsid w:val="0033473B"/>
    <w:rsid w:val="0034127A"/>
    <w:rsid w:val="0034191E"/>
    <w:rsid w:val="00341EA0"/>
    <w:rsid w:val="0034204C"/>
    <w:rsid w:val="0034299B"/>
    <w:rsid w:val="00344637"/>
    <w:rsid w:val="003450E8"/>
    <w:rsid w:val="00345A87"/>
    <w:rsid w:val="00346079"/>
    <w:rsid w:val="003466A9"/>
    <w:rsid w:val="00351DA0"/>
    <w:rsid w:val="00352342"/>
    <w:rsid w:val="00355E47"/>
    <w:rsid w:val="00360353"/>
    <w:rsid w:val="0036276B"/>
    <w:rsid w:val="003639C7"/>
    <w:rsid w:val="003669B1"/>
    <w:rsid w:val="00367684"/>
    <w:rsid w:val="0037045D"/>
    <w:rsid w:val="00370923"/>
    <w:rsid w:val="003758B5"/>
    <w:rsid w:val="00376350"/>
    <w:rsid w:val="0038008E"/>
    <w:rsid w:val="003802E8"/>
    <w:rsid w:val="00382394"/>
    <w:rsid w:val="00382662"/>
    <w:rsid w:val="003911A8"/>
    <w:rsid w:val="00392EC6"/>
    <w:rsid w:val="003932BE"/>
    <w:rsid w:val="00394EA5"/>
    <w:rsid w:val="00396C9D"/>
    <w:rsid w:val="003971F1"/>
    <w:rsid w:val="003A12E8"/>
    <w:rsid w:val="003A1670"/>
    <w:rsid w:val="003A28C0"/>
    <w:rsid w:val="003A433C"/>
    <w:rsid w:val="003A528D"/>
    <w:rsid w:val="003A52A4"/>
    <w:rsid w:val="003A5A25"/>
    <w:rsid w:val="003A63A0"/>
    <w:rsid w:val="003A6E57"/>
    <w:rsid w:val="003B0CA0"/>
    <w:rsid w:val="003B0DEC"/>
    <w:rsid w:val="003B15CC"/>
    <w:rsid w:val="003B1F71"/>
    <w:rsid w:val="003B319E"/>
    <w:rsid w:val="003B4BCD"/>
    <w:rsid w:val="003B6455"/>
    <w:rsid w:val="003B65D9"/>
    <w:rsid w:val="003B79A7"/>
    <w:rsid w:val="003B7BF9"/>
    <w:rsid w:val="003C3415"/>
    <w:rsid w:val="003C51B7"/>
    <w:rsid w:val="003D09D2"/>
    <w:rsid w:val="003D3BB4"/>
    <w:rsid w:val="003D3FC8"/>
    <w:rsid w:val="003D5542"/>
    <w:rsid w:val="003D5E39"/>
    <w:rsid w:val="003D7292"/>
    <w:rsid w:val="003E090F"/>
    <w:rsid w:val="003E10AA"/>
    <w:rsid w:val="003E4185"/>
    <w:rsid w:val="003E6412"/>
    <w:rsid w:val="003E72A2"/>
    <w:rsid w:val="003E7AF9"/>
    <w:rsid w:val="003F10C2"/>
    <w:rsid w:val="003F1425"/>
    <w:rsid w:val="003F24C0"/>
    <w:rsid w:val="003F46EA"/>
    <w:rsid w:val="003F7EB0"/>
    <w:rsid w:val="00401789"/>
    <w:rsid w:val="00403322"/>
    <w:rsid w:val="00403C8A"/>
    <w:rsid w:val="00404008"/>
    <w:rsid w:val="004055FB"/>
    <w:rsid w:val="00410503"/>
    <w:rsid w:val="004114B6"/>
    <w:rsid w:val="00411ECC"/>
    <w:rsid w:val="0041512E"/>
    <w:rsid w:val="00415D1F"/>
    <w:rsid w:val="00416688"/>
    <w:rsid w:val="004211EA"/>
    <w:rsid w:val="00425E86"/>
    <w:rsid w:val="00427155"/>
    <w:rsid w:val="00427F9A"/>
    <w:rsid w:val="00430481"/>
    <w:rsid w:val="00430C24"/>
    <w:rsid w:val="00440292"/>
    <w:rsid w:val="004467EC"/>
    <w:rsid w:val="004479F5"/>
    <w:rsid w:val="00447AAA"/>
    <w:rsid w:val="00447B56"/>
    <w:rsid w:val="00450A7F"/>
    <w:rsid w:val="0045101D"/>
    <w:rsid w:val="00451F50"/>
    <w:rsid w:val="004545BC"/>
    <w:rsid w:val="004567E8"/>
    <w:rsid w:val="00457A24"/>
    <w:rsid w:val="00460879"/>
    <w:rsid w:val="004613B8"/>
    <w:rsid w:val="00461C7E"/>
    <w:rsid w:val="0046345B"/>
    <w:rsid w:val="004637F1"/>
    <w:rsid w:val="0046495C"/>
    <w:rsid w:val="004659BC"/>
    <w:rsid w:val="0046634F"/>
    <w:rsid w:val="00470913"/>
    <w:rsid w:val="0047244B"/>
    <w:rsid w:val="00475103"/>
    <w:rsid w:val="004752BE"/>
    <w:rsid w:val="004776E5"/>
    <w:rsid w:val="00477F22"/>
    <w:rsid w:val="00480CF0"/>
    <w:rsid w:val="004826A0"/>
    <w:rsid w:val="00482710"/>
    <w:rsid w:val="00482ED6"/>
    <w:rsid w:val="00483FCC"/>
    <w:rsid w:val="00484AC2"/>
    <w:rsid w:val="00490EBE"/>
    <w:rsid w:val="004917A6"/>
    <w:rsid w:val="004926FD"/>
    <w:rsid w:val="004A0CAE"/>
    <w:rsid w:val="004A3771"/>
    <w:rsid w:val="004A3DBE"/>
    <w:rsid w:val="004A6DBB"/>
    <w:rsid w:val="004B138D"/>
    <w:rsid w:val="004B2A04"/>
    <w:rsid w:val="004B4FFE"/>
    <w:rsid w:val="004B7C57"/>
    <w:rsid w:val="004C1DC9"/>
    <w:rsid w:val="004C6623"/>
    <w:rsid w:val="004C78BE"/>
    <w:rsid w:val="004D12A3"/>
    <w:rsid w:val="004D4B9C"/>
    <w:rsid w:val="004D6461"/>
    <w:rsid w:val="004E2153"/>
    <w:rsid w:val="004E3654"/>
    <w:rsid w:val="004E4F60"/>
    <w:rsid w:val="004E5569"/>
    <w:rsid w:val="004E6219"/>
    <w:rsid w:val="004E6B59"/>
    <w:rsid w:val="004F0D9E"/>
    <w:rsid w:val="004F2201"/>
    <w:rsid w:val="004F2CD4"/>
    <w:rsid w:val="004F365C"/>
    <w:rsid w:val="004F38D0"/>
    <w:rsid w:val="005004C4"/>
    <w:rsid w:val="0050107A"/>
    <w:rsid w:val="00504295"/>
    <w:rsid w:val="0050449D"/>
    <w:rsid w:val="00504EC0"/>
    <w:rsid w:val="00504F6B"/>
    <w:rsid w:val="00505CF1"/>
    <w:rsid w:val="00505F77"/>
    <w:rsid w:val="00507315"/>
    <w:rsid w:val="00507467"/>
    <w:rsid w:val="005078F3"/>
    <w:rsid w:val="00510336"/>
    <w:rsid w:val="00515AC5"/>
    <w:rsid w:val="00515E8C"/>
    <w:rsid w:val="0051758C"/>
    <w:rsid w:val="00520E13"/>
    <w:rsid w:val="00520FCA"/>
    <w:rsid w:val="00521E04"/>
    <w:rsid w:val="0052383B"/>
    <w:rsid w:val="00523F9A"/>
    <w:rsid w:val="005268AC"/>
    <w:rsid w:val="00526F78"/>
    <w:rsid w:val="00527810"/>
    <w:rsid w:val="00530F55"/>
    <w:rsid w:val="005322FC"/>
    <w:rsid w:val="00532415"/>
    <w:rsid w:val="005331C1"/>
    <w:rsid w:val="00534894"/>
    <w:rsid w:val="00535F36"/>
    <w:rsid w:val="0053760D"/>
    <w:rsid w:val="0053797C"/>
    <w:rsid w:val="00537D97"/>
    <w:rsid w:val="00540FB8"/>
    <w:rsid w:val="00541034"/>
    <w:rsid w:val="00541A2D"/>
    <w:rsid w:val="00541B90"/>
    <w:rsid w:val="00541C7D"/>
    <w:rsid w:val="005436AD"/>
    <w:rsid w:val="00544308"/>
    <w:rsid w:val="005452A7"/>
    <w:rsid w:val="0055004E"/>
    <w:rsid w:val="00550F72"/>
    <w:rsid w:val="005511D7"/>
    <w:rsid w:val="005518C7"/>
    <w:rsid w:val="0055239D"/>
    <w:rsid w:val="00554E63"/>
    <w:rsid w:val="005571CF"/>
    <w:rsid w:val="00557657"/>
    <w:rsid w:val="005605FB"/>
    <w:rsid w:val="00560D10"/>
    <w:rsid w:val="00562546"/>
    <w:rsid w:val="00562BE2"/>
    <w:rsid w:val="0056392F"/>
    <w:rsid w:val="005639C2"/>
    <w:rsid w:val="00564489"/>
    <w:rsid w:val="00564717"/>
    <w:rsid w:val="00564C5F"/>
    <w:rsid w:val="0056524B"/>
    <w:rsid w:val="00565FA3"/>
    <w:rsid w:val="005679DC"/>
    <w:rsid w:val="00571C08"/>
    <w:rsid w:val="00572D87"/>
    <w:rsid w:val="005739F8"/>
    <w:rsid w:val="00574A76"/>
    <w:rsid w:val="005758B5"/>
    <w:rsid w:val="005815B9"/>
    <w:rsid w:val="00582A2E"/>
    <w:rsid w:val="0059060C"/>
    <w:rsid w:val="00593CF1"/>
    <w:rsid w:val="00593E93"/>
    <w:rsid w:val="00594EF7"/>
    <w:rsid w:val="00595ABA"/>
    <w:rsid w:val="00596BAB"/>
    <w:rsid w:val="005A2081"/>
    <w:rsid w:val="005A3553"/>
    <w:rsid w:val="005A450F"/>
    <w:rsid w:val="005A71D9"/>
    <w:rsid w:val="005B0EAA"/>
    <w:rsid w:val="005B2AD1"/>
    <w:rsid w:val="005B2AFB"/>
    <w:rsid w:val="005B45F7"/>
    <w:rsid w:val="005B6897"/>
    <w:rsid w:val="005B738F"/>
    <w:rsid w:val="005B742C"/>
    <w:rsid w:val="005C1112"/>
    <w:rsid w:val="005C316B"/>
    <w:rsid w:val="005C3AC7"/>
    <w:rsid w:val="005C5046"/>
    <w:rsid w:val="005C6E2A"/>
    <w:rsid w:val="005D2B9E"/>
    <w:rsid w:val="005D6A93"/>
    <w:rsid w:val="005E3407"/>
    <w:rsid w:val="005E34AE"/>
    <w:rsid w:val="005E37A4"/>
    <w:rsid w:val="005E431A"/>
    <w:rsid w:val="005E499F"/>
    <w:rsid w:val="005E55F5"/>
    <w:rsid w:val="005E56F7"/>
    <w:rsid w:val="005E65D5"/>
    <w:rsid w:val="005E6645"/>
    <w:rsid w:val="005E7A45"/>
    <w:rsid w:val="005F26B1"/>
    <w:rsid w:val="005F5E52"/>
    <w:rsid w:val="005F673C"/>
    <w:rsid w:val="00600BEB"/>
    <w:rsid w:val="0060437B"/>
    <w:rsid w:val="00604477"/>
    <w:rsid w:val="00604A4C"/>
    <w:rsid w:val="0060684D"/>
    <w:rsid w:val="0060719A"/>
    <w:rsid w:val="00610CF0"/>
    <w:rsid w:val="006123AC"/>
    <w:rsid w:val="006125D7"/>
    <w:rsid w:val="00612CBF"/>
    <w:rsid w:val="00613BB6"/>
    <w:rsid w:val="00613FCA"/>
    <w:rsid w:val="00615C01"/>
    <w:rsid w:val="00615E4A"/>
    <w:rsid w:val="00617CBB"/>
    <w:rsid w:val="00620615"/>
    <w:rsid w:val="0062140A"/>
    <w:rsid w:val="0062376F"/>
    <w:rsid w:val="00631A51"/>
    <w:rsid w:val="00632966"/>
    <w:rsid w:val="00634620"/>
    <w:rsid w:val="006346BE"/>
    <w:rsid w:val="00634CA2"/>
    <w:rsid w:val="00635525"/>
    <w:rsid w:val="00635AC7"/>
    <w:rsid w:val="00635DE3"/>
    <w:rsid w:val="00636F07"/>
    <w:rsid w:val="00641428"/>
    <w:rsid w:val="00645EAE"/>
    <w:rsid w:val="0064641E"/>
    <w:rsid w:val="00646DC6"/>
    <w:rsid w:val="00652C7D"/>
    <w:rsid w:val="00653344"/>
    <w:rsid w:val="006565EC"/>
    <w:rsid w:val="006573EA"/>
    <w:rsid w:val="00660B9A"/>
    <w:rsid w:val="0066117A"/>
    <w:rsid w:val="0066134A"/>
    <w:rsid w:val="00661F18"/>
    <w:rsid w:val="00662280"/>
    <w:rsid w:val="0066522E"/>
    <w:rsid w:val="0066665F"/>
    <w:rsid w:val="00670913"/>
    <w:rsid w:val="00670AC5"/>
    <w:rsid w:val="00671D4B"/>
    <w:rsid w:val="00674589"/>
    <w:rsid w:val="00680C5A"/>
    <w:rsid w:val="00681C35"/>
    <w:rsid w:val="00681D91"/>
    <w:rsid w:val="00683419"/>
    <w:rsid w:val="006841A5"/>
    <w:rsid w:val="00684E2A"/>
    <w:rsid w:val="00684EDF"/>
    <w:rsid w:val="00690AB0"/>
    <w:rsid w:val="00693E67"/>
    <w:rsid w:val="006958AF"/>
    <w:rsid w:val="0069677F"/>
    <w:rsid w:val="006976FE"/>
    <w:rsid w:val="006A0D94"/>
    <w:rsid w:val="006B23D2"/>
    <w:rsid w:val="006B392F"/>
    <w:rsid w:val="006B479B"/>
    <w:rsid w:val="006B64F4"/>
    <w:rsid w:val="006C0245"/>
    <w:rsid w:val="006C05C4"/>
    <w:rsid w:val="006C0824"/>
    <w:rsid w:val="006C0E9C"/>
    <w:rsid w:val="006C2A5F"/>
    <w:rsid w:val="006C4385"/>
    <w:rsid w:val="006D0C12"/>
    <w:rsid w:val="006D1B17"/>
    <w:rsid w:val="006D2418"/>
    <w:rsid w:val="006D67EE"/>
    <w:rsid w:val="006E16CC"/>
    <w:rsid w:val="006E3687"/>
    <w:rsid w:val="006F008D"/>
    <w:rsid w:val="006F078E"/>
    <w:rsid w:val="006F24D5"/>
    <w:rsid w:val="006F3C3F"/>
    <w:rsid w:val="006F5433"/>
    <w:rsid w:val="006F675A"/>
    <w:rsid w:val="006F709F"/>
    <w:rsid w:val="00700824"/>
    <w:rsid w:val="0070112A"/>
    <w:rsid w:val="0070327D"/>
    <w:rsid w:val="0070534F"/>
    <w:rsid w:val="00705831"/>
    <w:rsid w:val="00705EDE"/>
    <w:rsid w:val="00706613"/>
    <w:rsid w:val="00706E7E"/>
    <w:rsid w:val="00710D15"/>
    <w:rsid w:val="007202AD"/>
    <w:rsid w:val="00720AE9"/>
    <w:rsid w:val="0072147C"/>
    <w:rsid w:val="00722DC2"/>
    <w:rsid w:val="00723B86"/>
    <w:rsid w:val="00724FB4"/>
    <w:rsid w:val="007268A9"/>
    <w:rsid w:val="007279AB"/>
    <w:rsid w:val="00727F8C"/>
    <w:rsid w:val="00730A14"/>
    <w:rsid w:val="00730A62"/>
    <w:rsid w:val="00730EF6"/>
    <w:rsid w:val="007319C2"/>
    <w:rsid w:val="00731E84"/>
    <w:rsid w:val="00732AB0"/>
    <w:rsid w:val="00732BF9"/>
    <w:rsid w:val="0073507F"/>
    <w:rsid w:val="0073554B"/>
    <w:rsid w:val="00736297"/>
    <w:rsid w:val="00736C6F"/>
    <w:rsid w:val="00737830"/>
    <w:rsid w:val="00741DE9"/>
    <w:rsid w:val="0074310B"/>
    <w:rsid w:val="007442D5"/>
    <w:rsid w:val="00746F04"/>
    <w:rsid w:val="007504BC"/>
    <w:rsid w:val="007511AF"/>
    <w:rsid w:val="007522B4"/>
    <w:rsid w:val="00754BA4"/>
    <w:rsid w:val="00761065"/>
    <w:rsid w:val="007702A5"/>
    <w:rsid w:val="0077168A"/>
    <w:rsid w:val="00771DB6"/>
    <w:rsid w:val="00774A7E"/>
    <w:rsid w:val="00775D43"/>
    <w:rsid w:val="00777C4F"/>
    <w:rsid w:val="00777F64"/>
    <w:rsid w:val="00781D66"/>
    <w:rsid w:val="00782F8D"/>
    <w:rsid w:val="00783EAB"/>
    <w:rsid w:val="007848F0"/>
    <w:rsid w:val="00787FB7"/>
    <w:rsid w:val="00790DFB"/>
    <w:rsid w:val="00793EA3"/>
    <w:rsid w:val="00794FD8"/>
    <w:rsid w:val="007961D0"/>
    <w:rsid w:val="0079744B"/>
    <w:rsid w:val="007A0CD9"/>
    <w:rsid w:val="007A5938"/>
    <w:rsid w:val="007A5B76"/>
    <w:rsid w:val="007B0C3F"/>
    <w:rsid w:val="007B52D5"/>
    <w:rsid w:val="007B5864"/>
    <w:rsid w:val="007B5A34"/>
    <w:rsid w:val="007B607C"/>
    <w:rsid w:val="007B6AA0"/>
    <w:rsid w:val="007C3926"/>
    <w:rsid w:val="007C497A"/>
    <w:rsid w:val="007C7744"/>
    <w:rsid w:val="007D1042"/>
    <w:rsid w:val="007D1445"/>
    <w:rsid w:val="007D2FDE"/>
    <w:rsid w:val="007D3592"/>
    <w:rsid w:val="007D3CF1"/>
    <w:rsid w:val="007D57DC"/>
    <w:rsid w:val="007E1537"/>
    <w:rsid w:val="007E309B"/>
    <w:rsid w:val="007E3835"/>
    <w:rsid w:val="007E4370"/>
    <w:rsid w:val="007F201E"/>
    <w:rsid w:val="007F2235"/>
    <w:rsid w:val="007F3BF7"/>
    <w:rsid w:val="007F3F0D"/>
    <w:rsid w:val="007F4436"/>
    <w:rsid w:val="007F4E34"/>
    <w:rsid w:val="007F59AA"/>
    <w:rsid w:val="007F7359"/>
    <w:rsid w:val="008012D0"/>
    <w:rsid w:val="00801329"/>
    <w:rsid w:val="008015CE"/>
    <w:rsid w:val="00804494"/>
    <w:rsid w:val="00804894"/>
    <w:rsid w:val="00804EDC"/>
    <w:rsid w:val="00805246"/>
    <w:rsid w:val="0080619C"/>
    <w:rsid w:val="00806F63"/>
    <w:rsid w:val="00807CBF"/>
    <w:rsid w:val="00810059"/>
    <w:rsid w:val="008111C5"/>
    <w:rsid w:val="008145B7"/>
    <w:rsid w:val="00814CBA"/>
    <w:rsid w:val="00815EAA"/>
    <w:rsid w:val="008163BF"/>
    <w:rsid w:val="0082340A"/>
    <w:rsid w:val="008274E5"/>
    <w:rsid w:val="0083398E"/>
    <w:rsid w:val="008353C9"/>
    <w:rsid w:val="00835428"/>
    <w:rsid w:val="008370AC"/>
    <w:rsid w:val="0084205E"/>
    <w:rsid w:val="0084336E"/>
    <w:rsid w:val="0084595A"/>
    <w:rsid w:val="00846150"/>
    <w:rsid w:val="00847218"/>
    <w:rsid w:val="00851179"/>
    <w:rsid w:val="00851DDD"/>
    <w:rsid w:val="00852C0F"/>
    <w:rsid w:val="00855F30"/>
    <w:rsid w:val="00856F82"/>
    <w:rsid w:val="0086043B"/>
    <w:rsid w:val="00860C9B"/>
    <w:rsid w:val="00861C7F"/>
    <w:rsid w:val="00864223"/>
    <w:rsid w:val="00864EA8"/>
    <w:rsid w:val="008657A0"/>
    <w:rsid w:val="0086611C"/>
    <w:rsid w:val="00866BBB"/>
    <w:rsid w:val="00870EC6"/>
    <w:rsid w:val="00873F25"/>
    <w:rsid w:val="0087413A"/>
    <w:rsid w:val="0087531D"/>
    <w:rsid w:val="00880F40"/>
    <w:rsid w:val="008815CF"/>
    <w:rsid w:val="0088508E"/>
    <w:rsid w:val="00892165"/>
    <w:rsid w:val="00892287"/>
    <w:rsid w:val="0089280A"/>
    <w:rsid w:val="00892904"/>
    <w:rsid w:val="00894457"/>
    <w:rsid w:val="00896F39"/>
    <w:rsid w:val="00896F88"/>
    <w:rsid w:val="008A029F"/>
    <w:rsid w:val="008A176D"/>
    <w:rsid w:val="008A1B1E"/>
    <w:rsid w:val="008A1BFD"/>
    <w:rsid w:val="008A24D9"/>
    <w:rsid w:val="008A3093"/>
    <w:rsid w:val="008A36E6"/>
    <w:rsid w:val="008A3B5D"/>
    <w:rsid w:val="008A6FFC"/>
    <w:rsid w:val="008B09CE"/>
    <w:rsid w:val="008B424C"/>
    <w:rsid w:val="008B5732"/>
    <w:rsid w:val="008C1E8D"/>
    <w:rsid w:val="008C55C8"/>
    <w:rsid w:val="008D1FF3"/>
    <w:rsid w:val="008D4937"/>
    <w:rsid w:val="008D737F"/>
    <w:rsid w:val="008E2B57"/>
    <w:rsid w:val="008E5120"/>
    <w:rsid w:val="008E64FC"/>
    <w:rsid w:val="008E7C0A"/>
    <w:rsid w:val="008F0586"/>
    <w:rsid w:val="008F29B4"/>
    <w:rsid w:val="008F4636"/>
    <w:rsid w:val="00910B3B"/>
    <w:rsid w:val="009123ED"/>
    <w:rsid w:val="00912764"/>
    <w:rsid w:val="00914BD3"/>
    <w:rsid w:val="0091504A"/>
    <w:rsid w:val="009164EF"/>
    <w:rsid w:val="009262BD"/>
    <w:rsid w:val="00927B15"/>
    <w:rsid w:val="009300B1"/>
    <w:rsid w:val="009364EC"/>
    <w:rsid w:val="009405E7"/>
    <w:rsid w:val="0094227D"/>
    <w:rsid w:val="00943766"/>
    <w:rsid w:val="009440EA"/>
    <w:rsid w:val="0094474A"/>
    <w:rsid w:val="0094746D"/>
    <w:rsid w:val="009523E7"/>
    <w:rsid w:val="00956358"/>
    <w:rsid w:val="009566DA"/>
    <w:rsid w:val="009569E0"/>
    <w:rsid w:val="00957548"/>
    <w:rsid w:val="00961DD4"/>
    <w:rsid w:val="00962B8E"/>
    <w:rsid w:val="00963B1D"/>
    <w:rsid w:val="00964060"/>
    <w:rsid w:val="00966B72"/>
    <w:rsid w:val="0097231A"/>
    <w:rsid w:val="00973F32"/>
    <w:rsid w:val="00974026"/>
    <w:rsid w:val="00977BBB"/>
    <w:rsid w:val="00980E83"/>
    <w:rsid w:val="00983053"/>
    <w:rsid w:val="00984E2B"/>
    <w:rsid w:val="009850B9"/>
    <w:rsid w:val="00985BF3"/>
    <w:rsid w:val="00986541"/>
    <w:rsid w:val="00991A5E"/>
    <w:rsid w:val="00993C0F"/>
    <w:rsid w:val="009966A0"/>
    <w:rsid w:val="00997A09"/>
    <w:rsid w:val="009A005D"/>
    <w:rsid w:val="009A1D39"/>
    <w:rsid w:val="009A3FDD"/>
    <w:rsid w:val="009A5019"/>
    <w:rsid w:val="009A5094"/>
    <w:rsid w:val="009A638A"/>
    <w:rsid w:val="009A63EC"/>
    <w:rsid w:val="009A6F92"/>
    <w:rsid w:val="009B1E46"/>
    <w:rsid w:val="009B4411"/>
    <w:rsid w:val="009B46A4"/>
    <w:rsid w:val="009B4CC4"/>
    <w:rsid w:val="009B51DA"/>
    <w:rsid w:val="009C03F2"/>
    <w:rsid w:val="009C1A1C"/>
    <w:rsid w:val="009C351C"/>
    <w:rsid w:val="009D107C"/>
    <w:rsid w:val="009D176F"/>
    <w:rsid w:val="009D4244"/>
    <w:rsid w:val="009D6A2D"/>
    <w:rsid w:val="009D706B"/>
    <w:rsid w:val="009D724F"/>
    <w:rsid w:val="009E09E6"/>
    <w:rsid w:val="009E2E30"/>
    <w:rsid w:val="009E2E9B"/>
    <w:rsid w:val="009E3D2A"/>
    <w:rsid w:val="009E43E9"/>
    <w:rsid w:val="009F412A"/>
    <w:rsid w:val="009F51DA"/>
    <w:rsid w:val="009F64BD"/>
    <w:rsid w:val="00A000C1"/>
    <w:rsid w:val="00A013F4"/>
    <w:rsid w:val="00A041A3"/>
    <w:rsid w:val="00A0561C"/>
    <w:rsid w:val="00A06203"/>
    <w:rsid w:val="00A1016B"/>
    <w:rsid w:val="00A130A8"/>
    <w:rsid w:val="00A134EE"/>
    <w:rsid w:val="00A13EE1"/>
    <w:rsid w:val="00A1440D"/>
    <w:rsid w:val="00A145FF"/>
    <w:rsid w:val="00A15F43"/>
    <w:rsid w:val="00A179BF"/>
    <w:rsid w:val="00A17C1E"/>
    <w:rsid w:val="00A21014"/>
    <w:rsid w:val="00A2178F"/>
    <w:rsid w:val="00A23765"/>
    <w:rsid w:val="00A23A42"/>
    <w:rsid w:val="00A25DD0"/>
    <w:rsid w:val="00A2635A"/>
    <w:rsid w:val="00A274B5"/>
    <w:rsid w:val="00A3091D"/>
    <w:rsid w:val="00A33162"/>
    <w:rsid w:val="00A33FA3"/>
    <w:rsid w:val="00A36A7B"/>
    <w:rsid w:val="00A433B0"/>
    <w:rsid w:val="00A478B9"/>
    <w:rsid w:val="00A47F36"/>
    <w:rsid w:val="00A54435"/>
    <w:rsid w:val="00A55C30"/>
    <w:rsid w:val="00A562AD"/>
    <w:rsid w:val="00A565CA"/>
    <w:rsid w:val="00A570DD"/>
    <w:rsid w:val="00A57CA3"/>
    <w:rsid w:val="00A60123"/>
    <w:rsid w:val="00A64CB3"/>
    <w:rsid w:val="00A710F2"/>
    <w:rsid w:val="00A73687"/>
    <w:rsid w:val="00A73B3F"/>
    <w:rsid w:val="00A7464C"/>
    <w:rsid w:val="00A74A96"/>
    <w:rsid w:val="00A759CC"/>
    <w:rsid w:val="00A77628"/>
    <w:rsid w:val="00A777FF"/>
    <w:rsid w:val="00A82B7E"/>
    <w:rsid w:val="00A83637"/>
    <w:rsid w:val="00A873F0"/>
    <w:rsid w:val="00A9041F"/>
    <w:rsid w:val="00A926FA"/>
    <w:rsid w:val="00A9352E"/>
    <w:rsid w:val="00A93CD5"/>
    <w:rsid w:val="00A966F9"/>
    <w:rsid w:val="00A96934"/>
    <w:rsid w:val="00AA0D56"/>
    <w:rsid w:val="00AA10BC"/>
    <w:rsid w:val="00AA2BD4"/>
    <w:rsid w:val="00AA6A6D"/>
    <w:rsid w:val="00AA6F6E"/>
    <w:rsid w:val="00AB15FE"/>
    <w:rsid w:val="00AB1B04"/>
    <w:rsid w:val="00AB4E34"/>
    <w:rsid w:val="00AB575A"/>
    <w:rsid w:val="00AC017B"/>
    <w:rsid w:val="00AC0F66"/>
    <w:rsid w:val="00AC110A"/>
    <w:rsid w:val="00AC356B"/>
    <w:rsid w:val="00AC38B8"/>
    <w:rsid w:val="00AC3965"/>
    <w:rsid w:val="00AC4AC9"/>
    <w:rsid w:val="00AC59D9"/>
    <w:rsid w:val="00AC5C03"/>
    <w:rsid w:val="00AC739B"/>
    <w:rsid w:val="00AD1F49"/>
    <w:rsid w:val="00AD36F7"/>
    <w:rsid w:val="00AD67C9"/>
    <w:rsid w:val="00AE153C"/>
    <w:rsid w:val="00AE446D"/>
    <w:rsid w:val="00AE6CE0"/>
    <w:rsid w:val="00AF19D9"/>
    <w:rsid w:val="00AF2974"/>
    <w:rsid w:val="00AF377A"/>
    <w:rsid w:val="00AF3D5D"/>
    <w:rsid w:val="00AF4706"/>
    <w:rsid w:val="00AF4912"/>
    <w:rsid w:val="00AF5175"/>
    <w:rsid w:val="00AF5F98"/>
    <w:rsid w:val="00AF65FF"/>
    <w:rsid w:val="00AF66A6"/>
    <w:rsid w:val="00B03C14"/>
    <w:rsid w:val="00B055D4"/>
    <w:rsid w:val="00B108A5"/>
    <w:rsid w:val="00B10DB9"/>
    <w:rsid w:val="00B131B8"/>
    <w:rsid w:val="00B16867"/>
    <w:rsid w:val="00B178BE"/>
    <w:rsid w:val="00B21162"/>
    <w:rsid w:val="00B21581"/>
    <w:rsid w:val="00B21825"/>
    <w:rsid w:val="00B24184"/>
    <w:rsid w:val="00B25747"/>
    <w:rsid w:val="00B25DF8"/>
    <w:rsid w:val="00B2621F"/>
    <w:rsid w:val="00B267D7"/>
    <w:rsid w:val="00B26A8A"/>
    <w:rsid w:val="00B275CD"/>
    <w:rsid w:val="00B30A16"/>
    <w:rsid w:val="00B3200A"/>
    <w:rsid w:val="00B33C8A"/>
    <w:rsid w:val="00B3451E"/>
    <w:rsid w:val="00B40E76"/>
    <w:rsid w:val="00B41E9A"/>
    <w:rsid w:val="00B41F59"/>
    <w:rsid w:val="00B42E18"/>
    <w:rsid w:val="00B42F56"/>
    <w:rsid w:val="00B475CF"/>
    <w:rsid w:val="00B517EB"/>
    <w:rsid w:val="00B5208D"/>
    <w:rsid w:val="00B52EA1"/>
    <w:rsid w:val="00B530AD"/>
    <w:rsid w:val="00B53C94"/>
    <w:rsid w:val="00B55010"/>
    <w:rsid w:val="00B5664B"/>
    <w:rsid w:val="00B56C6E"/>
    <w:rsid w:val="00B577A8"/>
    <w:rsid w:val="00B57C6C"/>
    <w:rsid w:val="00B606CC"/>
    <w:rsid w:val="00B62915"/>
    <w:rsid w:val="00B64794"/>
    <w:rsid w:val="00B65819"/>
    <w:rsid w:val="00B71CCD"/>
    <w:rsid w:val="00B77B63"/>
    <w:rsid w:val="00B82D68"/>
    <w:rsid w:val="00B915A1"/>
    <w:rsid w:val="00B9166F"/>
    <w:rsid w:val="00B95FA3"/>
    <w:rsid w:val="00BA14EB"/>
    <w:rsid w:val="00BA1ECF"/>
    <w:rsid w:val="00BA530F"/>
    <w:rsid w:val="00BA5E6E"/>
    <w:rsid w:val="00BB0009"/>
    <w:rsid w:val="00BB0FDA"/>
    <w:rsid w:val="00BB13B6"/>
    <w:rsid w:val="00BB4725"/>
    <w:rsid w:val="00BB53D3"/>
    <w:rsid w:val="00BC08D4"/>
    <w:rsid w:val="00BC14EE"/>
    <w:rsid w:val="00BC230A"/>
    <w:rsid w:val="00BC2357"/>
    <w:rsid w:val="00BC3320"/>
    <w:rsid w:val="00BC3AEA"/>
    <w:rsid w:val="00BD3350"/>
    <w:rsid w:val="00BD4A1E"/>
    <w:rsid w:val="00BE2C85"/>
    <w:rsid w:val="00BE2DCC"/>
    <w:rsid w:val="00BE369A"/>
    <w:rsid w:val="00BE57A9"/>
    <w:rsid w:val="00BF0C07"/>
    <w:rsid w:val="00BF13D5"/>
    <w:rsid w:val="00BF33CA"/>
    <w:rsid w:val="00C007A0"/>
    <w:rsid w:val="00C0262C"/>
    <w:rsid w:val="00C031CB"/>
    <w:rsid w:val="00C03DBC"/>
    <w:rsid w:val="00C0644E"/>
    <w:rsid w:val="00C066EB"/>
    <w:rsid w:val="00C102B0"/>
    <w:rsid w:val="00C12E8D"/>
    <w:rsid w:val="00C147DF"/>
    <w:rsid w:val="00C20CAD"/>
    <w:rsid w:val="00C212AA"/>
    <w:rsid w:val="00C2489F"/>
    <w:rsid w:val="00C26557"/>
    <w:rsid w:val="00C26B31"/>
    <w:rsid w:val="00C26DF7"/>
    <w:rsid w:val="00C332AB"/>
    <w:rsid w:val="00C33813"/>
    <w:rsid w:val="00C33CC2"/>
    <w:rsid w:val="00C33D3A"/>
    <w:rsid w:val="00C4065E"/>
    <w:rsid w:val="00C41C5A"/>
    <w:rsid w:val="00C43BC5"/>
    <w:rsid w:val="00C4732A"/>
    <w:rsid w:val="00C51B07"/>
    <w:rsid w:val="00C52D42"/>
    <w:rsid w:val="00C53013"/>
    <w:rsid w:val="00C61A76"/>
    <w:rsid w:val="00C646EE"/>
    <w:rsid w:val="00C676E6"/>
    <w:rsid w:val="00C67A3D"/>
    <w:rsid w:val="00C714BB"/>
    <w:rsid w:val="00C7180C"/>
    <w:rsid w:val="00C71CCE"/>
    <w:rsid w:val="00C73B88"/>
    <w:rsid w:val="00C75702"/>
    <w:rsid w:val="00C75E89"/>
    <w:rsid w:val="00C80824"/>
    <w:rsid w:val="00C82C22"/>
    <w:rsid w:val="00C86E65"/>
    <w:rsid w:val="00C93876"/>
    <w:rsid w:val="00C94A14"/>
    <w:rsid w:val="00C94F9A"/>
    <w:rsid w:val="00C96953"/>
    <w:rsid w:val="00CA3402"/>
    <w:rsid w:val="00CB1258"/>
    <w:rsid w:val="00CB2BDE"/>
    <w:rsid w:val="00CB36EE"/>
    <w:rsid w:val="00CC382D"/>
    <w:rsid w:val="00CC44D6"/>
    <w:rsid w:val="00CC4F62"/>
    <w:rsid w:val="00CC5009"/>
    <w:rsid w:val="00CD09AA"/>
    <w:rsid w:val="00CD2301"/>
    <w:rsid w:val="00CD315E"/>
    <w:rsid w:val="00CD3D84"/>
    <w:rsid w:val="00CD7EFB"/>
    <w:rsid w:val="00CE0252"/>
    <w:rsid w:val="00CE2399"/>
    <w:rsid w:val="00CE345A"/>
    <w:rsid w:val="00CE5F56"/>
    <w:rsid w:val="00CE76DB"/>
    <w:rsid w:val="00CF390E"/>
    <w:rsid w:val="00CF52FE"/>
    <w:rsid w:val="00CF5485"/>
    <w:rsid w:val="00CF63E7"/>
    <w:rsid w:val="00CF6A37"/>
    <w:rsid w:val="00CF7232"/>
    <w:rsid w:val="00CF7CD9"/>
    <w:rsid w:val="00D0053B"/>
    <w:rsid w:val="00D01E74"/>
    <w:rsid w:val="00D0327A"/>
    <w:rsid w:val="00D0549D"/>
    <w:rsid w:val="00D061C8"/>
    <w:rsid w:val="00D06ACE"/>
    <w:rsid w:val="00D1015D"/>
    <w:rsid w:val="00D136E9"/>
    <w:rsid w:val="00D139AE"/>
    <w:rsid w:val="00D262A9"/>
    <w:rsid w:val="00D27050"/>
    <w:rsid w:val="00D276C8"/>
    <w:rsid w:val="00D31CFE"/>
    <w:rsid w:val="00D3428D"/>
    <w:rsid w:val="00D40E05"/>
    <w:rsid w:val="00D426A3"/>
    <w:rsid w:val="00D43A57"/>
    <w:rsid w:val="00D44EA9"/>
    <w:rsid w:val="00D4555C"/>
    <w:rsid w:val="00D46F95"/>
    <w:rsid w:val="00D474F4"/>
    <w:rsid w:val="00D478FC"/>
    <w:rsid w:val="00D5171E"/>
    <w:rsid w:val="00D522FD"/>
    <w:rsid w:val="00D535B4"/>
    <w:rsid w:val="00D53D29"/>
    <w:rsid w:val="00D609D9"/>
    <w:rsid w:val="00D63C36"/>
    <w:rsid w:val="00D657D5"/>
    <w:rsid w:val="00D66939"/>
    <w:rsid w:val="00D70353"/>
    <w:rsid w:val="00D70CB6"/>
    <w:rsid w:val="00D72B13"/>
    <w:rsid w:val="00D73574"/>
    <w:rsid w:val="00D7482F"/>
    <w:rsid w:val="00D8002B"/>
    <w:rsid w:val="00D804D5"/>
    <w:rsid w:val="00D84493"/>
    <w:rsid w:val="00D906DE"/>
    <w:rsid w:val="00D92F70"/>
    <w:rsid w:val="00D93585"/>
    <w:rsid w:val="00D962AF"/>
    <w:rsid w:val="00DA0090"/>
    <w:rsid w:val="00DA00ED"/>
    <w:rsid w:val="00DA133F"/>
    <w:rsid w:val="00DA282E"/>
    <w:rsid w:val="00DA35F8"/>
    <w:rsid w:val="00DA55E1"/>
    <w:rsid w:val="00DA5938"/>
    <w:rsid w:val="00DA72C0"/>
    <w:rsid w:val="00DA7F08"/>
    <w:rsid w:val="00DB0D9F"/>
    <w:rsid w:val="00DB173D"/>
    <w:rsid w:val="00DB2A11"/>
    <w:rsid w:val="00DC0FDE"/>
    <w:rsid w:val="00DC1285"/>
    <w:rsid w:val="00DC2333"/>
    <w:rsid w:val="00DC3E96"/>
    <w:rsid w:val="00DC7C13"/>
    <w:rsid w:val="00DD0A12"/>
    <w:rsid w:val="00DD143A"/>
    <w:rsid w:val="00DD2B77"/>
    <w:rsid w:val="00DD2BC1"/>
    <w:rsid w:val="00DD32E5"/>
    <w:rsid w:val="00DD41CC"/>
    <w:rsid w:val="00DD5BA0"/>
    <w:rsid w:val="00DD6B0A"/>
    <w:rsid w:val="00DD777F"/>
    <w:rsid w:val="00DE03D6"/>
    <w:rsid w:val="00DE1E67"/>
    <w:rsid w:val="00DE219D"/>
    <w:rsid w:val="00DE4757"/>
    <w:rsid w:val="00DE5488"/>
    <w:rsid w:val="00DE72EA"/>
    <w:rsid w:val="00DE7504"/>
    <w:rsid w:val="00DF18D4"/>
    <w:rsid w:val="00DF7478"/>
    <w:rsid w:val="00E02C12"/>
    <w:rsid w:val="00E02CA9"/>
    <w:rsid w:val="00E03423"/>
    <w:rsid w:val="00E054DB"/>
    <w:rsid w:val="00E063B4"/>
    <w:rsid w:val="00E15728"/>
    <w:rsid w:val="00E15AFA"/>
    <w:rsid w:val="00E20234"/>
    <w:rsid w:val="00E21B83"/>
    <w:rsid w:val="00E24E38"/>
    <w:rsid w:val="00E275EF"/>
    <w:rsid w:val="00E30893"/>
    <w:rsid w:val="00E30EFC"/>
    <w:rsid w:val="00E315A7"/>
    <w:rsid w:val="00E31EED"/>
    <w:rsid w:val="00E33F17"/>
    <w:rsid w:val="00E35D4E"/>
    <w:rsid w:val="00E40BDB"/>
    <w:rsid w:val="00E4632D"/>
    <w:rsid w:val="00E505D8"/>
    <w:rsid w:val="00E520D1"/>
    <w:rsid w:val="00E52292"/>
    <w:rsid w:val="00E5383E"/>
    <w:rsid w:val="00E53C1E"/>
    <w:rsid w:val="00E54B7F"/>
    <w:rsid w:val="00E559CD"/>
    <w:rsid w:val="00E5639B"/>
    <w:rsid w:val="00E56BF7"/>
    <w:rsid w:val="00E56ED2"/>
    <w:rsid w:val="00E6025E"/>
    <w:rsid w:val="00E611BA"/>
    <w:rsid w:val="00E643B8"/>
    <w:rsid w:val="00E655B8"/>
    <w:rsid w:val="00E65693"/>
    <w:rsid w:val="00E66216"/>
    <w:rsid w:val="00E7195E"/>
    <w:rsid w:val="00E7211E"/>
    <w:rsid w:val="00E72675"/>
    <w:rsid w:val="00E72DF6"/>
    <w:rsid w:val="00E73CCA"/>
    <w:rsid w:val="00E7431C"/>
    <w:rsid w:val="00E77758"/>
    <w:rsid w:val="00E8189E"/>
    <w:rsid w:val="00E822C0"/>
    <w:rsid w:val="00E835AF"/>
    <w:rsid w:val="00E84CFD"/>
    <w:rsid w:val="00E8665D"/>
    <w:rsid w:val="00E86815"/>
    <w:rsid w:val="00E92BFD"/>
    <w:rsid w:val="00E92FB3"/>
    <w:rsid w:val="00EA4347"/>
    <w:rsid w:val="00EA4DE9"/>
    <w:rsid w:val="00EA654F"/>
    <w:rsid w:val="00EA67D6"/>
    <w:rsid w:val="00EA6CFD"/>
    <w:rsid w:val="00EA73AC"/>
    <w:rsid w:val="00EA7641"/>
    <w:rsid w:val="00EB04AE"/>
    <w:rsid w:val="00EB0D2F"/>
    <w:rsid w:val="00EB1DD8"/>
    <w:rsid w:val="00EB3B83"/>
    <w:rsid w:val="00EB3C2A"/>
    <w:rsid w:val="00EB4422"/>
    <w:rsid w:val="00EB5367"/>
    <w:rsid w:val="00EB5CD1"/>
    <w:rsid w:val="00EB5D84"/>
    <w:rsid w:val="00EB6C07"/>
    <w:rsid w:val="00EB7F79"/>
    <w:rsid w:val="00EC1887"/>
    <w:rsid w:val="00EC69B8"/>
    <w:rsid w:val="00ED0D23"/>
    <w:rsid w:val="00ED2599"/>
    <w:rsid w:val="00ED2CF8"/>
    <w:rsid w:val="00ED4FDB"/>
    <w:rsid w:val="00ED5FE7"/>
    <w:rsid w:val="00ED6A8D"/>
    <w:rsid w:val="00ED6CD6"/>
    <w:rsid w:val="00ED7083"/>
    <w:rsid w:val="00EE3032"/>
    <w:rsid w:val="00EE3D9E"/>
    <w:rsid w:val="00EE4BD4"/>
    <w:rsid w:val="00EE51A8"/>
    <w:rsid w:val="00EE624B"/>
    <w:rsid w:val="00EF103C"/>
    <w:rsid w:val="00EF1E5D"/>
    <w:rsid w:val="00EF517F"/>
    <w:rsid w:val="00EF7207"/>
    <w:rsid w:val="00F000E2"/>
    <w:rsid w:val="00F028D1"/>
    <w:rsid w:val="00F039F8"/>
    <w:rsid w:val="00F0567C"/>
    <w:rsid w:val="00F05BC8"/>
    <w:rsid w:val="00F07D92"/>
    <w:rsid w:val="00F10760"/>
    <w:rsid w:val="00F12893"/>
    <w:rsid w:val="00F13282"/>
    <w:rsid w:val="00F1478D"/>
    <w:rsid w:val="00F16613"/>
    <w:rsid w:val="00F201A5"/>
    <w:rsid w:val="00F20776"/>
    <w:rsid w:val="00F20928"/>
    <w:rsid w:val="00F20F90"/>
    <w:rsid w:val="00F26698"/>
    <w:rsid w:val="00F26E90"/>
    <w:rsid w:val="00F3043C"/>
    <w:rsid w:val="00F31463"/>
    <w:rsid w:val="00F34A81"/>
    <w:rsid w:val="00F3571A"/>
    <w:rsid w:val="00F35E5A"/>
    <w:rsid w:val="00F404EB"/>
    <w:rsid w:val="00F41474"/>
    <w:rsid w:val="00F4159A"/>
    <w:rsid w:val="00F450F3"/>
    <w:rsid w:val="00F46725"/>
    <w:rsid w:val="00F50F65"/>
    <w:rsid w:val="00F5213A"/>
    <w:rsid w:val="00F5388E"/>
    <w:rsid w:val="00F5495B"/>
    <w:rsid w:val="00F56F9F"/>
    <w:rsid w:val="00F57020"/>
    <w:rsid w:val="00F57523"/>
    <w:rsid w:val="00F57E83"/>
    <w:rsid w:val="00F60A47"/>
    <w:rsid w:val="00F612A6"/>
    <w:rsid w:val="00F64239"/>
    <w:rsid w:val="00F6734F"/>
    <w:rsid w:val="00F74BA1"/>
    <w:rsid w:val="00F8051F"/>
    <w:rsid w:val="00F815BD"/>
    <w:rsid w:val="00F82F77"/>
    <w:rsid w:val="00F8412E"/>
    <w:rsid w:val="00F857C4"/>
    <w:rsid w:val="00F87933"/>
    <w:rsid w:val="00F91050"/>
    <w:rsid w:val="00F91C35"/>
    <w:rsid w:val="00F91D4D"/>
    <w:rsid w:val="00F929BC"/>
    <w:rsid w:val="00F93DEC"/>
    <w:rsid w:val="00F94439"/>
    <w:rsid w:val="00FB0202"/>
    <w:rsid w:val="00FB0F49"/>
    <w:rsid w:val="00FB20F6"/>
    <w:rsid w:val="00FB2847"/>
    <w:rsid w:val="00FB33F0"/>
    <w:rsid w:val="00FB4F4A"/>
    <w:rsid w:val="00FC0184"/>
    <w:rsid w:val="00FC2681"/>
    <w:rsid w:val="00FC364A"/>
    <w:rsid w:val="00FC4498"/>
    <w:rsid w:val="00FC5ACE"/>
    <w:rsid w:val="00FC6106"/>
    <w:rsid w:val="00FD157B"/>
    <w:rsid w:val="00FD28B4"/>
    <w:rsid w:val="00FD5F59"/>
    <w:rsid w:val="00FD5F69"/>
    <w:rsid w:val="00FD62AA"/>
    <w:rsid w:val="00FD752A"/>
    <w:rsid w:val="00FF05D5"/>
    <w:rsid w:val="00FF2272"/>
    <w:rsid w:val="00FF2D8F"/>
    <w:rsid w:val="00FF4667"/>
    <w:rsid w:val="00FF4879"/>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BEB75DD"/>
  <w15:chartTrackingRefBased/>
  <w15:docId w15:val="{53D907C8-28FB-48E7-990A-4FBE1E19A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9E3D2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rsid w:val="009C1A1C"/>
    <w:pPr>
      <w:autoSpaceDE w:val="0"/>
      <w:autoSpaceDN w:val="0"/>
      <w:adjustRightInd w:val="0"/>
    </w:pPr>
    <w:rPr>
      <w:color w:val="000000"/>
      <w:sz w:val="24"/>
      <w:szCs w:val="24"/>
    </w:rPr>
  </w:style>
  <w:style w:type="paragraph" w:styleId="FootnoteText">
    <w:name w:val="footnote text"/>
    <w:basedOn w:val="Normal"/>
    <w:link w:val="FootnoteTextChar"/>
    <w:uiPriority w:val="99"/>
    <w:rsid w:val="00AC0F66"/>
    <w:rPr>
      <w:sz w:val="20"/>
      <w:szCs w:val="20"/>
    </w:rPr>
  </w:style>
  <w:style w:type="character" w:customStyle="1" w:styleId="FootnoteTextChar">
    <w:name w:val="Footnote Text Char"/>
    <w:basedOn w:val="DefaultParagraphFont"/>
    <w:link w:val="FootnoteText"/>
    <w:uiPriority w:val="99"/>
    <w:rsid w:val="00AC0F66"/>
    <w:rPr>
      <w:lang w:val="lt-LT" w:eastAsia="lt-LT"/>
    </w:rPr>
  </w:style>
  <w:style w:type="character" w:styleId="FootnoteReference">
    <w:name w:val="footnote reference"/>
    <w:uiPriority w:val="99"/>
    <w:rsid w:val="00AC0F66"/>
    <w:rPr>
      <w:vertAlign w:val="superscript"/>
    </w:rPr>
  </w:style>
  <w:style w:type="character" w:styleId="Emphasis">
    <w:name w:val="Emphasis"/>
    <w:basedOn w:val="DefaultParagraphFont"/>
    <w:qFormat/>
    <w:rsid w:val="009E3D2A"/>
    <w:rPr>
      <w:i/>
      <w:iCs/>
    </w:rPr>
  </w:style>
  <w:style w:type="character" w:customStyle="1" w:styleId="Heading1Char">
    <w:name w:val="Heading 1 Char"/>
    <w:basedOn w:val="DefaultParagraphFont"/>
    <w:link w:val="Heading1"/>
    <w:rsid w:val="009E3D2A"/>
    <w:rPr>
      <w:rFonts w:asciiTheme="majorHAnsi" w:eastAsiaTheme="majorEastAsia" w:hAnsiTheme="majorHAnsi" w:cstheme="majorBidi"/>
      <w:color w:val="2E74B5" w:themeColor="accent1" w:themeShade="BF"/>
      <w:sz w:val="32"/>
      <w:szCs w:val="3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839536999">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cblt@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eurostat/databrowser/view/prc_hicp_midx/default/table?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22C1E-80B7-4655-8288-F41F743A8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9343</Words>
  <Characters>53260</Characters>
  <Application>Microsoft Office Word</Application>
  <DocSecurity>0</DocSecurity>
  <Lines>443</Lines>
  <Paragraphs>124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3</cp:revision>
  <cp:lastPrinted>2020-06-05T06:08:00Z</cp:lastPrinted>
  <dcterms:created xsi:type="dcterms:W3CDTF">2023-10-06T11:22:00Z</dcterms:created>
  <dcterms:modified xsi:type="dcterms:W3CDTF">2023-10-06T11:25:00Z</dcterms:modified>
</cp:coreProperties>
</file>