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929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9929"/>
      </w:tblGrid>
      <w:tr w:rsidR="00424D41" w:rsidRPr="001F4359" w14:paraId="6E7A4FE4" w14:textId="77777777" w:rsidTr="001F5A5C">
        <w:trPr>
          <w:trHeight w:val="75"/>
        </w:trPr>
        <w:tc>
          <w:tcPr>
            <w:tcW w:w="9929" w:type="dxa"/>
            <w:shd w:val="clear" w:color="auto" w:fill="auto"/>
          </w:tcPr>
          <w:p w14:paraId="6E7A4FE3" w14:textId="77777777" w:rsidR="00424D41" w:rsidRPr="001F4359" w:rsidRDefault="00424D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E7A4FE5" w14:textId="77777777" w:rsidR="00424D41" w:rsidRPr="001F5A5C" w:rsidRDefault="00424D41">
      <w:pPr>
        <w:pStyle w:val="LO-Normal"/>
        <w:spacing w:after="0" w:line="100" w:lineRule="atLeast"/>
        <w:jc w:val="center"/>
        <w:rPr>
          <w:b/>
        </w:rPr>
      </w:pPr>
      <w:r w:rsidRPr="001F5A5C">
        <w:rPr>
          <w:b/>
        </w:rPr>
        <w:t>SUSITARIMAS</w:t>
      </w:r>
      <w:r w:rsidR="00B612D9" w:rsidRPr="001F5A5C">
        <w:rPr>
          <w:b/>
        </w:rPr>
        <w:t xml:space="preserve"> NR. </w:t>
      </w:r>
      <w:r w:rsidR="008F2D9F" w:rsidRPr="001F5A5C">
        <w:rPr>
          <w:b/>
        </w:rPr>
        <w:t>1</w:t>
      </w:r>
    </w:p>
    <w:p w14:paraId="6E7A4FE6" w14:textId="5E4D223D" w:rsidR="00424D41" w:rsidRPr="001F5A5C" w:rsidRDefault="00424D41">
      <w:pPr>
        <w:pStyle w:val="LO-Normal"/>
        <w:spacing w:after="0" w:line="100" w:lineRule="atLeast"/>
        <w:jc w:val="center"/>
        <w:rPr>
          <w:b/>
        </w:rPr>
      </w:pPr>
      <w:r w:rsidRPr="001F5A5C">
        <w:rPr>
          <w:b/>
        </w:rPr>
        <w:t xml:space="preserve">DĖL </w:t>
      </w:r>
      <w:r w:rsidR="008F2D9F" w:rsidRPr="001F5A5C">
        <w:rPr>
          <w:b/>
        </w:rPr>
        <w:t xml:space="preserve">2022 m. rugpjūčio 24 d. PIRKIMO SUTARTIES </w:t>
      </w:r>
      <w:r w:rsidRPr="001F5A5C">
        <w:rPr>
          <w:b/>
          <w:bCs/>
        </w:rPr>
        <w:t xml:space="preserve">NR. </w:t>
      </w:r>
      <w:r w:rsidR="008F2D9F" w:rsidRPr="001F5A5C">
        <w:rPr>
          <w:b/>
          <w:bCs/>
        </w:rPr>
        <w:t>CPO220982/U-420</w:t>
      </w:r>
      <w:r w:rsidRPr="001F5A5C">
        <w:rPr>
          <w:b/>
          <w:bCs/>
          <w:spacing w:val="24"/>
          <w:lang w:val="en-US"/>
        </w:rPr>
        <w:t xml:space="preserve"> </w:t>
      </w:r>
      <w:r w:rsidR="00B612D9" w:rsidRPr="001F5A5C">
        <w:rPr>
          <w:b/>
        </w:rPr>
        <w:t xml:space="preserve">PIRKIMO </w:t>
      </w:r>
      <w:r w:rsidRPr="001F5A5C">
        <w:rPr>
          <w:b/>
        </w:rPr>
        <w:t>SUTARTIES P</w:t>
      </w:r>
      <w:r w:rsidR="00655D6F">
        <w:rPr>
          <w:b/>
        </w:rPr>
        <w:t>AKEITIMO</w:t>
      </w:r>
    </w:p>
    <w:p w14:paraId="6E7A4FE7" w14:textId="77777777" w:rsidR="00424D41" w:rsidRPr="001F5A5C" w:rsidRDefault="00424D41">
      <w:pPr>
        <w:pStyle w:val="LO-Normal"/>
        <w:spacing w:after="0" w:line="100" w:lineRule="atLeast"/>
        <w:jc w:val="center"/>
        <w:rPr>
          <w:b/>
          <w:sz w:val="20"/>
          <w:szCs w:val="20"/>
        </w:rPr>
      </w:pPr>
    </w:p>
    <w:p w14:paraId="4538DF80" w14:textId="77777777" w:rsidR="00655D6F" w:rsidRDefault="00424D41">
      <w:pPr>
        <w:pStyle w:val="LO-Normal"/>
        <w:spacing w:after="0" w:line="100" w:lineRule="atLeast"/>
        <w:jc w:val="center"/>
      </w:pPr>
      <w:r w:rsidRPr="001F5A5C">
        <w:rPr>
          <w:bCs/>
        </w:rPr>
        <w:t>20</w:t>
      </w:r>
      <w:r w:rsidR="00A30E75" w:rsidRPr="001F5A5C">
        <w:rPr>
          <w:bCs/>
        </w:rPr>
        <w:t xml:space="preserve">23-10 -      </w:t>
      </w:r>
      <w:r w:rsidRPr="001F5A5C">
        <w:t xml:space="preserve"> </w:t>
      </w:r>
    </w:p>
    <w:p w14:paraId="6E7A4FE8" w14:textId="31E2FADB" w:rsidR="00424D41" w:rsidRPr="001F5A5C" w:rsidRDefault="00424D41">
      <w:pPr>
        <w:pStyle w:val="LO-Normal"/>
        <w:spacing w:after="0" w:line="100" w:lineRule="atLeast"/>
        <w:jc w:val="center"/>
      </w:pPr>
      <w:r w:rsidRPr="001F5A5C">
        <w:t>Vilnius</w:t>
      </w:r>
    </w:p>
    <w:p w14:paraId="6E7A4FE9" w14:textId="77777777" w:rsidR="00424D41" w:rsidRPr="001F5A5C" w:rsidRDefault="00424D41">
      <w:pPr>
        <w:pStyle w:val="LO-Normal"/>
        <w:tabs>
          <w:tab w:val="left" w:pos="709"/>
          <w:tab w:val="left" w:pos="851"/>
          <w:tab w:val="left" w:pos="1191"/>
          <w:tab w:val="left" w:pos="4820"/>
          <w:tab w:val="left" w:pos="6010"/>
          <w:tab w:val="left" w:pos="7258"/>
        </w:tabs>
        <w:spacing w:after="0" w:line="100" w:lineRule="atLeast"/>
        <w:ind w:firstLine="709"/>
        <w:jc w:val="both"/>
        <w:rPr>
          <w:sz w:val="20"/>
          <w:szCs w:val="20"/>
        </w:rPr>
      </w:pPr>
    </w:p>
    <w:p w14:paraId="6E7A4FEA" w14:textId="4D37B366" w:rsidR="00424D41" w:rsidRPr="001F5A5C" w:rsidRDefault="00424D41" w:rsidP="001F5A5C">
      <w:pPr>
        <w:pStyle w:val="LO-Normal"/>
        <w:spacing w:after="0" w:line="100" w:lineRule="atLeast"/>
        <w:ind w:firstLine="709"/>
        <w:jc w:val="both"/>
      </w:pPr>
      <w:r w:rsidRPr="001F5A5C">
        <w:rPr>
          <w:b/>
          <w:bCs/>
        </w:rPr>
        <w:t>UAB „</w:t>
      </w:r>
      <w:proofErr w:type="spellStart"/>
      <w:r w:rsidRPr="001F5A5C">
        <w:rPr>
          <w:b/>
          <w:bCs/>
        </w:rPr>
        <w:t>Ignitis</w:t>
      </w:r>
      <w:proofErr w:type="spellEnd"/>
      <w:r w:rsidRPr="001F5A5C">
        <w:rPr>
          <w:b/>
          <w:bCs/>
        </w:rPr>
        <w:t>“</w:t>
      </w:r>
      <w:r w:rsidRPr="001F5A5C">
        <w:t xml:space="preserve"> (toliau </w:t>
      </w:r>
      <w:r w:rsidR="00B612D9" w:rsidRPr="001F5A5C">
        <w:t>–</w:t>
      </w:r>
      <w:r w:rsidRPr="001F5A5C">
        <w:t xml:space="preserve"> Tiekėjas), kuriai atstovauja Verslo </w:t>
      </w:r>
      <w:r w:rsidR="00E02DD2" w:rsidRPr="001F5A5C">
        <w:t>klientų ir plėtros tarnybos vadovas</w:t>
      </w:r>
      <w:r w:rsidR="00655D6F">
        <w:t xml:space="preserve"> Haroldas Nausėda</w:t>
      </w:r>
      <w:r w:rsidRPr="001F5A5C">
        <w:t>, veikiantis pagal 20</w:t>
      </w:r>
      <w:r w:rsidR="00E02DD2" w:rsidRPr="001F5A5C">
        <w:t>23</w:t>
      </w:r>
      <w:r w:rsidR="008F2D9F" w:rsidRPr="001F5A5C">
        <w:t xml:space="preserve">-08-02 </w:t>
      </w:r>
      <w:r w:rsidRPr="001F5A5C">
        <w:t xml:space="preserve">įgaliojimą </w:t>
      </w:r>
      <w:r w:rsidR="008F2D9F" w:rsidRPr="001F5A5C">
        <w:rPr>
          <w:rStyle w:val="ui-provider"/>
        </w:rPr>
        <w:t>Nr. 23_IGN_IG_0044</w:t>
      </w:r>
      <w:r w:rsidRPr="001F5A5C">
        <w:t>,</w:t>
      </w:r>
      <w:r w:rsidR="001F5A5C">
        <w:t xml:space="preserve"> </w:t>
      </w:r>
      <w:r w:rsidRPr="001F5A5C">
        <w:t>ir</w:t>
      </w:r>
    </w:p>
    <w:p w14:paraId="6E7A4FEB" w14:textId="5F711302" w:rsidR="00424D41" w:rsidRPr="001F5A5C" w:rsidRDefault="008F2D9F">
      <w:pPr>
        <w:pStyle w:val="LO-Normal"/>
        <w:spacing w:after="0" w:line="100" w:lineRule="atLeast"/>
        <w:ind w:firstLine="709"/>
        <w:jc w:val="both"/>
        <w:rPr>
          <w:i/>
        </w:rPr>
      </w:pPr>
      <w:r w:rsidRPr="001F5A5C">
        <w:rPr>
          <w:b/>
          <w:bCs/>
        </w:rPr>
        <w:t>Lietuvos kariuomenės Logistikos valdybos Įgulų aptarnavimo tarnyba</w:t>
      </w:r>
      <w:r w:rsidR="00424D41" w:rsidRPr="001F5A5C">
        <w:t xml:space="preserve"> (toliau </w:t>
      </w:r>
      <w:r w:rsidR="00B612D9" w:rsidRPr="001F5A5C">
        <w:t>–</w:t>
      </w:r>
      <w:r w:rsidR="00424D41" w:rsidRPr="001F5A5C">
        <w:t xml:space="preserve"> Užsakovas), kuriai atstovauja</w:t>
      </w:r>
      <w:r w:rsidR="00D24888" w:rsidRPr="001F5A5C">
        <w:t xml:space="preserve"> vadas plk. ltn. Mindaugas Juotkus</w:t>
      </w:r>
      <w:r w:rsidR="0060604D" w:rsidRPr="001F5A5C">
        <w:t>, veikiantis</w:t>
      </w:r>
      <w:r w:rsidR="00424D41" w:rsidRPr="001F5A5C">
        <w:t xml:space="preserve"> pagal </w:t>
      </w:r>
      <w:r w:rsidR="00655D6F">
        <w:t xml:space="preserve">Įgulų aptarnavimo </w:t>
      </w:r>
      <w:r w:rsidR="0060604D" w:rsidRPr="001F5A5C">
        <w:t>tarnybos nuostatus</w:t>
      </w:r>
      <w:r w:rsidR="00424D41" w:rsidRPr="001F5A5C">
        <w:t xml:space="preserve">, kartu vadinami </w:t>
      </w:r>
      <w:r w:rsidR="00424D41" w:rsidRPr="001F5A5C">
        <w:rPr>
          <w:bCs/>
        </w:rPr>
        <w:t>Šalimis</w:t>
      </w:r>
      <w:r w:rsidR="00424D41" w:rsidRPr="001F5A5C">
        <w:t xml:space="preserve">, o kiekvienas atskirai – </w:t>
      </w:r>
      <w:r w:rsidR="00424D41" w:rsidRPr="001F5A5C">
        <w:rPr>
          <w:bCs/>
        </w:rPr>
        <w:t>Šalimi</w:t>
      </w:r>
      <w:r w:rsidR="00424D41" w:rsidRPr="001F5A5C">
        <w:t>,</w:t>
      </w:r>
    </w:p>
    <w:p w14:paraId="6E7A4FEC" w14:textId="77777777" w:rsidR="00424D41" w:rsidRPr="001F5A5C" w:rsidRDefault="00424D41">
      <w:pPr>
        <w:pStyle w:val="LO-Normal"/>
        <w:spacing w:after="0" w:line="100" w:lineRule="atLeast"/>
        <w:ind w:left="285" w:hanging="30"/>
        <w:jc w:val="both"/>
      </w:pPr>
      <w:r w:rsidRPr="001F5A5C">
        <w:rPr>
          <w:i/>
        </w:rPr>
        <w:t>Atsižvelg</w:t>
      </w:r>
      <w:r w:rsidR="000609CE" w:rsidRPr="001F5A5C">
        <w:rPr>
          <w:i/>
        </w:rPr>
        <w:t>iant</w:t>
      </w:r>
      <w:r w:rsidRPr="001F5A5C">
        <w:rPr>
          <w:i/>
        </w:rPr>
        <w:t xml:space="preserve"> į tai, kad:</w:t>
      </w:r>
    </w:p>
    <w:p w14:paraId="6E7A4FED" w14:textId="77777777" w:rsidR="00424D41" w:rsidRPr="001F5A5C" w:rsidRDefault="000609CE">
      <w:pPr>
        <w:pStyle w:val="ListParagraph"/>
        <w:numPr>
          <w:ilvl w:val="0"/>
          <w:numId w:val="1"/>
        </w:numPr>
        <w:spacing w:after="0" w:line="100" w:lineRule="atLeast"/>
        <w:jc w:val="both"/>
      </w:pPr>
      <w:r w:rsidRPr="001F5A5C">
        <w:t xml:space="preserve">tarp </w:t>
      </w:r>
      <w:r w:rsidR="00424D41" w:rsidRPr="001F5A5C">
        <w:t>Šal</w:t>
      </w:r>
      <w:r w:rsidRPr="001F5A5C">
        <w:t xml:space="preserve">ių </w:t>
      </w:r>
      <w:r w:rsidR="001E7B32" w:rsidRPr="001F5A5C">
        <w:t>buvo</w:t>
      </w:r>
      <w:r w:rsidR="00424D41" w:rsidRPr="001F5A5C">
        <w:t xml:space="preserve"> sudar</w:t>
      </w:r>
      <w:r w:rsidRPr="001F5A5C">
        <w:t>yta</w:t>
      </w:r>
      <w:r w:rsidR="00424D41" w:rsidRPr="001F5A5C">
        <w:t xml:space="preserve"> </w:t>
      </w:r>
      <w:r w:rsidR="008F2D9F" w:rsidRPr="001F5A5C">
        <w:t>2022-08-24</w:t>
      </w:r>
      <w:r w:rsidR="00424D41" w:rsidRPr="001F5A5C">
        <w:t xml:space="preserve"> </w:t>
      </w:r>
      <w:r w:rsidR="0096588A" w:rsidRPr="001F5A5C">
        <w:t>Pirkimo</w:t>
      </w:r>
      <w:r w:rsidR="00424D41" w:rsidRPr="001F5A5C">
        <w:t xml:space="preserve"> sutart</w:t>
      </w:r>
      <w:r w:rsidRPr="001F5A5C">
        <w:t>is</w:t>
      </w:r>
      <w:r w:rsidR="00424D41" w:rsidRPr="001F5A5C">
        <w:t xml:space="preserve"> Nr. </w:t>
      </w:r>
      <w:r w:rsidR="008F2D9F" w:rsidRPr="001F5A5C">
        <w:rPr>
          <w:b/>
          <w:bCs/>
        </w:rPr>
        <w:t>CPO220982/U-420</w:t>
      </w:r>
      <w:r w:rsidR="008F2D9F" w:rsidRPr="001F5A5C">
        <w:rPr>
          <w:b/>
          <w:bCs/>
          <w:spacing w:val="24"/>
          <w:lang w:val="en-US"/>
        </w:rPr>
        <w:t xml:space="preserve"> </w:t>
      </w:r>
      <w:r w:rsidR="00734EEA" w:rsidRPr="001F5A5C">
        <w:t xml:space="preserve"> </w:t>
      </w:r>
      <w:r w:rsidR="001E7B32" w:rsidRPr="001F5A5C">
        <w:t xml:space="preserve">(toliau – Pirkimo sutartis) </w:t>
      </w:r>
      <w:r w:rsidR="00424D41" w:rsidRPr="001F5A5C">
        <w:t xml:space="preserve">dėl </w:t>
      </w:r>
      <w:r w:rsidR="00734EEA" w:rsidRPr="001F5A5C">
        <w:t>Gamtinių dujų</w:t>
      </w:r>
      <w:r w:rsidR="00424D41" w:rsidRPr="001F5A5C">
        <w:t xml:space="preserve"> </w:t>
      </w:r>
      <w:r w:rsidR="00734EEA" w:rsidRPr="001F5A5C">
        <w:t xml:space="preserve">(toliau – Prekė) </w:t>
      </w:r>
      <w:r w:rsidR="00424D41" w:rsidRPr="001F5A5C">
        <w:t>pirkimo-pardavimo</w:t>
      </w:r>
      <w:r w:rsidR="00734EEA" w:rsidRPr="001F5A5C">
        <w:t xml:space="preserve"> ir Paslaugų teikimo</w:t>
      </w:r>
      <w:r w:rsidR="00424D41" w:rsidRPr="001F5A5C">
        <w:rPr>
          <w:spacing w:val="24"/>
        </w:rPr>
        <w:t>;</w:t>
      </w:r>
    </w:p>
    <w:p w14:paraId="6E7A4FEE" w14:textId="77777777" w:rsidR="00424D41" w:rsidRPr="001F5A5C" w:rsidRDefault="00734EEA">
      <w:pPr>
        <w:pStyle w:val="ListParagraph"/>
        <w:numPr>
          <w:ilvl w:val="0"/>
          <w:numId w:val="1"/>
        </w:numPr>
        <w:spacing w:after="0" w:line="100" w:lineRule="atLeast"/>
        <w:jc w:val="both"/>
      </w:pPr>
      <w:r w:rsidRPr="001F5A5C">
        <w:t>Pirkimo</w:t>
      </w:r>
      <w:r w:rsidR="00424D41" w:rsidRPr="001F5A5C">
        <w:t xml:space="preserve"> sutarties galiojimo laikotarpiu Užsakovas nenupirko </w:t>
      </w:r>
      <w:r w:rsidRPr="001F5A5C">
        <w:t>Pirkimo</w:t>
      </w:r>
      <w:r w:rsidR="00424D41" w:rsidRPr="001F5A5C">
        <w:t xml:space="preserve"> sutarties priede nurodyto maksimalaus užsakyto Prekės kiekio;</w:t>
      </w:r>
    </w:p>
    <w:p w14:paraId="6E7A4FEF" w14:textId="77777777" w:rsidR="00424D41" w:rsidRPr="001F5A5C" w:rsidRDefault="00734EEA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spacing w:val="24"/>
        </w:rPr>
      </w:pPr>
      <w:r w:rsidRPr="001F5A5C">
        <w:t>Pirkimo</w:t>
      </w:r>
      <w:r w:rsidR="00424D41" w:rsidRPr="001F5A5C">
        <w:t xml:space="preserve"> sutarties </w:t>
      </w:r>
      <w:r w:rsidRPr="001F5A5C">
        <w:t>18.4</w:t>
      </w:r>
      <w:r w:rsidR="00424D41" w:rsidRPr="001F5A5C">
        <w:t xml:space="preserve">. punkte </w:t>
      </w:r>
      <w:r w:rsidR="00452765" w:rsidRPr="001F5A5C">
        <w:t xml:space="preserve">yra </w:t>
      </w:r>
      <w:r w:rsidR="00424D41" w:rsidRPr="001F5A5C">
        <w:t xml:space="preserve">nustatyta Šalių teisė Užsakovui </w:t>
      </w:r>
      <w:r w:rsidRPr="001F5A5C">
        <w:t>Pirkimo</w:t>
      </w:r>
      <w:r w:rsidR="00424D41" w:rsidRPr="001F5A5C">
        <w:t xml:space="preserve"> sutarties galiojimo metu nenupirkus </w:t>
      </w:r>
      <w:r w:rsidRPr="001F5A5C">
        <w:t>Pirkimo</w:t>
      </w:r>
      <w:r w:rsidR="00424D41" w:rsidRPr="001F5A5C">
        <w:t xml:space="preserve"> sutarties priede nurodyto maksimalaus užsakyto Prekės kiekio, </w:t>
      </w:r>
      <w:r w:rsidRPr="001F5A5C">
        <w:t xml:space="preserve">rašytiniu </w:t>
      </w:r>
      <w:r w:rsidR="00424D41" w:rsidRPr="001F5A5C">
        <w:t xml:space="preserve">Šalių susitarimu pratęsti </w:t>
      </w:r>
      <w:r w:rsidRPr="001F5A5C">
        <w:t>Pirkimo</w:t>
      </w:r>
      <w:r w:rsidR="00424D41" w:rsidRPr="001F5A5C">
        <w:t xml:space="preserve"> sutartį </w:t>
      </w:r>
      <w:r w:rsidR="00B21EF3" w:rsidRPr="001F5A5C">
        <w:t xml:space="preserve">tomis pačiomis sąlygomis </w:t>
      </w:r>
      <w:r w:rsidR="00424D41" w:rsidRPr="001F5A5C">
        <w:t xml:space="preserve">ne ilgesniam kaip </w:t>
      </w:r>
      <w:r w:rsidR="00D05BC3" w:rsidRPr="001F5A5C">
        <w:t>3</w:t>
      </w:r>
      <w:r w:rsidR="00424D41" w:rsidRPr="001F5A5C">
        <w:t>6 (</w:t>
      </w:r>
      <w:r w:rsidR="00D05BC3" w:rsidRPr="001F5A5C">
        <w:t xml:space="preserve">trisdešimt </w:t>
      </w:r>
      <w:r w:rsidR="00424D41" w:rsidRPr="001F5A5C">
        <w:t>šešių) mėnesių laikotarpiui</w:t>
      </w:r>
      <w:r w:rsidR="00E6363A" w:rsidRPr="001F5A5C">
        <w:t>,</w:t>
      </w:r>
    </w:p>
    <w:p w14:paraId="6E7A4FF0" w14:textId="0FF3258C" w:rsidR="00424D41" w:rsidRPr="001F5A5C" w:rsidRDefault="00424D41">
      <w:pPr>
        <w:pStyle w:val="LO-Normal"/>
        <w:tabs>
          <w:tab w:val="left" w:pos="994"/>
          <w:tab w:val="left" w:pos="1136"/>
          <w:tab w:val="left" w:pos="1476"/>
          <w:tab w:val="left" w:pos="5105"/>
          <w:tab w:val="left" w:pos="6295"/>
          <w:tab w:val="left" w:pos="7543"/>
        </w:tabs>
        <w:spacing w:after="0" w:line="100" w:lineRule="atLeast"/>
        <w:ind w:left="285"/>
        <w:jc w:val="both"/>
      </w:pPr>
      <w:r w:rsidRPr="001F5A5C">
        <w:t xml:space="preserve">Šalys sudaro šį susitarimą </w:t>
      </w:r>
      <w:r w:rsidR="00427496" w:rsidRPr="001F5A5C">
        <w:t xml:space="preserve">dėl </w:t>
      </w:r>
      <w:r w:rsidR="00D05BC3" w:rsidRPr="001F5A5C">
        <w:t>Pirkimo</w:t>
      </w:r>
      <w:r w:rsidRPr="001F5A5C">
        <w:t xml:space="preserve"> sutarties</w:t>
      </w:r>
      <w:r w:rsidR="00427496" w:rsidRPr="001F5A5C">
        <w:t xml:space="preserve"> p</w:t>
      </w:r>
      <w:r w:rsidR="00655D6F">
        <w:t>akeitimo</w:t>
      </w:r>
      <w:r w:rsidR="00427496" w:rsidRPr="001F5A5C">
        <w:t xml:space="preserve"> toliau nurodytomis sąlygomis</w:t>
      </w:r>
      <w:r w:rsidRPr="001F5A5C">
        <w:t xml:space="preserve"> (toliau </w:t>
      </w:r>
      <w:r w:rsidR="00D05BC3" w:rsidRPr="001F5A5C">
        <w:t>–</w:t>
      </w:r>
      <w:r w:rsidRPr="001F5A5C">
        <w:t xml:space="preserve"> Susitarimas):</w:t>
      </w:r>
    </w:p>
    <w:p w14:paraId="6E7A4FF1" w14:textId="0C4726D5" w:rsidR="00452765" w:rsidRPr="001F5A5C" w:rsidRDefault="00424D41" w:rsidP="001F4359">
      <w:pPr>
        <w:pStyle w:val="ListParagraph"/>
        <w:numPr>
          <w:ilvl w:val="0"/>
          <w:numId w:val="5"/>
        </w:numPr>
        <w:tabs>
          <w:tab w:val="left" w:pos="993"/>
          <w:tab w:val="left" w:pos="5540"/>
          <w:tab w:val="left" w:pos="6730"/>
          <w:tab w:val="left" w:pos="7978"/>
        </w:tabs>
        <w:spacing w:after="0" w:line="100" w:lineRule="atLeast"/>
        <w:jc w:val="both"/>
      </w:pPr>
      <w:r w:rsidRPr="001F5A5C">
        <w:t xml:space="preserve">Sutarties Šalys susitaria </w:t>
      </w:r>
      <w:r w:rsidR="00655D6F">
        <w:t>pakeisti</w:t>
      </w:r>
      <w:r w:rsidR="00452765" w:rsidRPr="001F5A5C">
        <w:t xml:space="preserve"> Pirkimo sutarties 18.3. p</w:t>
      </w:r>
      <w:r w:rsidR="00655D6F">
        <w:t>apunktį ir jį išdėstyti</w:t>
      </w:r>
      <w:r w:rsidR="00452765" w:rsidRPr="001F5A5C">
        <w:t xml:space="preserve"> taip:</w:t>
      </w:r>
    </w:p>
    <w:p w14:paraId="6E7A4FF2" w14:textId="37D618C9" w:rsidR="00452765" w:rsidRPr="001F5A5C" w:rsidRDefault="00452765" w:rsidP="00452765">
      <w:pPr>
        <w:pStyle w:val="ListParagraph"/>
        <w:tabs>
          <w:tab w:val="left" w:pos="993"/>
          <w:tab w:val="left" w:pos="5540"/>
          <w:tab w:val="left" w:pos="6730"/>
          <w:tab w:val="left" w:pos="7978"/>
        </w:tabs>
        <w:spacing w:after="0" w:line="100" w:lineRule="atLeast"/>
        <w:ind w:left="360"/>
        <w:jc w:val="both"/>
      </w:pPr>
      <w:r w:rsidRPr="001F5A5C">
        <w:t>„18.3. Prekės ir Paslaugos teik</w:t>
      </w:r>
      <w:r w:rsidR="00655D6F">
        <w:t>iamos</w:t>
      </w:r>
      <w:r w:rsidRPr="001F5A5C">
        <w:t xml:space="preserve"> nuo </w:t>
      </w:r>
      <w:r w:rsidR="008F2D9F" w:rsidRPr="001F5A5C">
        <w:t xml:space="preserve">2022-10-01 </w:t>
      </w:r>
      <w:r w:rsidRPr="001F5A5C">
        <w:t>i</w:t>
      </w:r>
      <w:r w:rsidR="008F2D9F" w:rsidRPr="001F5A5C">
        <w:t>ki</w:t>
      </w:r>
      <w:r w:rsidR="001F4359" w:rsidRPr="001F5A5C">
        <w:t xml:space="preserve"> 2024-12-31</w:t>
      </w:r>
      <w:r w:rsidRPr="001F5A5C">
        <w:t>.“</w:t>
      </w:r>
    </w:p>
    <w:p w14:paraId="6E7A4FF3" w14:textId="77777777" w:rsidR="00424D41" w:rsidRPr="001F5A5C" w:rsidRDefault="00452765" w:rsidP="001F4359">
      <w:pPr>
        <w:pStyle w:val="ListParagraph"/>
        <w:numPr>
          <w:ilvl w:val="0"/>
          <w:numId w:val="5"/>
        </w:numPr>
        <w:tabs>
          <w:tab w:val="left" w:pos="993"/>
          <w:tab w:val="left" w:pos="1571"/>
          <w:tab w:val="left" w:pos="1713"/>
          <w:tab w:val="left" w:pos="1911"/>
          <w:tab w:val="left" w:pos="5540"/>
          <w:tab w:val="left" w:pos="6730"/>
          <w:tab w:val="left" w:pos="7978"/>
        </w:tabs>
        <w:spacing w:after="0" w:line="100" w:lineRule="atLeast"/>
        <w:jc w:val="both"/>
      </w:pPr>
      <w:r w:rsidRPr="001F5A5C">
        <w:t>Visos kitos Pirkimo sutarties sąlygos lieka nepakeistos.</w:t>
      </w:r>
    </w:p>
    <w:p w14:paraId="6E7A4FF4" w14:textId="29D968D3" w:rsidR="00424D41" w:rsidRPr="001F5A5C" w:rsidRDefault="00424D41" w:rsidP="001F4359">
      <w:pPr>
        <w:pStyle w:val="ListParagraph"/>
        <w:numPr>
          <w:ilvl w:val="0"/>
          <w:numId w:val="5"/>
        </w:numPr>
        <w:tabs>
          <w:tab w:val="left" w:pos="993"/>
          <w:tab w:val="left" w:pos="1571"/>
          <w:tab w:val="left" w:pos="1713"/>
          <w:tab w:val="left" w:pos="1911"/>
          <w:tab w:val="left" w:pos="5540"/>
          <w:tab w:val="left" w:pos="6730"/>
          <w:tab w:val="left" w:pos="7978"/>
        </w:tabs>
        <w:spacing w:after="0" w:line="100" w:lineRule="atLeast"/>
        <w:jc w:val="both"/>
      </w:pPr>
      <w:r w:rsidRPr="001F5A5C">
        <w:t xml:space="preserve">Šis Susitarimas įsigalioja </w:t>
      </w:r>
      <w:r w:rsidR="007711C0" w:rsidRPr="001F5A5C">
        <w:t>ir jo sąlygos Šalių santykiams taikomos nuo jo pasirašymo dienos</w:t>
      </w:r>
      <w:r w:rsidRPr="001F5A5C">
        <w:t xml:space="preserve"> ir yra neatskiriama </w:t>
      </w:r>
      <w:r w:rsidR="00D05BC3" w:rsidRPr="001F5A5C">
        <w:t>Pirkimo s</w:t>
      </w:r>
      <w:r w:rsidRPr="001F5A5C">
        <w:t>utarties dalis</w:t>
      </w:r>
      <w:r w:rsidR="00452765" w:rsidRPr="001F5A5C">
        <w:t>, turinti Šalims tokią pačią teisinę galią kaip ir Sutartis.</w:t>
      </w:r>
    </w:p>
    <w:p w14:paraId="6E7A4FF5" w14:textId="77777777" w:rsidR="00424D41" w:rsidRPr="001F5A5C" w:rsidRDefault="00427496" w:rsidP="001F4359">
      <w:pPr>
        <w:pStyle w:val="ListParagraph"/>
        <w:numPr>
          <w:ilvl w:val="0"/>
          <w:numId w:val="5"/>
        </w:numPr>
        <w:tabs>
          <w:tab w:val="left" w:pos="993"/>
          <w:tab w:val="left" w:pos="1571"/>
          <w:tab w:val="left" w:pos="1713"/>
          <w:tab w:val="left" w:pos="1911"/>
          <w:tab w:val="left" w:pos="5540"/>
          <w:tab w:val="left" w:pos="6730"/>
          <w:tab w:val="left" w:pos="7978"/>
        </w:tabs>
        <w:spacing w:after="0" w:line="100" w:lineRule="atLeast"/>
        <w:jc w:val="both"/>
      </w:pPr>
      <w:r w:rsidRPr="001F5A5C">
        <w:t xml:space="preserve">Šis </w:t>
      </w:r>
      <w:r w:rsidR="00424D41" w:rsidRPr="001F5A5C">
        <w:t>Susitarimas sudarytas dviem vienodą juridinę gali</w:t>
      </w:r>
      <w:r w:rsidRPr="001F5A5C">
        <w:t>ą</w:t>
      </w:r>
      <w:r w:rsidR="00424D41" w:rsidRPr="001F5A5C">
        <w:t xml:space="preserve"> turinčiais egzemplioriais – po vieną kiekvienai Šaliai.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990"/>
        <w:gridCol w:w="4342"/>
      </w:tblGrid>
      <w:tr w:rsidR="001F5A5C" w:rsidRPr="001F5A5C" w14:paraId="6E7A500C" w14:textId="77777777" w:rsidTr="001F5A5C">
        <w:trPr>
          <w:trHeight w:val="2564"/>
        </w:trPr>
        <w:tc>
          <w:tcPr>
            <w:tcW w:w="4990" w:type="dxa"/>
            <w:shd w:val="clear" w:color="auto" w:fill="auto"/>
          </w:tcPr>
          <w:p w14:paraId="6E7A4FF6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/>
                <w:bCs/>
                <w:kern w:val="1"/>
                <w:lang w:eastAsia="zh-CN" w:bidi="hi-IN"/>
              </w:rPr>
            </w:pPr>
            <w:r w:rsidRPr="001F5A5C">
              <w:rPr>
                <w:b/>
                <w:bCs/>
                <w:kern w:val="1"/>
                <w:lang w:eastAsia="zh-CN" w:bidi="hi-IN"/>
              </w:rPr>
              <w:t>Užsakovo rekvizitai</w:t>
            </w:r>
          </w:p>
          <w:p w14:paraId="6E7A4FF7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/>
                <w:bCs/>
                <w:kern w:val="1"/>
                <w:lang w:eastAsia="zh-CN" w:bidi="hi-IN"/>
              </w:rPr>
            </w:pPr>
            <w:r w:rsidRPr="001F5A5C">
              <w:rPr>
                <w:b/>
                <w:bCs/>
                <w:kern w:val="1"/>
                <w:lang w:eastAsia="zh-CN" w:bidi="hi-IN"/>
              </w:rPr>
              <w:t>LK LV Įgulų aptarnavimo tarnyba</w:t>
            </w:r>
          </w:p>
          <w:p w14:paraId="6E7A4FF8" w14:textId="2B81B7D4" w:rsidR="001F5A5C" w:rsidRPr="001F5A5C" w:rsidRDefault="001F5A5C" w:rsidP="00DA7568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Mindaugo g. 26, LT-03215</w:t>
            </w:r>
            <w:r w:rsidR="00FC4225">
              <w:rPr>
                <w:bCs/>
                <w:kern w:val="1"/>
                <w:lang w:eastAsia="zh-CN" w:bidi="hi-IN"/>
              </w:rPr>
              <w:t>, Vilnius</w:t>
            </w:r>
            <w:r w:rsidRPr="001F5A5C">
              <w:rPr>
                <w:bCs/>
                <w:kern w:val="1"/>
                <w:lang w:eastAsia="zh-CN" w:bidi="hi-IN"/>
              </w:rPr>
              <w:t xml:space="preserve"> </w:t>
            </w:r>
          </w:p>
          <w:p w14:paraId="6E7A4FF9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Filialo kodas 300066843</w:t>
            </w:r>
          </w:p>
          <w:p w14:paraId="6E7A4FFA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Tel. (8 5) 278 53 43</w:t>
            </w:r>
          </w:p>
          <w:p w14:paraId="6E7A4FFB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Mokėtojo rekvizitai:</w:t>
            </w:r>
          </w:p>
          <w:p w14:paraId="6E7A4FFC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Lietuvos kariuomenė</w:t>
            </w:r>
          </w:p>
          <w:p w14:paraId="6E7A4FFD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juridinio asmens kodas 188732677</w:t>
            </w:r>
          </w:p>
          <w:p w14:paraId="6E7A4FFE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Šv. Ignoto g. 8, LT-01120 Vilnius</w:t>
            </w:r>
          </w:p>
          <w:p w14:paraId="6E7A4FFF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A.s.LT48 7300 0100 0246 0179</w:t>
            </w:r>
          </w:p>
          <w:p w14:paraId="6E7A5000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AB bankas Swedbank, banko kodas 73000</w:t>
            </w:r>
          </w:p>
          <w:p w14:paraId="6E7A5001" w14:textId="77777777" w:rsidR="001F5A5C" w:rsidRPr="001F5A5C" w:rsidRDefault="001F5A5C" w:rsidP="001F5A5C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/>
                <w:bCs/>
                <w:kern w:val="1"/>
                <w:lang w:eastAsia="zh-CN" w:bidi="hi-IN"/>
              </w:rPr>
            </w:pPr>
            <w:r w:rsidRPr="001F5A5C">
              <w:rPr>
                <w:bCs/>
                <w:kern w:val="1"/>
                <w:lang w:eastAsia="zh-CN" w:bidi="hi-IN"/>
              </w:rPr>
              <w:t>PVM mokėtojo kodas  LT887326716</w:t>
            </w:r>
          </w:p>
        </w:tc>
        <w:tc>
          <w:tcPr>
            <w:tcW w:w="4342" w:type="dxa"/>
            <w:shd w:val="clear" w:color="auto" w:fill="auto"/>
          </w:tcPr>
          <w:p w14:paraId="6E7A5002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/>
                <w:bCs/>
                <w:kern w:val="1"/>
                <w:lang w:eastAsia="zh-CN" w:bidi="hi-IN"/>
              </w:rPr>
              <w:t>Tiekėjo rekvizitai</w:t>
            </w:r>
          </w:p>
          <w:p w14:paraId="6E7A5003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/>
                <w:bCs/>
                <w:kern w:val="1"/>
                <w:lang w:eastAsia="zh-CN" w:bidi="hi-IN"/>
              </w:rPr>
              <w:t>UAB „</w:t>
            </w:r>
            <w:proofErr w:type="spellStart"/>
            <w:r w:rsidRPr="001F5A5C">
              <w:rPr>
                <w:rFonts w:eastAsia="SimSun"/>
                <w:b/>
                <w:bCs/>
                <w:kern w:val="1"/>
                <w:lang w:eastAsia="zh-CN" w:bidi="hi-IN"/>
              </w:rPr>
              <w:t>Ignitis</w:t>
            </w:r>
            <w:proofErr w:type="spellEnd"/>
            <w:r w:rsidRPr="001F5A5C">
              <w:rPr>
                <w:rFonts w:eastAsia="SimSun"/>
                <w:b/>
                <w:bCs/>
                <w:kern w:val="1"/>
                <w:lang w:eastAsia="zh-CN" w:bidi="hi-IN"/>
              </w:rPr>
              <w:t>“</w:t>
            </w:r>
          </w:p>
          <w:p w14:paraId="6E7A5004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Cs/>
                <w:kern w:val="1"/>
                <w:lang w:eastAsia="zh-CN" w:bidi="hi-IN"/>
              </w:rPr>
              <w:t>Laisvės p r.10, LT-04215, Vilnius</w:t>
            </w:r>
          </w:p>
          <w:p w14:paraId="6E7A5005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Cs/>
                <w:kern w:val="1"/>
                <w:lang w:eastAsia="zh-CN" w:bidi="hi-IN"/>
              </w:rPr>
              <w:t>Kodas: 303383884</w:t>
            </w:r>
          </w:p>
          <w:p w14:paraId="6E7A5006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Cs/>
                <w:kern w:val="1"/>
                <w:lang w:eastAsia="zh-CN" w:bidi="hi-IN"/>
              </w:rPr>
              <w:t>PVM kodas: LT100008860617</w:t>
            </w:r>
          </w:p>
          <w:p w14:paraId="6E7A5007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Cs/>
                <w:kern w:val="1"/>
                <w:lang w:eastAsia="zh-CN" w:bidi="hi-IN"/>
              </w:rPr>
              <w:t>A. s. Nr.: LT44 7044 0600 0799 3076,</w:t>
            </w:r>
          </w:p>
          <w:p w14:paraId="6E7A5008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eastAsia="zh-CN" w:bidi="hi-IN"/>
              </w:rPr>
            </w:pPr>
            <w:proofErr w:type="spellStart"/>
            <w:r w:rsidRPr="001F5A5C">
              <w:rPr>
                <w:rFonts w:eastAsia="SimSun"/>
                <w:bCs/>
                <w:kern w:val="1"/>
                <w:lang w:eastAsia="zh-CN" w:bidi="hi-IN"/>
              </w:rPr>
              <w:t>Ab</w:t>
            </w:r>
            <w:proofErr w:type="spellEnd"/>
            <w:r w:rsidRPr="001F5A5C">
              <w:rPr>
                <w:rFonts w:eastAsia="SimSun"/>
                <w:bCs/>
                <w:kern w:val="1"/>
                <w:lang w:eastAsia="zh-CN" w:bidi="hi-IN"/>
              </w:rPr>
              <w:t xml:space="preserve"> SEB bankas</w:t>
            </w:r>
          </w:p>
          <w:p w14:paraId="6E7A5009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eastAsia="zh-CN" w:bidi="hi-IN"/>
              </w:rPr>
            </w:pPr>
            <w:r w:rsidRPr="001F5A5C">
              <w:rPr>
                <w:rFonts w:eastAsia="SimSun"/>
                <w:bCs/>
                <w:kern w:val="1"/>
                <w:lang w:eastAsia="zh-CN" w:bidi="hi-IN"/>
              </w:rPr>
              <w:t>Tel.: 85767676</w:t>
            </w:r>
          </w:p>
          <w:p w14:paraId="6E7A500A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Cs/>
                <w:kern w:val="1"/>
                <w:lang w:val="en-US" w:eastAsia="zh-CN" w:bidi="hi-IN"/>
              </w:rPr>
            </w:pPr>
            <w:r w:rsidRPr="001F5A5C">
              <w:rPr>
                <w:rFonts w:eastAsia="SimSun"/>
                <w:bCs/>
                <w:kern w:val="1"/>
                <w:lang w:eastAsia="zh-CN" w:bidi="hi-IN"/>
              </w:rPr>
              <w:t>El. paštas: verslas</w:t>
            </w:r>
            <w:r w:rsidRPr="001F5A5C">
              <w:rPr>
                <w:rFonts w:eastAsia="SimSun"/>
                <w:bCs/>
                <w:kern w:val="1"/>
                <w:lang w:val="en-US" w:eastAsia="zh-CN" w:bidi="hi-IN"/>
              </w:rPr>
              <w:t>@</w:t>
            </w:r>
            <w:proofErr w:type="spellStart"/>
            <w:r w:rsidRPr="001F5A5C">
              <w:rPr>
                <w:rFonts w:eastAsia="SimSun"/>
                <w:bCs/>
                <w:kern w:val="1"/>
                <w:lang w:val="en-US" w:eastAsia="zh-CN" w:bidi="hi-IN"/>
              </w:rPr>
              <w:t>ignitis.lt</w:t>
            </w:r>
            <w:proofErr w:type="spellEnd"/>
          </w:p>
          <w:p w14:paraId="6E7A500B" w14:textId="77777777" w:rsidR="001F5A5C" w:rsidRPr="001F5A5C" w:rsidRDefault="001F5A5C" w:rsidP="001F5A5C">
            <w:pPr>
              <w:pStyle w:val="LO-Normal"/>
              <w:widowControl w:val="0"/>
              <w:spacing w:after="0" w:line="100" w:lineRule="atLeast"/>
              <w:rPr>
                <w:rFonts w:eastAsia="SimSun"/>
                <w:b/>
                <w:bCs/>
                <w:kern w:val="1"/>
                <w:lang w:eastAsia="zh-CN" w:bidi="hi-IN"/>
              </w:rPr>
            </w:pPr>
          </w:p>
        </w:tc>
      </w:tr>
      <w:tr w:rsidR="00424D41" w:rsidRPr="001F5A5C" w14:paraId="6E7A500F" w14:textId="77777777" w:rsidTr="001F5A5C">
        <w:trPr>
          <w:trHeight w:val="139"/>
        </w:trPr>
        <w:tc>
          <w:tcPr>
            <w:tcW w:w="4990" w:type="dxa"/>
            <w:shd w:val="clear" w:color="auto" w:fill="auto"/>
          </w:tcPr>
          <w:p w14:paraId="6E7A500D" w14:textId="77777777" w:rsidR="00424D41" w:rsidRPr="001F5A5C" w:rsidRDefault="00424D41">
            <w:pPr>
              <w:widowControl w:val="0"/>
              <w:tabs>
                <w:tab w:val="left" w:pos="851"/>
                <w:tab w:val="left" w:pos="993"/>
                <w:tab w:val="left" w:pos="1191"/>
                <w:tab w:val="left" w:pos="4820"/>
                <w:tab w:val="left" w:pos="6010"/>
                <w:tab w:val="left" w:pos="7258"/>
              </w:tabs>
              <w:suppressAutoHyphens/>
              <w:spacing w:after="0" w:line="100" w:lineRule="atLeast"/>
              <w:jc w:val="both"/>
              <w:rPr>
                <w:b/>
                <w:bCs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4342" w:type="dxa"/>
            <w:shd w:val="clear" w:color="auto" w:fill="auto"/>
          </w:tcPr>
          <w:p w14:paraId="6E7A500E" w14:textId="77777777" w:rsidR="00424D41" w:rsidRPr="001F5A5C" w:rsidRDefault="00424D41">
            <w:pPr>
              <w:pStyle w:val="LO-Normal"/>
              <w:widowControl w:val="0"/>
              <w:spacing w:after="0" w:line="100" w:lineRule="atLeast"/>
              <w:rPr>
                <w:rFonts w:eastAsia="SimSun"/>
                <w:b/>
                <w:bCs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424D41" w:rsidRPr="001F5A5C" w14:paraId="6E7A5012" w14:textId="77777777" w:rsidTr="001F5A5C">
        <w:trPr>
          <w:trHeight w:val="208"/>
        </w:trPr>
        <w:tc>
          <w:tcPr>
            <w:tcW w:w="4990" w:type="dxa"/>
            <w:shd w:val="clear" w:color="auto" w:fill="auto"/>
          </w:tcPr>
          <w:p w14:paraId="6E7A5010" w14:textId="77777777" w:rsidR="00424D41" w:rsidRPr="001F5A5C" w:rsidRDefault="001F5A5C" w:rsidP="001F5A5C">
            <w:pPr>
              <w:pStyle w:val="LO-Normal"/>
              <w:widowControl w:val="0"/>
              <w:spacing w:after="0" w:line="240" w:lineRule="auto"/>
              <w:ind w:right="210"/>
              <w:rPr>
                <w:b/>
                <w:bCs/>
                <w:kern w:val="1"/>
                <w:lang w:eastAsia="zh-CN" w:bidi="hi-IN"/>
              </w:rPr>
            </w:pPr>
            <w:r w:rsidRPr="001F5A5C">
              <w:rPr>
                <w:b/>
                <w:bCs/>
                <w:kern w:val="1"/>
                <w:lang w:eastAsia="zh-CN" w:bidi="hi-IN"/>
              </w:rPr>
              <w:t>Užsakovo vardu</w:t>
            </w:r>
          </w:p>
        </w:tc>
        <w:tc>
          <w:tcPr>
            <w:tcW w:w="4342" w:type="dxa"/>
            <w:shd w:val="clear" w:color="auto" w:fill="auto"/>
          </w:tcPr>
          <w:p w14:paraId="6E7A5011" w14:textId="77777777" w:rsidR="00424D41" w:rsidRPr="001F5A5C" w:rsidRDefault="001F5A5C" w:rsidP="001F5A5C">
            <w:pPr>
              <w:pStyle w:val="LO-Normal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Tiekėjo vardu</w:t>
            </w:r>
          </w:p>
        </w:tc>
      </w:tr>
      <w:tr w:rsidR="00424D41" w:rsidRPr="001F4359" w14:paraId="6E7A501A" w14:textId="77777777" w:rsidTr="001F5A5C">
        <w:trPr>
          <w:trHeight w:val="1760"/>
        </w:trPr>
        <w:tc>
          <w:tcPr>
            <w:tcW w:w="4990" w:type="dxa"/>
            <w:shd w:val="clear" w:color="auto" w:fill="auto"/>
          </w:tcPr>
          <w:p w14:paraId="6E7A5013" w14:textId="77777777" w:rsidR="001F5A5C" w:rsidRPr="001F5A5C" w:rsidRDefault="001F5A5C" w:rsidP="001F5A5C">
            <w:pPr>
              <w:spacing w:after="0" w:line="240" w:lineRule="auto"/>
              <w:rPr>
                <w:bCs/>
              </w:rPr>
            </w:pPr>
            <w:r w:rsidRPr="001F5A5C">
              <w:rPr>
                <w:bCs/>
              </w:rPr>
              <w:t>Vadas</w:t>
            </w:r>
          </w:p>
          <w:p w14:paraId="6E7A5014" w14:textId="77777777" w:rsidR="001F5A5C" w:rsidRPr="001F5A5C" w:rsidRDefault="001F5A5C" w:rsidP="001F5A5C">
            <w:pPr>
              <w:spacing w:after="0" w:line="240" w:lineRule="auto"/>
              <w:rPr>
                <w:bCs/>
              </w:rPr>
            </w:pPr>
            <w:r w:rsidRPr="001F5A5C">
              <w:rPr>
                <w:bCs/>
              </w:rPr>
              <w:t>plk. ltn. Mindaugas Juotkus</w:t>
            </w:r>
          </w:p>
          <w:tbl>
            <w:tblPr>
              <w:tblW w:w="0" w:type="auto"/>
              <w:tblInd w:w="1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66"/>
            </w:tblGrid>
            <w:tr w:rsidR="00424D41" w:rsidRPr="001F5A5C" w14:paraId="6E7A5016" w14:textId="77777777" w:rsidTr="001F5A5C">
              <w:trPr>
                <w:trHeight w:val="185"/>
              </w:trPr>
              <w:tc>
                <w:tcPr>
                  <w:tcW w:w="3666" w:type="dxa"/>
                  <w:shd w:val="clear" w:color="auto" w:fill="auto"/>
                </w:tcPr>
                <w:p w14:paraId="6E7A5015" w14:textId="77777777" w:rsidR="00677D8F" w:rsidRPr="001F5A5C" w:rsidRDefault="00677D8F" w:rsidP="001F5A5C">
                  <w:pPr>
                    <w:pStyle w:val="TableContents"/>
                    <w:spacing w:after="0" w:line="240" w:lineRule="auto"/>
                    <w:ind w:right="105"/>
                    <w:rPr>
                      <w:bCs/>
                    </w:rPr>
                  </w:pPr>
                </w:p>
              </w:tc>
            </w:tr>
          </w:tbl>
          <w:p w14:paraId="6E7A5017" w14:textId="77777777" w:rsidR="00424D41" w:rsidRPr="001F5A5C" w:rsidRDefault="00424D41" w:rsidP="001F5A5C">
            <w:pPr>
              <w:spacing w:after="0" w:line="240" w:lineRule="auto"/>
              <w:ind w:left="435" w:right="105"/>
              <w:rPr>
                <w:bCs/>
                <w:color w:val="000000"/>
              </w:rPr>
            </w:pPr>
          </w:p>
        </w:tc>
        <w:tc>
          <w:tcPr>
            <w:tcW w:w="4342" w:type="dxa"/>
            <w:shd w:val="clear" w:color="auto" w:fill="auto"/>
          </w:tcPr>
          <w:p w14:paraId="6E7A5018" w14:textId="77777777" w:rsidR="001F5A5C" w:rsidRPr="001F5A5C" w:rsidRDefault="001F5A5C" w:rsidP="001F5A5C">
            <w:pPr>
              <w:spacing w:after="0" w:line="240" w:lineRule="auto"/>
              <w:rPr>
                <w:bCs/>
                <w:color w:val="000000"/>
              </w:rPr>
            </w:pPr>
            <w:r w:rsidRPr="001F5A5C">
              <w:rPr>
                <w:bCs/>
                <w:color w:val="000000"/>
              </w:rPr>
              <w:t>Verslo klientų ir plėtros tarnybos vadovas</w:t>
            </w:r>
          </w:p>
          <w:p w14:paraId="6E7A5019" w14:textId="77777777" w:rsidR="00424D41" w:rsidRPr="001F5A5C" w:rsidRDefault="001F5A5C" w:rsidP="001F5A5C">
            <w:pPr>
              <w:spacing w:after="0" w:line="240" w:lineRule="auto"/>
              <w:rPr>
                <w:bCs/>
                <w:color w:val="000000"/>
              </w:rPr>
            </w:pPr>
            <w:r w:rsidRPr="001F5A5C">
              <w:rPr>
                <w:bCs/>
                <w:color w:val="000000"/>
              </w:rPr>
              <w:t>Haroldas Nausėda</w:t>
            </w:r>
          </w:p>
        </w:tc>
      </w:tr>
    </w:tbl>
    <w:p w14:paraId="6E7A501B" w14:textId="77777777" w:rsidR="00AF2BDE" w:rsidRPr="00B612D9" w:rsidRDefault="00AF2BDE">
      <w:pPr>
        <w:pStyle w:val="LO-Normal"/>
        <w:rPr>
          <w:rFonts w:ascii="Arial" w:hAnsi="Arial" w:cs="Arial"/>
          <w:sz w:val="20"/>
          <w:szCs w:val="20"/>
        </w:rPr>
      </w:pPr>
    </w:p>
    <w:sectPr w:rsidR="00AF2BDE" w:rsidRPr="00B612D9" w:rsidSect="001F5A5C">
      <w:headerReference w:type="default" r:id="rId8"/>
      <w:pgSz w:w="11906" w:h="16838"/>
      <w:pgMar w:top="709" w:right="567" w:bottom="142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EEFC7" w14:textId="77777777" w:rsidR="00D279B0" w:rsidRDefault="00D279B0">
      <w:pPr>
        <w:spacing w:after="0" w:line="240" w:lineRule="auto"/>
      </w:pPr>
      <w:r>
        <w:separator/>
      </w:r>
    </w:p>
  </w:endnote>
  <w:endnote w:type="continuationSeparator" w:id="0">
    <w:p w14:paraId="0E57640C" w14:textId="77777777" w:rsidR="00D279B0" w:rsidRDefault="00D2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FB471" w14:textId="77777777" w:rsidR="00D279B0" w:rsidRDefault="00D279B0">
      <w:pPr>
        <w:spacing w:after="0" w:line="240" w:lineRule="auto"/>
      </w:pPr>
      <w:r>
        <w:separator/>
      </w:r>
    </w:p>
  </w:footnote>
  <w:footnote w:type="continuationSeparator" w:id="0">
    <w:p w14:paraId="4559FD8F" w14:textId="77777777" w:rsidR="00D279B0" w:rsidRDefault="00D2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020" w14:textId="77777777" w:rsidR="00424D41" w:rsidRDefault="00EE69D4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7A5021" wp14:editId="6E7A5022">
              <wp:simplePos x="0" y="0"/>
              <wp:positionH relativeFrom="page">
                <wp:posOffset>342265</wp:posOffset>
              </wp:positionH>
              <wp:positionV relativeFrom="page">
                <wp:posOffset>288925</wp:posOffset>
              </wp:positionV>
              <wp:extent cx="6979920" cy="548005"/>
              <wp:effectExtent l="8890" t="317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920" cy="548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A5023" w14:textId="77777777" w:rsidR="00424D41" w:rsidRDefault="00EE69D4">
                          <w:pPr>
                            <w:pStyle w:val="LO-Normal"/>
                            <w:spacing w:after="0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E7A5024" wp14:editId="6E7A5025">
                                <wp:extent cx="1381125" cy="55245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.95pt;margin-top:22.75pt;width:549.6pt;height:43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PYWPigIAABwFAAAOAAAAZHJzL2Uyb0RvYy54bWysVNtu3CAQfa/Uf0C8b2yvvJu1FW/UJN2q UnqRkn4AC3iNioECu3Za9d87gJ1L+1JV9QMeYDicmTnDxeXYS3Ti1gmtGlyc5RhxRTUT6tDgL/e7 xQYj54liRGrFG/zAHb7cvn51MZiaL3WnJeMWAYhy9WAa3Hlv6ixztOM9cWfacAWbrbY98TC1h4xZ MgB6L7Nlnq+zQVtmrKbcOVi9SZt4G/HbllP/qW0d90g2GLj5ONo47sOYbS9IfbDEdIJONMg/sOiJ UHDpI9QN8QQdrfgDqhfUaqdbf0Z1n+m2FZTHGCCaIv8tmruOGB5jgeQ485gm9/9g6cfTZ4sEg9ph pEgPJbrno0dXekRFyM5gXA1Odwbc/AjLwTNE6sytpl8dUvq6I+rA31irh44TBuziyezZ0YTjAsh+ +KAZXEOOXkegsbV9AIRkIECHKj08ViZQobC4rs6raglbFPZW5SbPV4FcRur5tLHOv+O6R8FosIXK R3RyunU+uc4ukb2Wgu2ElHFiD/tradGJgEp28UtnpelIWo1Kgetcco1Xu+cYUgUkpQNmui6tQARA IOyFWKIkflTFssyvltVit96cL8pduVpU5/lmkRfVVbXOy6q82f0MDIqy7gRjXN0KxWd5FuXflX9q lCSsKFA0NLhaLVcxuBfsp7CmWPPwTfl94dYLD90qRd9gKMHkROpQ9beKQdik9kTIZGcv6ceUQQ7m f8xK1EiQRRKIH/cjoATh7DV7ALVYDcWEusMTA0an7XeMBmjXBrtvR2I5RvK9AsWF3p4NOxv72SCK wtEGe4ySee3TG3A0Vhw6QE6aVvoNqLIVUTBPLIBymEALRvLTcxF6/Pk8ej09attfAAAA//8DAFBL AwQUAAYACAAAACEAZWZzX94AAAAKAQAADwAAAGRycy9kb3ducmV2LnhtbEyPwW7CMBBE70j9B2sr cStOCGlDGgcVUHutmlbiauIljhKvo9hA+vc1p3Kb1Yxm3habyfTsgqNrLQmIFxEwpNqqlhoBP9/v Txkw5yUp2VtCAb/oYFM+zAqZK3ulL7xUvmGhhFwuBWjvh5xzV2s00i3sgBS8kx2N9OEcG65GeQ3l pufLKHrmRrYUFrQccKex7qqzEZB8Ll8O7qPa74YDrrvMbbsTaSHmj9PbKzCPk/8Pww0/oEMZmI72 TMqxXkCarENSwCpNgd38OE1iYMegkjgDXhb8/oXyDwAA//8DAFBLAQItABQABgAIAAAAIQC2gziS /gAAAOEBAAATAAAAAAAAAAAAAAAAAAAAAABbQ29udGVudF9UeXBlc10ueG1sUEsBAi0AFAAGAAgA AAAhADj9If/WAAAAlAEAAAsAAAAAAAAAAAAAAAAALwEAAF9yZWxzLy5yZWxzUEsBAi0AFAAGAAgA AAAhABk9hY+KAgAAHAUAAA4AAAAAAAAAAAAAAAAALgIAAGRycy9lMm9Eb2MueG1sUEsBAi0AFAAG AAgAAAAhAGVmc1/eAAAACgEAAA8AAAAAAAAAAAAAAAAA5AQAAGRycy9kb3ducmV2LnhtbFBLBQYA AAAABAAEAPMAAADvBQAAAAA= " stroked="f">
              <v:fill opacity="0"/>
              <v:textbox inset="0,0,0,0">
                <w:txbxContent>
                  <w:p w:rsidR="00424D41" w:rsidRDefault="00EE69D4">
                    <w:pPr>
                      <w:pStyle w:val="LO-Normal"/>
                      <w:spacing w:after="0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1381125" cy="55245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552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BD0C49"/>
    <w:multiLevelType w:val="hybridMultilevel"/>
    <w:tmpl w:val="E5244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16051"/>
    <w:multiLevelType w:val="hybridMultilevel"/>
    <w:tmpl w:val="23B63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autoHyphenation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97"/>
    <w:rsid w:val="00052728"/>
    <w:rsid w:val="000609CE"/>
    <w:rsid w:val="000D2916"/>
    <w:rsid w:val="00100D21"/>
    <w:rsid w:val="00133788"/>
    <w:rsid w:val="0019324F"/>
    <w:rsid w:val="001E7B32"/>
    <w:rsid w:val="001F4359"/>
    <w:rsid w:val="001F5A5C"/>
    <w:rsid w:val="003B4065"/>
    <w:rsid w:val="00424D41"/>
    <w:rsid w:val="00427496"/>
    <w:rsid w:val="00452765"/>
    <w:rsid w:val="0060604D"/>
    <w:rsid w:val="0063429E"/>
    <w:rsid w:val="00655D6F"/>
    <w:rsid w:val="00677D8F"/>
    <w:rsid w:val="006A4D88"/>
    <w:rsid w:val="00734EEA"/>
    <w:rsid w:val="00742EF4"/>
    <w:rsid w:val="007711C0"/>
    <w:rsid w:val="007734B4"/>
    <w:rsid w:val="007F49A2"/>
    <w:rsid w:val="00830609"/>
    <w:rsid w:val="008526CE"/>
    <w:rsid w:val="008B2699"/>
    <w:rsid w:val="008D397A"/>
    <w:rsid w:val="008F2D9F"/>
    <w:rsid w:val="00935864"/>
    <w:rsid w:val="00955DA5"/>
    <w:rsid w:val="0096588A"/>
    <w:rsid w:val="009A2D97"/>
    <w:rsid w:val="00A30E75"/>
    <w:rsid w:val="00AA6D73"/>
    <w:rsid w:val="00AF2BDE"/>
    <w:rsid w:val="00B13E2F"/>
    <w:rsid w:val="00B21EF3"/>
    <w:rsid w:val="00B43A6B"/>
    <w:rsid w:val="00B612D9"/>
    <w:rsid w:val="00B854A3"/>
    <w:rsid w:val="00BE22F9"/>
    <w:rsid w:val="00C13A96"/>
    <w:rsid w:val="00D05BC3"/>
    <w:rsid w:val="00D24888"/>
    <w:rsid w:val="00D279B0"/>
    <w:rsid w:val="00D9523E"/>
    <w:rsid w:val="00DA7568"/>
    <w:rsid w:val="00E02DD2"/>
    <w:rsid w:val="00E6363A"/>
    <w:rsid w:val="00EE69D4"/>
    <w:rsid w:val="00FA3791"/>
    <w:rsid w:val="00FC3405"/>
    <w:rsid w:val="00FC4225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7A4FE3"/>
  <w15:chartTrackingRefBased/>
  <w15:docId w15:val="{68F6A9DD-0163-4FD4-8407-866F0BDB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textAlignment w:val="baseline"/>
    </w:pPr>
    <w:rPr>
      <w:rFonts w:eastAsia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 Diagrama6 Char,Diagrama6 Char"/>
    <w:basedOn w:val="DefaultParagraphFont"/>
    <w:uiPriority w:val="99"/>
  </w:style>
  <w:style w:type="character" w:customStyle="1" w:styleId="FooterChar">
    <w:name w:val="Footer Char"/>
    <w:basedOn w:val="DefaultParagraphFont"/>
  </w:style>
  <w:style w:type="character" w:customStyle="1" w:styleId="NumberingSymbols">
    <w:name w:val="Numbering Symbols"/>
    <w:rPr>
      <w:rFonts w:ascii="Calibri" w:hAnsi="Calibri"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rPr>
      <w:rFonts w:ascii="OpenSymbol" w:eastAsia="OpenSymbol" w:hAnsi="OpenSymbol" w:cs="OpenSymbol"/>
      <w:sz w:val="20"/>
      <w:szCs w:val="20"/>
    </w:rPr>
  </w:style>
  <w:style w:type="character" w:customStyle="1" w:styleId="WWCharLFO1LVL2">
    <w:name w:val="WW_CharLFO1LVL2"/>
    <w:rPr>
      <w:rFonts w:ascii="OpenSymbol" w:eastAsia="OpenSymbol" w:hAnsi="OpenSymbol" w:cs="OpenSymbol"/>
      <w:sz w:val="20"/>
      <w:szCs w:val="20"/>
    </w:rPr>
  </w:style>
  <w:style w:type="character" w:customStyle="1" w:styleId="WWCharLFO1LVL3">
    <w:name w:val="WW_CharLFO1LVL3"/>
    <w:rPr>
      <w:rFonts w:ascii="OpenSymbol" w:eastAsia="OpenSymbol" w:hAnsi="OpenSymbol" w:cs="OpenSymbol"/>
      <w:sz w:val="20"/>
      <w:szCs w:val="20"/>
    </w:rPr>
  </w:style>
  <w:style w:type="character" w:customStyle="1" w:styleId="WWCharLFO1LVL4">
    <w:name w:val="WW_CharLFO1LVL4"/>
    <w:rPr>
      <w:rFonts w:ascii="OpenSymbol" w:eastAsia="OpenSymbol" w:hAnsi="OpenSymbol" w:cs="OpenSymbol"/>
      <w:sz w:val="20"/>
      <w:szCs w:val="20"/>
    </w:rPr>
  </w:style>
  <w:style w:type="character" w:customStyle="1" w:styleId="WWCharLFO1LVL5">
    <w:name w:val="WW_CharLFO1LVL5"/>
    <w:rPr>
      <w:rFonts w:ascii="OpenSymbol" w:eastAsia="OpenSymbol" w:hAnsi="OpenSymbol" w:cs="OpenSymbol"/>
      <w:sz w:val="20"/>
      <w:szCs w:val="20"/>
    </w:rPr>
  </w:style>
  <w:style w:type="character" w:customStyle="1" w:styleId="WWCharLFO1LVL6">
    <w:name w:val="WW_CharLFO1LVL6"/>
    <w:rPr>
      <w:rFonts w:ascii="OpenSymbol" w:eastAsia="OpenSymbol" w:hAnsi="OpenSymbol" w:cs="OpenSymbol"/>
      <w:sz w:val="20"/>
      <w:szCs w:val="20"/>
    </w:rPr>
  </w:style>
  <w:style w:type="character" w:customStyle="1" w:styleId="WWCharLFO1LVL7">
    <w:name w:val="WW_CharLFO1LVL7"/>
    <w:rPr>
      <w:rFonts w:ascii="OpenSymbol" w:eastAsia="OpenSymbol" w:hAnsi="OpenSymbol" w:cs="OpenSymbol"/>
      <w:sz w:val="20"/>
      <w:szCs w:val="20"/>
    </w:rPr>
  </w:style>
  <w:style w:type="character" w:customStyle="1" w:styleId="WWCharLFO1LVL8">
    <w:name w:val="WW_CharLFO1LVL8"/>
    <w:rPr>
      <w:rFonts w:ascii="OpenSymbol" w:eastAsia="OpenSymbol" w:hAnsi="OpenSymbol" w:cs="OpenSymbol"/>
      <w:sz w:val="20"/>
      <w:szCs w:val="20"/>
    </w:rPr>
  </w:style>
  <w:style w:type="character" w:customStyle="1" w:styleId="WWCharLFO1LVL9">
    <w:name w:val="WW_CharLFO1LVL9"/>
    <w:rPr>
      <w:rFonts w:ascii="OpenSymbol" w:eastAsia="OpenSymbol" w:hAnsi="OpenSymbol" w:cs="OpenSymbol"/>
      <w:sz w:val="20"/>
      <w:szCs w:val="20"/>
    </w:rPr>
  </w:style>
  <w:style w:type="character" w:customStyle="1" w:styleId="WWCharLFO2LVL1">
    <w:name w:val="WW_CharLFO2LVL1"/>
    <w:rPr>
      <w:rFonts w:ascii="Calibri" w:hAnsi="Calibri"/>
      <w:sz w:val="20"/>
      <w:szCs w:val="20"/>
    </w:rPr>
  </w:style>
  <w:style w:type="character" w:customStyle="1" w:styleId="WWCharLFO2LVL2">
    <w:name w:val="WW_CharLFO2LVL2"/>
    <w:rPr>
      <w:rFonts w:ascii="Calibri" w:hAnsi="Calibri"/>
      <w:sz w:val="20"/>
      <w:szCs w:val="20"/>
    </w:rPr>
  </w:style>
  <w:style w:type="character" w:customStyle="1" w:styleId="WWCharLFO2LVL3">
    <w:name w:val="WW_CharLFO2LVL3"/>
    <w:rPr>
      <w:rFonts w:ascii="Calibri" w:hAnsi="Calibri"/>
      <w:sz w:val="20"/>
      <w:szCs w:val="20"/>
    </w:rPr>
  </w:style>
  <w:style w:type="character" w:customStyle="1" w:styleId="WWCharLFO2LVL4">
    <w:name w:val="WW_CharLFO2LVL4"/>
    <w:rPr>
      <w:rFonts w:ascii="Calibri" w:hAnsi="Calibri"/>
      <w:sz w:val="20"/>
      <w:szCs w:val="20"/>
    </w:rPr>
  </w:style>
  <w:style w:type="character" w:customStyle="1" w:styleId="WWCharLFO2LVL5">
    <w:name w:val="WW_CharLFO2LVL5"/>
    <w:rPr>
      <w:rFonts w:ascii="Calibri" w:hAnsi="Calibri"/>
      <w:sz w:val="20"/>
      <w:szCs w:val="20"/>
    </w:rPr>
  </w:style>
  <w:style w:type="character" w:customStyle="1" w:styleId="WWCharLFO2LVL6">
    <w:name w:val="WW_CharLFO2LVL6"/>
    <w:rPr>
      <w:rFonts w:ascii="Calibri" w:hAnsi="Calibri"/>
      <w:sz w:val="20"/>
      <w:szCs w:val="20"/>
    </w:rPr>
  </w:style>
  <w:style w:type="character" w:customStyle="1" w:styleId="WWCharLFO2LVL7">
    <w:name w:val="WW_CharLFO2LVL7"/>
    <w:rPr>
      <w:rFonts w:ascii="Calibri" w:hAnsi="Calibri"/>
      <w:sz w:val="20"/>
      <w:szCs w:val="20"/>
    </w:rPr>
  </w:style>
  <w:style w:type="character" w:customStyle="1" w:styleId="WWCharLFO2LVL8">
    <w:name w:val="WW_CharLFO2LVL8"/>
    <w:rPr>
      <w:rFonts w:ascii="Calibri" w:hAnsi="Calibri"/>
      <w:sz w:val="20"/>
      <w:szCs w:val="20"/>
    </w:rPr>
  </w:style>
  <w:style w:type="character" w:customStyle="1" w:styleId="WWCharLFO2LVL9">
    <w:name w:val="WW_CharLFO2LVL9"/>
    <w:rPr>
      <w:rFonts w:ascii="Calibri" w:hAnsi="Calibri"/>
      <w:sz w:val="20"/>
      <w:szCs w:val="20"/>
    </w:rPr>
  </w:style>
  <w:style w:type="paragraph" w:customStyle="1" w:styleId="LO-Normal">
    <w:name w:val="LO-Normal"/>
    <w:pPr>
      <w:suppressAutoHyphens/>
      <w:spacing w:after="200" w:line="276" w:lineRule="auto"/>
      <w:textAlignment w:val="baseline"/>
    </w:pPr>
    <w:rPr>
      <w:rFonts w:eastAsia="Calibri"/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basedOn w:val="LO-Normal"/>
    <w:qFormat/>
    <w:pPr>
      <w:ind w:left="720"/>
    </w:pPr>
  </w:style>
  <w:style w:type="paragraph" w:styleId="Header">
    <w:name w:val="header"/>
    <w:aliases w:val=" Diagrama6,Diagrama6"/>
    <w:basedOn w:val="LO-Normal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styleId="Footer">
    <w:name w:val="footer"/>
    <w:basedOn w:val="LO-Normal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LO-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</w:style>
  <w:style w:type="character" w:styleId="CommentReference">
    <w:name w:val="annotation reference"/>
    <w:uiPriority w:val="99"/>
    <w:semiHidden/>
    <w:unhideWhenUsed/>
    <w:rsid w:val="001E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B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7B32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B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B32"/>
    <w:rPr>
      <w:rFonts w:eastAsia="Calibri"/>
      <w:b/>
      <w:bCs/>
      <w:lang w:eastAsia="en-US"/>
    </w:rPr>
  </w:style>
  <w:style w:type="character" w:customStyle="1" w:styleId="ui-provider">
    <w:name w:val="ui-provider"/>
    <w:basedOn w:val="DefaultParagraphFont"/>
    <w:rsid w:val="008F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5E89-CE35-46F7-889B-24301BFB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vejalis</dc:creator>
  <cp:lastModifiedBy>Greta Butkuviene</cp:lastModifiedBy>
  <cp:revision>2</cp:revision>
  <cp:lastPrinted>1899-12-31T22:00:00Z</cp:lastPrinted>
  <dcterms:created xsi:type="dcterms:W3CDTF">2023-10-16T08:55:00Z</dcterms:created>
  <dcterms:modified xsi:type="dcterms:W3CDTF">2023-10-16T08:55:00Z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ActionId">
    <vt:lpwstr>ce4e7726-3bf5-4d8a-977a-6007a8da4d86</vt:lpwstr>
  </property>
  <property fmtid="{D5CDD505-2E9C-101B-9397-08002B2CF9AE}" pid="3" name="MSIP_Label_320c693d-44b7-4e16-b3dd-4fcd87401cf5_Application">
    <vt:lpwstr>Microsoft Azure Information Protection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Extended_MSFT_Method">
    <vt:lpwstr>Manual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Owner">
    <vt:lpwstr>Jurgita.Guobyte@le.lt</vt:lpwstr>
  </property>
  <property fmtid="{D5CDD505-2E9C-101B-9397-08002B2CF9AE}" pid="8" name="MSIP_Label_320c693d-44b7-4e16-b3dd-4fcd87401cf5_SetDate">
    <vt:lpwstr>2019-08-25T14:54:04.2555417Z</vt:lpwstr>
  </property>
  <property fmtid="{D5CDD505-2E9C-101B-9397-08002B2CF9AE}" pid="9" name="MSIP_Label_320c693d-44b7-4e16-b3dd-4fcd87401cf5_SiteId">
    <vt:lpwstr>ea88e983-d65a-47b3-adb4-3e1c6d2110d2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2021-09-29T09:35:10Z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ce4e7726-3bf5-4d8a-977a-6007a8da4d86</vt:lpwstr>
  </property>
  <property fmtid="{D5CDD505-2E9C-101B-9397-08002B2CF9AE}" pid="16" name="MSIP_Label_190751af-2442-49a7-b7b9-9f0bcce858c9_ContentBits">
    <vt:lpwstr>0</vt:lpwstr>
  </property>
</Properties>
</file>