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b/>
          <w:bCs/>
        </w:rPr>
        <w:id w:val="-808551268"/>
        <w:docPartObj>
          <w:docPartGallery w:val="Cover Pages"/>
          <w:docPartUnique/>
        </w:docPartObj>
      </w:sdtPr>
      <w:sdtEndPr>
        <w:rPr>
          <w:b w:val="0"/>
          <w:bCs w:val="0"/>
        </w:rPr>
      </w:sdtEndPr>
      <w:sdtContent>
        <w:p w14:paraId="517C01D9" w14:textId="3368F064" w:rsidR="001C24BC" w:rsidRPr="0037071C" w:rsidRDefault="001C24BC" w:rsidP="00C86DC3">
          <w:pPr>
            <w:spacing w:after="120"/>
            <w:ind w:left="567" w:firstLine="0"/>
            <w:contextualSpacing/>
            <w:jc w:val="center"/>
            <w:rPr>
              <w:rFonts w:cstheme="minorHAnsi"/>
              <w:sz w:val="28"/>
              <w:szCs w:val="28"/>
            </w:rPr>
          </w:pPr>
        </w:p>
        <w:p w14:paraId="2F205330" w14:textId="419EB259" w:rsidR="0051611C" w:rsidRPr="0037071C" w:rsidRDefault="00000000" w:rsidP="00E56948">
          <w:pPr>
            <w:spacing w:after="120"/>
            <w:ind w:firstLine="0"/>
            <w:contextualSpacing/>
            <w:rPr>
              <w:rFonts w:cstheme="minorHAnsi"/>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75E618BE" w14:textId="08F4CA48" w:rsidR="00C81E25" w:rsidRPr="0037071C" w:rsidRDefault="008439AC" w:rsidP="008439AC">
      <w:pPr>
        <w:spacing w:line="240" w:lineRule="auto"/>
        <w:ind w:left="6521" w:firstLine="0"/>
        <w:rPr>
          <w:rFonts w:cstheme="minorHAnsi"/>
        </w:rPr>
      </w:pPr>
      <w:r>
        <w:rPr>
          <w:rFonts w:cstheme="minorHAnsi"/>
        </w:rPr>
        <w:t xml:space="preserve">                  </w:t>
      </w:r>
      <w:r w:rsidR="00C81E25" w:rsidRPr="0037071C">
        <w:rPr>
          <w:rFonts w:cstheme="minorHAnsi"/>
        </w:rPr>
        <w:t>2</w:t>
      </w:r>
      <w:r w:rsidR="00112F92" w:rsidRPr="0037071C">
        <w:rPr>
          <w:rFonts w:cstheme="minorHAnsi"/>
        </w:rPr>
        <w:t xml:space="preserve"> priedas </w:t>
      </w:r>
      <w:r>
        <w:rPr>
          <w:rFonts w:cstheme="minorHAnsi"/>
        </w:rPr>
        <w:t xml:space="preserve"> </w:t>
      </w:r>
      <w:r w:rsidR="00C81E25" w:rsidRPr="0037071C">
        <w:rPr>
          <w:rFonts w:cstheme="minorHAnsi"/>
        </w:rPr>
        <w:t>„Techninė specifikacija“</w:t>
      </w:r>
    </w:p>
    <w:p w14:paraId="17503859" w14:textId="77777777" w:rsidR="00C81E25" w:rsidRPr="0037071C" w:rsidRDefault="00C81E25" w:rsidP="00C81E25">
      <w:pPr>
        <w:jc w:val="center"/>
        <w:rPr>
          <w:rFonts w:cstheme="minorHAnsi"/>
          <w:sz w:val="28"/>
          <w:szCs w:val="28"/>
        </w:rPr>
      </w:pPr>
    </w:p>
    <w:p w14:paraId="290B14BA" w14:textId="764330E5" w:rsidR="007B3919" w:rsidRPr="0037071C" w:rsidRDefault="00C81E25" w:rsidP="00AA6880">
      <w:pPr>
        <w:jc w:val="center"/>
        <w:rPr>
          <w:rFonts w:cstheme="minorHAnsi"/>
          <w:sz w:val="28"/>
          <w:szCs w:val="28"/>
        </w:rPr>
      </w:pPr>
      <w:r w:rsidRPr="0037071C">
        <w:rPr>
          <w:rFonts w:cstheme="minorHAnsi"/>
          <w:sz w:val="28"/>
          <w:szCs w:val="28"/>
        </w:rPr>
        <w:t>TECHNINĖ SPECIFIKACIJA</w:t>
      </w:r>
    </w:p>
    <w:p w14:paraId="33304E84" w14:textId="77777777" w:rsidR="007D2B9E" w:rsidRPr="0083527F" w:rsidRDefault="007D2B9E" w:rsidP="007D2B9E">
      <w:pPr>
        <w:pStyle w:val="ListParagraph"/>
        <w:tabs>
          <w:tab w:val="left" w:pos="142"/>
        </w:tabs>
        <w:ind w:left="567" w:firstLine="0"/>
        <w:rPr>
          <w:rFonts w:ascii="Times New Roman" w:hAnsi="Times New Roman" w:cs="Times New Roman"/>
        </w:rPr>
      </w:pPr>
      <w:r w:rsidRPr="0083527F">
        <w:rPr>
          <w:rFonts w:ascii="Times New Roman" w:hAnsi="Times New Roman" w:cs="Times New Roman"/>
          <w:b/>
        </w:rPr>
        <w:t>1</w:t>
      </w:r>
      <w:r w:rsidRPr="0083527F">
        <w:rPr>
          <w:rFonts w:ascii="Times New Roman" w:hAnsi="Times New Roman" w:cs="Times New Roman"/>
        </w:rPr>
        <w:t>. Pirkimo objektas –</w:t>
      </w:r>
      <w:r w:rsidRPr="0083527F">
        <w:rPr>
          <w:rFonts w:ascii="Times New Roman" w:hAnsi="Times New Roman" w:cs="Times New Roman"/>
          <w:b/>
        </w:rPr>
        <w:t xml:space="preserve"> </w:t>
      </w:r>
      <w:r>
        <w:rPr>
          <w:rFonts w:ascii="Times New Roman" w:hAnsi="Times New Roman" w:cs="Times New Roman"/>
        </w:rPr>
        <w:t>p</w:t>
      </w:r>
      <w:r w:rsidRPr="0083527F">
        <w:rPr>
          <w:rFonts w:ascii="Times New Roman" w:hAnsi="Times New Roman" w:cs="Times New Roman"/>
        </w:rPr>
        <w:t xml:space="preserve">irminių gesinimo priemonių aptarnavimo paslaugos (toliau – </w:t>
      </w:r>
      <w:r w:rsidRPr="0083527F">
        <w:rPr>
          <w:rFonts w:ascii="Times New Roman" w:hAnsi="Times New Roman" w:cs="Times New Roman"/>
          <w:b/>
        </w:rPr>
        <w:t>Paslaugos</w:t>
      </w:r>
      <w:r w:rsidRPr="0083527F">
        <w:rPr>
          <w:rFonts w:ascii="Times New Roman" w:hAnsi="Times New Roman" w:cs="Times New Roman"/>
        </w:rPr>
        <w:t>)</w:t>
      </w:r>
      <w:r>
        <w:rPr>
          <w:rFonts w:ascii="Times New Roman" w:hAnsi="Times New Roman" w:cs="Times New Roman"/>
        </w:rPr>
        <w:t>. Pirkimo objektas į dalis neskaidomas. Jo aprašymas pateikiamas 1-oje lentelėje</w:t>
      </w:r>
      <w:r w:rsidRPr="0083527F">
        <w:rPr>
          <w:rFonts w:ascii="Times New Roman" w:hAnsi="Times New Roman" w:cs="Times New Roman"/>
        </w:rPr>
        <w:t>:</w:t>
      </w:r>
    </w:p>
    <w:p w14:paraId="31E81464" w14:textId="2C61351D" w:rsidR="007D2B9E" w:rsidRDefault="007E2F22" w:rsidP="007B3919">
      <w:pPr>
        <w:tabs>
          <w:tab w:val="left" w:pos="142"/>
        </w:tabs>
        <w:ind w:left="9356" w:firstLine="425"/>
      </w:pPr>
      <w:r>
        <w:t>1 lentelė</w:t>
      </w:r>
    </w:p>
    <w:tbl>
      <w:tblPr>
        <w:tblW w:w="1020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946"/>
        <w:gridCol w:w="2410"/>
      </w:tblGrid>
      <w:tr w:rsidR="007D2B9E" w:rsidRPr="007E2F22" w14:paraId="736C84B3" w14:textId="77777777" w:rsidTr="007E2F22">
        <w:trPr>
          <w:trHeight w:val="736"/>
        </w:trPr>
        <w:tc>
          <w:tcPr>
            <w:tcW w:w="851" w:type="dxa"/>
            <w:tcBorders>
              <w:top w:val="single" w:sz="4" w:space="0" w:color="auto"/>
              <w:left w:val="single" w:sz="4" w:space="0" w:color="auto"/>
              <w:bottom w:val="single" w:sz="4" w:space="0" w:color="auto"/>
              <w:right w:val="single" w:sz="4" w:space="0" w:color="auto"/>
            </w:tcBorders>
            <w:vAlign w:val="center"/>
          </w:tcPr>
          <w:p w14:paraId="65A37237" w14:textId="77777777" w:rsidR="007D2B9E" w:rsidRPr="007E2F22" w:rsidRDefault="007D2B9E" w:rsidP="007E2F22">
            <w:pPr>
              <w:tabs>
                <w:tab w:val="left" w:pos="142"/>
              </w:tabs>
              <w:spacing w:line="240" w:lineRule="auto"/>
              <w:ind w:firstLine="0"/>
            </w:pPr>
            <w:r w:rsidRPr="007E2F22">
              <w:t>Eil. Nr.</w:t>
            </w:r>
          </w:p>
        </w:tc>
        <w:tc>
          <w:tcPr>
            <w:tcW w:w="6946" w:type="dxa"/>
            <w:tcBorders>
              <w:top w:val="single" w:sz="4" w:space="0" w:color="auto"/>
              <w:left w:val="single" w:sz="4" w:space="0" w:color="auto"/>
              <w:bottom w:val="single" w:sz="4" w:space="0" w:color="auto"/>
              <w:right w:val="single" w:sz="4" w:space="0" w:color="auto"/>
            </w:tcBorders>
            <w:vAlign w:val="center"/>
          </w:tcPr>
          <w:p w14:paraId="4A61924E" w14:textId="77777777" w:rsidR="007D2B9E" w:rsidRPr="007E2F22" w:rsidRDefault="007D2B9E" w:rsidP="007E2F22">
            <w:pPr>
              <w:spacing w:line="240" w:lineRule="auto"/>
              <w:ind w:firstLine="0"/>
            </w:pPr>
            <w:r w:rsidRPr="007E2F22">
              <w:t>Paslaugų pavadinimas ir periodiškumas</w:t>
            </w:r>
          </w:p>
        </w:tc>
        <w:tc>
          <w:tcPr>
            <w:tcW w:w="2410" w:type="dxa"/>
            <w:tcBorders>
              <w:top w:val="single" w:sz="4" w:space="0" w:color="auto"/>
              <w:left w:val="single" w:sz="4" w:space="0" w:color="auto"/>
              <w:bottom w:val="single" w:sz="4" w:space="0" w:color="auto"/>
              <w:right w:val="single" w:sz="4" w:space="0" w:color="auto"/>
            </w:tcBorders>
            <w:vAlign w:val="center"/>
          </w:tcPr>
          <w:p w14:paraId="1C368A83" w14:textId="77777777" w:rsidR="007D2B9E" w:rsidRPr="007E2F22" w:rsidRDefault="007D2B9E" w:rsidP="007E2F22">
            <w:pPr>
              <w:spacing w:line="240" w:lineRule="auto"/>
              <w:ind w:left="34" w:firstLine="0"/>
            </w:pPr>
            <w:r w:rsidRPr="007E2F22">
              <w:t>Preliminarus kiekis (vnt.) 36 mėnesiams</w:t>
            </w:r>
          </w:p>
        </w:tc>
      </w:tr>
      <w:tr w:rsidR="007E2F22" w:rsidRPr="007E2F22" w14:paraId="38C277BC" w14:textId="77777777" w:rsidTr="007E2F22">
        <w:tc>
          <w:tcPr>
            <w:tcW w:w="851" w:type="dxa"/>
            <w:tcBorders>
              <w:top w:val="single" w:sz="4" w:space="0" w:color="auto"/>
              <w:left w:val="single" w:sz="4" w:space="0" w:color="auto"/>
              <w:bottom w:val="single" w:sz="4" w:space="0" w:color="auto"/>
              <w:right w:val="single" w:sz="4" w:space="0" w:color="auto"/>
            </w:tcBorders>
          </w:tcPr>
          <w:p w14:paraId="252BC150" w14:textId="16B1051A" w:rsidR="007E2F22" w:rsidRPr="007E2F22" w:rsidRDefault="007E2F22" w:rsidP="007E2F22">
            <w:pPr>
              <w:tabs>
                <w:tab w:val="left" w:pos="142"/>
              </w:tabs>
              <w:spacing w:line="240" w:lineRule="auto"/>
              <w:ind w:left="127" w:firstLine="49"/>
              <w:rPr>
                <w:i/>
                <w:sz w:val="16"/>
                <w:szCs w:val="16"/>
              </w:rPr>
            </w:pPr>
            <w:r w:rsidRPr="007E2F22">
              <w:rPr>
                <w:i/>
                <w:sz w:val="16"/>
                <w:szCs w:val="16"/>
              </w:rPr>
              <w:t>1</w:t>
            </w:r>
          </w:p>
        </w:tc>
        <w:tc>
          <w:tcPr>
            <w:tcW w:w="6946" w:type="dxa"/>
            <w:tcBorders>
              <w:top w:val="single" w:sz="4" w:space="0" w:color="auto"/>
              <w:left w:val="single" w:sz="4" w:space="0" w:color="auto"/>
              <w:bottom w:val="single" w:sz="4" w:space="0" w:color="auto"/>
              <w:right w:val="single" w:sz="4" w:space="0" w:color="auto"/>
            </w:tcBorders>
          </w:tcPr>
          <w:p w14:paraId="1AA3DE53" w14:textId="77777777" w:rsidR="007E2F22" w:rsidRPr="007E2F22" w:rsidRDefault="007E2F22" w:rsidP="007E2F22">
            <w:pPr>
              <w:tabs>
                <w:tab w:val="left" w:pos="142"/>
              </w:tabs>
              <w:spacing w:line="240" w:lineRule="auto"/>
              <w:ind w:left="567" w:firstLine="397"/>
              <w:rPr>
                <w:i/>
                <w:sz w:val="16"/>
                <w:szCs w:val="16"/>
              </w:rPr>
            </w:pPr>
            <w:r w:rsidRPr="007E2F22">
              <w:rPr>
                <w:i/>
                <w:sz w:val="16"/>
                <w:szCs w:val="16"/>
              </w:rPr>
              <w:t>2</w:t>
            </w:r>
          </w:p>
        </w:tc>
        <w:tc>
          <w:tcPr>
            <w:tcW w:w="2410" w:type="dxa"/>
            <w:tcBorders>
              <w:top w:val="single" w:sz="4" w:space="0" w:color="auto"/>
              <w:left w:val="single" w:sz="4" w:space="0" w:color="auto"/>
              <w:bottom w:val="single" w:sz="4" w:space="0" w:color="auto"/>
              <w:right w:val="single" w:sz="4" w:space="0" w:color="auto"/>
            </w:tcBorders>
          </w:tcPr>
          <w:p w14:paraId="1B94DBD7" w14:textId="77777777" w:rsidR="007E2F22" w:rsidRPr="007E2F22" w:rsidRDefault="007E2F22" w:rsidP="007E2F22">
            <w:pPr>
              <w:tabs>
                <w:tab w:val="left" w:pos="142"/>
              </w:tabs>
              <w:spacing w:line="240" w:lineRule="auto"/>
              <w:ind w:left="567" w:firstLine="397"/>
              <w:rPr>
                <w:i/>
                <w:sz w:val="16"/>
                <w:szCs w:val="16"/>
              </w:rPr>
            </w:pPr>
            <w:r w:rsidRPr="007E2F22">
              <w:rPr>
                <w:i/>
                <w:sz w:val="16"/>
                <w:szCs w:val="16"/>
              </w:rPr>
              <w:t>3</w:t>
            </w:r>
          </w:p>
        </w:tc>
      </w:tr>
      <w:tr w:rsidR="007E2F22" w:rsidRPr="007E2F22" w14:paraId="4FAC5D78" w14:textId="77777777" w:rsidTr="007E2F22">
        <w:tc>
          <w:tcPr>
            <w:tcW w:w="851" w:type="dxa"/>
            <w:tcBorders>
              <w:top w:val="single" w:sz="4" w:space="0" w:color="auto"/>
              <w:left w:val="single" w:sz="4" w:space="0" w:color="auto"/>
              <w:bottom w:val="single" w:sz="4" w:space="0" w:color="auto"/>
              <w:right w:val="single" w:sz="4" w:space="0" w:color="auto"/>
            </w:tcBorders>
          </w:tcPr>
          <w:p w14:paraId="17783CB8" w14:textId="5560392D" w:rsidR="007E2F22" w:rsidRPr="007E2F22" w:rsidRDefault="007E2F22" w:rsidP="007E2F22">
            <w:pPr>
              <w:tabs>
                <w:tab w:val="left" w:pos="142"/>
              </w:tabs>
              <w:spacing w:line="240" w:lineRule="auto"/>
              <w:ind w:left="176" w:firstLine="0"/>
            </w:pPr>
            <w:r w:rsidRPr="007E2F22">
              <w:t>1.</w:t>
            </w:r>
          </w:p>
        </w:tc>
        <w:tc>
          <w:tcPr>
            <w:tcW w:w="6946" w:type="dxa"/>
            <w:tcBorders>
              <w:top w:val="single" w:sz="4" w:space="0" w:color="auto"/>
              <w:left w:val="single" w:sz="4" w:space="0" w:color="auto"/>
              <w:bottom w:val="single" w:sz="4" w:space="0" w:color="auto"/>
              <w:right w:val="single" w:sz="4" w:space="0" w:color="auto"/>
            </w:tcBorders>
          </w:tcPr>
          <w:p w14:paraId="7ABE1503" w14:textId="77777777" w:rsidR="007E2F22" w:rsidRPr="007E2F22" w:rsidRDefault="007E2F22" w:rsidP="007E2F22">
            <w:pPr>
              <w:spacing w:line="240" w:lineRule="auto"/>
              <w:ind w:firstLine="34"/>
            </w:pPr>
            <w:r w:rsidRPr="007E2F22">
              <w:t>Miltelinio gesintuvo MG-6 patikra (pagal Techninės specifikacijos 2.4 p.)</w:t>
            </w:r>
          </w:p>
        </w:tc>
        <w:tc>
          <w:tcPr>
            <w:tcW w:w="2410" w:type="dxa"/>
            <w:tcBorders>
              <w:top w:val="single" w:sz="4" w:space="0" w:color="auto"/>
              <w:left w:val="single" w:sz="4" w:space="0" w:color="auto"/>
              <w:bottom w:val="single" w:sz="4" w:space="0" w:color="auto"/>
              <w:right w:val="single" w:sz="4" w:space="0" w:color="auto"/>
            </w:tcBorders>
          </w:tcPr>
          <w:p w14:paraId="693920CE" w14:textId="77777777" w:rsidR="007E2F22" w:rsidRPr="007E2F22" w:rsidRDefault="007E2F22" w:rsidP="007E2F22">
            <w:pPr>
              <w:tabs>
                <w:tab w:val="left" w:pos="142"/>
              </w:tabs>
              <w:spacing w:line="240" w:lineRule="auto"/>
              <w:ind w:left="567" w:firstLine="397"/>
            </w:pPr>
            <w:r w:rsidRPr="007E2F22">
              <w:t>700</w:t>
            </w:r>
          </w:p>
        </w:tc>
      </w:tr>
      <w:tr w:rsidR="007E2F22" w:rsidRPr="007E2F22" w14:paraId="500C268D" w14:textId="77777777" w:rsidTr="007E2F22">
        <w:tc>
          <w:tcPr>
            <w:tcW w:w="851" w:type="dxa"/>
            <w:tcBorders>
              <w:top w:val="single" w:sz="4" w:space="0" w:color="auto"/>
              <w:left w:val="single" w:sz="4" w:space="0" w:color="auto"/>
              <w:bottom w:val="single" w:sz="4" w:space="0" w:color="auto"/>
              <w:right w:val="single" w:sz="4" w:space="0" w:color="auto"/>
            </w:tcBorders>
          </w:tcPr>
          <w:p w14:paraId="228AAE3F" w14:textId="775D8E53" w:rsidR="007E2F22" w:rsidRPr="007E2F22" w:rsidRDefault="007E2F22" w:rsidP="007E2F22">
            <w:pPr>
              <w:tabs>
                <w:tab w:val="left" w:pos="142"/>
              </w:tabs>
              <w:spacing w:line="240" w:lineRule="auto"/>
              <w:ind w:left="176" w:firstLine="0"/>
            </w:pPr>
            <w:r w:rsidRPr="007E2F22">
              <w:t>2.</w:t>
            </w:r>
          </w:p>
        </w:tc>
        <w:tc>
          <w:tcPr>
            <w:tcW w:w="6946" w:type="dxa"/>
            <w:tcBorders>
              <w:top w:val="single" w:sz="4" w:space="0" w:color="auto"/>
              <w:left w:val="single" w:sz="4" w:space="0" w:color="auto"/>
              <w:bottom w:val="single" w:sz="4" w:space="0" w:color="auto"/>
              <w:right w:val="single" w:sz="4" w:space="0" w:color="auto"/>
            </w:tcBorders>
          </w:tcPr>
          <w:p w14:paraId="3D4B5EB5" w14:textId="77777777" w:rsidR="007E2F22" w:rsidRPr="007E2F22" w:rsidRDefault="007E2F22" w:rsidP="007E2F22">
            <w:pPr>
              <w:spacing w:line="240" w:lineRule="auto"/>
              <w:ind w:firstLine="34"/>
            </w:pPr>
            <w:r w:rsidRPr="007E2F22">
              <w:t>Miltelinio gesintuvo MG-6 pildymas (pagal Techninės specifikacijos 2.4 p.), prireikus</w:t>
            </w:r>
          </w:p>
        </w:tc>
        <w:tc>
          <w:tcPr>
            <w:tcW w:w="2410" w:type="dxa"/>
            <w:tcBorders>
              <w:top w:val="single" w:sz="4" w:space="0" w:color="auto"/>
              <w:left w:val="single" w:sz="4" w:space="0" w:color="auto"/>
              <w:bottom w:val="single" w:sz="4" w:space="0" w:color="auto"/>
              <w:right w:val="single" w:sz="4" w:space="0" w:color="auto"/>
            </w:tcBorders>
          </w:tcPr>
          <w:p w14:paraId="0F7D2BF6" w14:textId="77777777" w:rsidR="007E2F22" w:rsidRPr="007E2F22" w:rsidRDefault="007E2F22" w:rsidP="007E2F22">
            <w:pPr>
              <w:tabs>
                <w:tab w:val="left" w:pos="142"/>
              </w:tabs>
              <w:spacing w:line="240" w:lineRule="auto"/>
              <w:ind w:left="567" w:firstLine="397"/>
            </w:pPr>
            <w:r w:rsidRPr="007E2F22">
              <w:t>70</w:t>
            </w:r>
          </w:p>
        </w:tc>
      </w:tr>
      <w:tr w:rsidR="007E2F22" w:rsidRPr="007E2F22" w14:paraId="52A1D428" w14:textId="77777777" w:rsidTr="007E2F22">
        <w:tc>
          <w:tcPr>
            <w:tcW w:w="851" w:type="dxa"/>
            <w:tcBorders>
              <w:top w:val="single" w:sz="4" w:space="0" w:color="auto"/>
              <w:left w:val="single" w:sz="4" w:space="0" w:color="auto"/>
              <w:bottom w:val="single" w:sz="4" w:space="0" w:color="auto"/>
              <w:right w:val="single" w:sz="4" w:space="0" w:color="auto"/>
            </w:tcBorders>
          </w:tcPr>
          <w:p w14:paraId="7D2FD32C" w14:textId="57EC5361" w:rsidR="007E2F22" w:rsidRPr="007E2F22" w:rsidRDefault="007E2F22" w:rsidP="007E2F22">
            <w:pPr>
              <w:tabs>
                <w:tab w:val="left" w:pos="142"/>
              </w:tabs>
              <w:spacing w:line="240" w:lineRule="auto"/>
              <w:ind w:left="176" w:firstLine="0"/>
            </w:pPr>
            <w:r w:rsidRPr="007E2F22">
              <w:t>3.</w:t>
            </w:r>
          </w:p>
        </w:tc>
        <w:tc>
          <w:tcPr>
            <w:tcW w:w="6946" w:type="dxa"/>
            <w:tcBorders>
              <w:top w:val="single" w:sz="4" w:space="0" w:color="auto"/>
              <w:left w:val="single" w:sz="4" w:space="0" w:color="auto"/>
              <w:bottom w:val="single" w:sz="4" w:space="0" w:color="auto"/>
              <w:right w:val="single" w:sz="4" w:space="0" w:color="auto"/>
            </w:tcBorders>
          </w:tcPr>
          <w:p w14:paraId="2EC54B07" w14:textId="77777777" w:rsidR="007E2F22" w:rsidRPr="007E2F22" w:rsidRDefault="007E2F22" w:rsidP="007E2F22">
            <w:pPr>
              <w:spacing w:line="240" w:lineRule="auto"/>
              <w:ind w:firstLine="34"/>
            </w:pPr>
            <w:r w:rsidRPr="007E2F22">
              <w:t>Gaisrinio čiaupo patikra, 1 kartą per metus</w:t>
            </w:r>
          </w:p>
        </w:tc>
        <w:tc>
          <w:tcPr>
            <w:tcW w:w="2410" w:type="dxa"/>
            <w:tcBorders>
              <w:top w:val="single" w:sz="4" w:space="0" w:color="auto"/>
              <w:left w:val="single" w:sz="4" w:space="0" w:color="auto"/>
              <w:bottom w:val="single" w:sz="4" w:space="0" w:color="auto"/>
              <w:right w:val="single" w:sz="4" w:space="0" w:color="auto"/>
            </w:tcBorders>
          </w:tcPr>
          <w:p w14:paraId="61DC11C0" w14:textId="77777777" w:rsidR="007E2F22" w:rsidRPr="007E2F22" w:rsidRDefault="007E2F22" w:rsidP="007E2F22">
            <w:pPr>
              <w:tabs>
                <w:tab w:val="left" w:pos="142"/>
              </w:tabs>
              <w:spacing w:line="240" w:lineRule="auto"/>
              <w:ind w:left="567" w:firstLine="397"/>
            </w:pPr>
            <w:r w:rsidRPr="007E2F22">
              <w:t>430</w:t>
            </w:r>
          </w:p>
        </w:tc>
      </w:tr>
      <w:tr w:rsidR="007E2F22" w:rsidRPr="007E2F22" w14:paraId="53920F3E" w14:textId="77777777" w:rsidTr="007E2F22">
        <w:tc>
          <w:tcPr>
            <w:tcW w:w="851" w:type="dxa"/>
            <w:tcBorders>
              <w:top w:val="single" w:sz="4" w:space="0" w:color="auto"/>
              <w:left w:val="single" w:sz="4" w:space="0" w:color="auto"/>
              <w:bottom w:val="single" w:sz="4" w:space="0" w:color="auto"/>
              <w:right w:val="single" w:sz="4" w:space="0" w:color="auto"/>
            </w:tcBorders>
          </w:tcPr>
          <w:p w14:paraId="2554E178" w14:textId="75D3588D" w:rsidR="007E2F22" w:rsidRPr="007E2F22" w:rsidRDefault="007E2F22" w:rsidP="007E2F22">
            <w:pPr>
              <w:tabs>
                <w:tab w:val="left" w:pos="142"/>
              </w:tabs>
              <w:spacing w:line="240" w:lineRule="auto"/>
              <w:ind w:left="176" w:firstLine="0"/>
            </w:pPr>
            <w:r w:rsidRPr="007E2F22">
              <w:t>4.</w:t>
            </w:r>
          </w:p>
        </w:tc>
        <w:tc>
          <w:tcPr>
            <w:tcW w:w="6946" w:type="dxa"/>
            <w:tcBorders>
              <w:top w:val="single" w:sz="4" w:space="0" w:color="auto"/>
              <w:left w:val="single" w:sz="4" w:space="0" w:color="auto"/>
              <w:bottom w:val="single" w:sz="4" w:space="0" w:color="auto"/>
              <w:right w:val="single" w:sz="4" w:space="0" w:color="auto"/>
            </w:tcBorders>
          </w:tcPr>
          <w:p w14:paraId="445A7164" w14:textId="77777777" w:rsidR="007E2F22" w:rsidRPr="007E2F22" w:rsidRDefault="007E2F22" w:rsidP="007E2F22">
            <w:pPr>
              <w:spacing w:line="240" w:lineRule="auto"/>
              <w:ind w:firstLine="34"/>
            </w:pPr>
            <w:r w:rsidRPr="007E2F22">
              <w:t>Gaisrinės žarnos patikra-išbandymas, 1 kartą per metus</w:t>
            </w:r>
          </w:p>
        </w:tc>
        <w:tc>
          <w:tcPr>
            <w:tcW w:w="2410" w:type="dxa"/>
            <w:tcBorders>
              <w:top w:val="single" w:sz="4" w:space="0" w:color="auto"/>
              <w:left w:val="single" w:sz="4" w:space="0" w:color="auto"/>
              <w:bottom w:val="single" w:sz="4" w:space="0" w:color="auto"/>
              <w:right w:val="single" w:sz="4" w:space="0" w:color="auto"/>
            </w:tcBorders>
          </w:tcPr>
          <w:p w14:paraId="5CBCD707" w14:textId="77777777" w:rsidR="007E2F22" w:rsidRPr="007E2F22" w:rsidRDefault="007E2F22" w:rsidP="007E2F22">
            <w:pPr>
              <w:tabs>
                <w:tab w:val="left" w:pos="142"/>
              </w:tabs>
              <w:spacing w:line="240" w:lineRule="auto"/>
              <w:ind w:left="567" w:firstLine="397"/>
            </w:pPr>
            <w:r w:rsidRPr="007E2F22">
              <w:t>430</w:t>
            </w:r>
          </w:p>
        </w:tc>
      </w:tr>
      <w:tr w:rsidR="007E2F22" w:rsidRPr="007E2F22" w14:paraId="709180F8" w14:textId="77777777" w:rsidTr="007E2F22">
        <w:tc>
          <w:tcPr>
            <w:tcW w:w="851" w:type="dxa"/>
            <w:tcBorders>
              <w:top w:val="single" w:sz="4" w:space="0" w:color="auto"/>
              <w:left w:val="single" w:sz="4" w:space="0" w:color="auto"/>
              <w:bottom w:val="single" w:sz="4" w:space="0" w:color="auto"/>
              <w:right w:val="single" w:sz="4" w:space="0" w:color="auto"/>
            </w:tcBorders>
          </w:tcPr>
          <w:p w14:paraId="255FA65A" w14:textId="3ABE776E" w:rsidR="007E2F22" w:rsidRPr="007E2F22" w:rsidRDefault="007E2F22" w:rsidP="007E2F22">
            <w:pPr>
              <w:tabs>
                <w:tab w:val="left" w:pos="142"/>
              </w:tabs>
              <w:spacing w:line="240" w:lineRule="auto"/>
              <w:ind w:left="176" w:firstLine="0"/>
            </w:pPr>
            <w:r w:rsidRPr="007E2F22">
              <w:t>5.</w:t>
            </w:r>
          </w:p>
        </w:tc>
        <w:tc>
          <w:tcPr>
            <w:tcW w:w="6946" w:type="dxa"/>
            <w:tcBorders>
              <w:top w:val="single" w:sz="4" w:space="0" w:color="auto"/>
              <w:left w:val="single" w:sz="4" w:space="0" w:color="auto"/>
              <w:bottom w:val="single" w:sz="4" w:space="0" w:color="auto"/>
              <w:right w:val="single" w:sz="4" w:space="0" w:color="auto"/>
            </w:tcBorders>
          </w:tcPr>
          <w:p w14:paraId="617D8297" w14:textId="77777777" w:rsidR="007E2F22" w:rsidRPr="007E2F22" w:rsidRDefault="007E2F22" w:rsidP="007E2F22">
            <w:pPr>
              <w:spacing w:line="240" w:lineRule="auto"/>
              <w:ind w:firstLine="34"/>
            </w:pPr>
            <w:r w:rsidRPr="007E2F22">
              <w:t>Gaisrinės žarnos-perkantavimas, 1 kartą per metus</w:t>
            </w:r>
          </w:p>
        </w:tc>
        <w:tc>
          <w:tcPr>
            <w:tcW w:w="2410" w:type="dxa"/>
            <w:tcBorders>
              <w:top w:val="single" w:sz="4" w:space="0" w:color="auto"/>
              <w:left w:val="single" w:sz="4" w:space="0" w:color="auto"/>
              <w:bottom w:val="single" w:sz="4" w:space="0" w:color="auto"/>
              <w:right w:val="single" w:sz="4" w:space="0" w:color="auto"/>
            </w:tcBorders>
          </w:tcPr>
          <w:p w14:paraId="2707C807" w14:textId="77777777" w:rsidR="007E2F22" w:rsidRPr="007E2F22" w:rsidRDefault="007E2F22" w:rsidP="007E2F22">
            <w:pPr>
              <w:tabs>
                <w:tab w:val="left" w:pos="142"/>
              </w:tabs>
              <w:spacing w:line="240" w:lineRule="auto"/>
              <w:ind w:left="567" w:firstLine="397"/>
            </w:pPr>
            <w:r w:rsidRPr="007E2F22">
              <w:t>430</w:t>
            </w:r>
          </w:p>
        </w:tc>
      </w:tr>
      <w:tr w:rsidR="007E2F22" w:rsidRPr="007E2F22" w14:paraId="051445AF" w14:textId="77777777" w:rsidTr="007E2F22">
        <w:tc>
          <w:tcPr>
            <w:tcW w:w="851" w:type="dxa"/>
            <w:tcBorders>
              <w:top w:val="single" w:sz="4" w:space="0" w:color="auto"/>
              <w:left w:val="single" w:sz="4" w:space="0" w:color="auto"/>
              <w:bottom w:val="single" w:sz="4" w:space="0" w:color="auto"/>
              <w:right w:val="single" w:sz="4" w:space="0" w:color="auto"/>
            </w:tcBorders>
          </w:tcPr>
          <w:p w14:paraId="190D8E6D" w14:textId="56593453" w:rsidR="007E2F22" w:rsidRPr="007E2F22" w:rsidRDefault="007E2F22" w:rsidP="007E2F22">
            <w:pPr>
              <w:tabs>
                <w:tab w:val="left" w:pos="142"/>
              </w:tabs>
              <w:spacing w:line="240" w:lineRule="auto"/>
              <w:ind w:left="176" w:firstLine="0"/>
            </w:pPr>
            <w:r w:rsidRPr="007E2F22">
              <w:t>6.</w:t>
            </w:r>
          </w:p>
        </w:tc>
        <w:tc>
          <w:tcPr>
            <w:tcW w:w="6946" w:type="dxa"/>
            <w:tcBorders>
              <w:top w:val="single" w:sz="4" w:space="0" w:color="auto"/>
              <w:left w:val="single" w:sz="4" w:space="0" w:color="auto"/>
              <w:bottom w:val="single" w:sz="4" w:space="0" w:color="auto"/>
              <w:right w:val="single" w:sz="4" w:space="0" w:color="auto"/>
            </w:tcBorders>
          </w:tcPr>
          <w:p w14:paraId="381DA777" w14:textId="77777777" w:rsidR="007E2F22" w:rsidRPr="007E2F22" w:rsidRDefault="007E2F22" w:rsidP="007E2F22">
            <w:pPr>
              <w:spacing w:line="240" w:lineRule="auto"/>
              <w:ind w:firstLine="34"/>
            </w:pPr>
            <w:r w:rsidRPr="007E2F22">
              <w:t>Gaisrinės žarnos įrišimas</w:t>
            </w:r>
          </w:p>
          <w:p w14:paraId="64AE5F16" w14:textId="77777777" w:rsidR="007E2F22" w:rsidRPr="007E2F22" w:rsidRDefault="007E2F22" w:rsidP="007E2F22">
            <w:pPr>
              <w:spacing w:line="240" w:lineRule="auto"/>
              <w:ind w:firstLine="34"/>
            </w:pPr>
            <w:r w:rsidRPr="007E2F22">
              <w:t>(iš vienos pusės), prireikus</w:t>
            </w:r>
          </w:p>
        </w:tc>
        <w:tc>
          <w:tcPr>
            <w:tcW w:w="2410" w:type="dxa"/>
            <w:tcBorders>
              <w:top w:val="single" w:sz="4" w:space="0" w:color="auto"/>
              <w:left w:val="single" w:sz="4" w:space="0" w:color="auto"/>
              <w:bottom w:val="single" w:sz="4" w:space="0" w:color="auto"/>
              <w:right w:val="single" w:sz="4" w:space="0" w:color="auto"/>
            </w:tcBorders>
          </w:tcPr>
          <w:p w14:paraId="1082CD8D" w14:textId="77777777" w:rsidR="007E2F22" w:rsidRPr="007E2F22" w:rsidRDefault="007E2F22" w:rsidP="007E2F22">
            <w:pPr>
              <w:tabs>
                <w:tab w:val="left" w:pos="142"/>
              </w:tabs>
              <w:spacing w:line="240" w:lineRule="auto"/>
              <w:ind w:left="567" w:firstLine="397"/>
            </w:pPr>
            <w:r w:rsidRPr="007E2F22">
              <w:t>30</w:t>
            </w:r>
          </w:p>
        </w:tc>
      </w:tr>
      <w:tr w:rsidR="007E2F22" w:rsidRPr="007E2F22" w14:paraId="03D67E19" w14:textId="77777777" w:rsidTr="007E2F22">
        <w:tc>
          <w:tcPr>
            <w:tcW w:w="851" w:type="dxa"/>
            <w:tcBorders>
              <w:top w:val="single" w:sz="4" w:space="0" w:color="auto"/>
              <w:left w:val="single" w:sz="4" w:space="0" w:color="auto"/>
              <w:bottom w:val="single" w:sz="4" w:space="0" w:color="auto"/>
              <w:right w:val="single" w:sz="4" w:space="0" w:color="auto"/>
            </w:tcBorders>
          </w:tcPr>
          <w:p w14:paraId="75C20B89" w14:textId="288950BB" w:rsidR="007E2F22" w:rsidRPr="007E2F22" w:rsidRDefault="007E2F22" w:rsidP="007E2F22">
            <w:pPr>
              <w:tabs>
                <w:tab w:val="left" w:pos="142"/>
              </w:tabs>
              <w:spacing w:line="240" w:lineRule="auto"/>
              <w:ind w:left="176" w:firstLine="0"/>
            </w:pPr>
            <w:r w:rsidRPr="007E2F22">
              <w:t>7.</w:t>
            </w:r>
          </w:p>
        </w:tc>
        <w:tc>
          <w:tcPr>
            <w:tcW w:w="6946" w:type="dxa"/>
            <w:tcBorders>
              <w:top w:val="single" w:sz="4" w:space="0" w:color="auto"/>
              <w:left w:val="single" w:sz="4" w:space="0" w:color="auto"/>
              <w:bottom w:val="single" w:sz="4" w:space="0" w:color="auto"/>
              <w:right w:val="single" w:sz="4" w:space="0" w:color="auto"/>
            </w:tcBorders>
          </w:tcPr>
          <w:p w14:paraId="3041731E" w14:textId="77777777" w:rsidR="007E2F22" w:rsidRPr="007E2F22" w:rsidRDefault="007E2F22" w:rsidP="007E2F22">
            <w:pPr>
              <w:spacing w:line="240" w:lineRule="auto"/>
              <w:ind w:firstLine="34"/>
            </w:pPr>
            <w:r w:rsidRPr="007E2F22">
              <w:t>Dviejų dujinių gesinimo sistemų patikra ir aptarnavimas (Katedros a. 4, Vilnius)  4 kartai per metus</w:t>
            </w:r>
          </w:p>
        </w:tc>
        <w:tc>
          <w:tcPr>
            <w:tcW w:w="2410" w:type="dxa"/>
            <w:tcBorders>
              <w:top w:val="single" w:sz="4" w:space="0" w:color="auto"/>
              <w:left w:val="single" w:sz="4" w:space="0" w:color="auto"/>
              <w:bottom w:val="single" w:sz="4" w:space="0" w:color="auto"/>
              <w:right w:val="single" w:sz="4" w:space="0" w:color="auto"/>
            </w:tcBorders>
          </w:tcPr>
          <w:p w14:paraId="59EA128C" w14:textId="77777777" w:rsidR="007E2F22" w:rsidRPr="007E2F22" w:rsidRDefault="007E2F22" w:rsidP="007E2F22">
            <w:pPr>
              <w:tabs>
                <w:tab w:val="left" w:pos="142"/>
              </w:tabs>
              <w:spacing w:line="240" w:lineRule="auto"/>
              <w:ind w:left="567" w:firstLine="397"/>
            </w:pPr>
            <w:r w:rsidRPr="007E2F22">
              <w:t>12</w:t>
            </w:r>
          </w:p>
        </w:tc>
      </w:tr>
      <w:tr w:rsidR="007E2F22" w:rsidRPr="007E2F22" w14:paraId="53922371" w14:textId="77777777" w:rsidTr="007E2F22">
        <w:tc>
          <w:tcPr>
            <w:tcW w:w="851" w:type="dxa"/>
            <w:tcBorders>
              <w:top w:val="single" w:sz="4" w:space="0" w:color="auto"/>
              <w:left w:val="single" w:sz="4" w:space="0" w:color="auto"/>
              <w:bottom w:val="single" w:sz="4" w:space="0" w:color="auto"/>
              <w:right w:val="single" w:sz="4" w:space="0" w:color="auto"/>
            </w:tcBorders>
          </w:tcPr>
          <w:p w14:paraId="56B03483" w14:textId="36EADCAB" w:rsidR="007E2F22" w:rsidRPr="007E2F22" w:rsidRDefault="007E2F22" w:rsidP="007E2F22">
            <w:pPr>
              <w:tabs>
                <w:tab w:val="left" w:pos="176"/>
              </w:tabs>
              <w:spacing w:line="240" w:lineRule="auto"/>
              <w:ind w:left="176" w:firstLine="0"/>
            </w:pPr>
            <w:r w:rsidRPr="007E2F22">
              <w:t>8.</w:t>
            </w:r>
          </w:p>
        </w:tc>
        <w:tc>
          <w:tcPr>
            <w:tcW w:w="6946" w:type="dxa"/>
            <w:tcBorders>
              <w:top w:val="single" w:sz="4" w:space="0" w:color="auto"/>
              <w:left w:val="single" w:sz="4" w:space="0" w:color="auto"/>
              <w:bottom w:val="single" w:sz="4" w:space="0" w:color="auto"/>
              <w:right w:val="single" w:sz="4" w:space="0" w:color="auto"/>
            </w:tcBorders>
          </w:tcPr>
          <w:p w14:paraId="40DB5E9B" w14:textId="77777777" w:rsidR="007E2F22" w:rsidRPr="007E2F22" w:rsidRDefault="007E2F22" w:rsidP="007E2F22">
            <w:pPr>
              <w:spacing w:line="240" w:lineRule="auto"/>
              <w:ind w:firstLine="34"/>
            </w:pPr>
            <w:r w:rsidRPr="007E2F22">
              <w:t>Dujinio gesinimo sistemos patikra ir aptarnavimas (Kražių g. 5, Vilnius)  4 kartai per metus</w:t>
            </w:r>
          </w:p>
        </w:tc>
        <w:tc>
          <w:tcPr>
            <w:tcW w:w="2410" w:type="dxa"/>
            <w:tcBorders>
              <w:top w:val="single" w:sz="4" w:space="0" w:color="auto"/>
              <w:left w:val="single" w:sz="4" w:space="0" w:color="auto"/>
              <w:bottom w:val="single" w:sz="4" w:space="0" w:color="auto"/>
              <w:right w:val="single" w:sz="4" w:space="0" w:color="auto"/>
            </w:tcBorders>
          </w:tcPr>
          <w:p w14:paraId="3AC9320E" w14:textId="77777777" w:rsidR="007E2F22" w:rsidRPr="007E2F22" w:rsidRDefault="007E2F22" w:rsidP="007E2F22">
            <w:pPr>
              <w:tabs>
                <w:tab w:val="left" w:pos="142"/>
              </w:tabs>
              <w:spacing w:line="240" w:lineRule="auto"/>
              <w:ind w:left="567" w:firstLine="397"/>
            </w:pPr>
            <w:r w:rsidRPr="007E2F22">
              <w:t>12</w:t>
            </w:r>
          </w:p>
        </w:tc>
      </w:tr>
    </w:tbl>
    <w:p w14:paraId="70330456" w14:textId="77777777" w:rsidR="007D2B9E" w:rsidRPr="0083527F" w:rsidRDefault="007D2B9E" w:rsidP="007E2F22">
      <w:pPr>
        <w:tabs>
          <w:tab w:val="left" w:pos="142"/>
        </w:tabs>
        <w:ind w:firstLine="0"/>
      </w:pPr>
    </w:p>
    <w:p w14:paraId="2F630138" w14:textId="77777777" w:rsidR="007D2B9E" w:rsidRPr="0083527F" w:rsidRDefault="007D2B9E" w:rsidP="007B3919">
      <w:pPr>
        <w:tabs>
          <w:tab w:val="left" w:pos="142"/>
        </w:tabs>
        <w:spacing w:after="120" w:line="240" w:lineRule="auto"/>
        <w:ind w:left="567" w:firstLine="0"/>
      </w:pPr>
      <w:r w:rsidRPr="0083527F">
        <w:rPr>
          <w:b/>
        </w:rPr>
        <w:t>2</w:t>
      </w:r>
      <w:r w:rsidRPr="0083527F">
        <w:t xml:space="preserve">. </w:t>
      </w:r>
      <w:r w:rsidRPr="0083527F">
        <w:rPr>
          <w:rFonts w:eastAsia="MS Mincho"/>
        </w:rPr>
        <w:t>Paslaugos turi būti teikiamos vadovaujantis:</w:t>
      </w:r>
    </w:p>
    <w:p w14:paraId="0432805D" w14:textId="77777777" w:rsidR="007D2B9E" w:rsidRPr="0083527F" w:rsidRDefault="007D2B9E" w:rsidP="007B3919">
      <w:pPr>
        <w:tabs>
          <w:tab w:val="left" w:pos="142"/>
          <w:tab w:val="left" w:pos="993"/>
        </w:tabs>
        <w:spacing w:after="120" w:line="240" w:lineRule="auto"/>
        <w:ind w:left="567" w:firstLine="0"/>
      </w:pPr>
      <w:r w:rsidRPr="0083527F">
        <w:rPr>
          <w:b/>
        </w:rPr>
        <w:t>2.1</w:t>
      </w:r>
      <w:r w:rsidRPr="0083527F">
        <w:t>. Bendrosiomis gaisrinės saugos taisyklėmis, patvirtintomis Priešgaisrinės apsaugos ir gelbėjimo departamento prie Vidaus reikalų ministerijos direktoriaus 2005 m. vasario 18 d. įsakymu Nr. 64 (aktualia galiojančia redakcija);</w:t>
      </w:r>
    </w:p>
    <w:p w14:paraId="20731A0C" w14:textId="77777777" w:rsidR="007D2B9E" w:rsidRPr="0083527F" w:rsidRDefault="007D2B9E" w:rsidP="007B3919">
      <w:pPr>
        <w:tabs>
          <w:tab w:val="left" w:pos="142"/>
          <w:tab w:val="left" w:pos="993"/>
        </w:tabs>
        <w:spacing w:after="120" w:line="240" w:lineRule="auto"/>
        <w:ind w:left="567" w:firstLine="0"/>
      </w:pPr>
      <w:r w:rsidRPr="0083527F">
        <w:rPr>
          <w:b/>
        </w:rPr>
        <w:t>2.2.</w:t>
      </w:r>
      <w:r w:rsidRPr="0083527F">
        <w:t xml:space="preserve"> Gaisrinės saugos inžinerinių sistemų priežiūros rekomendacijomis, patvirtintomis Priešgaisrinės apsaugos ir gelbėjimo departamento prie Vidaus reikalų ministerijos direktoriaus 2011 m. rugpjūčio 23 d. įsakymu Nr. 1-251; </w:t>
      </w:r>
    </w:p>
    <w:p w14:paraId="7ABB02EA" w14:textId="77777777" w:rsidR="007D2B9E" w:rsidRPr="0083527F" w:rsidRDefault="007D2B9E" w:rsidP="007B3919">
      <w:pPr>
        <w:tabs>
          <w:tab w:val="left" w:pos="142"/>
          <w:tab w:val="left" w:pos="1276"/>
        </w:tabs>
        <w:spacing w:after="120" w:line="240" w:lineRule="auto"/>
        <w:ind w:left="567" w:firstLine="0"/>
      </w:pPr>
      <w:r w:rsidRPr="0083527F">
        <w:rPr>
          <w:b/>
        </w:rPr>
        <w:t>2.3.</w:t>
      </w:r>
      <w:r w:rsidRPr="0083527F">
        <w:t xml:space="preserve"> LST EN 15004-1:2008 Stacionariosios gaisrų gesinimo sistemos. Gesinimo dujomis sistemos. 1 dalis. Projektavimas, įrengimas ir techninė priežiūra (ISO 14520-1:2006, modifikuotas);</w:t>
      </w:r>
    </w:p>
    <w:p w14:paraId="736BD2ED" w14:textId="77777777" w:rsidR="007D2B9E" w:rsidRDefault="007D2B9E" w:rsidP="007B3919">
      <w:pPr>
        <w:pStyle w:val="NormalWeb"/>
        <w:tabs>
          <w:tab w:val="left" w:pos="142"/>
        </w:tabs>
        <w:spacing w:before="0" w:beforeAutospacing="0" w:after="120" w:afterAutospacing="0" w:line="240" w:lineRule="auto"/>
        <w:ind w:left="567" w:firstLine="0"/>
      </w:pPr>
      <w:r w:rsidRPr="0083527F">
        <w:rPr>
          <w:b/>
        </w:rPr>
        <w:t>2.4.</w:t>
      </w:r>
      <w:r w:rsidRPr="0083527F">
        <w:t xml:space="preserve"> Gesintuvų </w:t>
      </w:r>
      <w:r>
        <w:t xml:space="preserve">aptarnavimo paslaugos </w:t>
      </w:r>
      <w:r w:rsidRPr="0083527F">
        <w:t>turi būti atliekamos  pagal  Priešgaisrinės apsaugos ir gelbėjimo departamento prie VRM 2010-12-20 įsakymą Nr.1-360 „Dėl gesintuvų techninės priežiūros taisyklių patvirtinimo“ (toliau – Gesintuvų priežiūros taisyklės). Miltelinių gesintuvų MG-6 techninę priežiūrą ir pildymą (Lentelės Eil. Nr.1 ir Nr. 2) būtina atlikti pagal Gesintuvų priežiūros taisyklių 5 lentelės („Gesintuvų techninės priežiūros procedūros“) reikalavimus.</w:t>
      </w:r>
    </w:p>
    <w:p w14:paraId="0A87BB1F" w14:textId="77777777" w:rsidR="007D2B9E" w:rsidRPr="0083527F" w:rsidRDefault="007D2B9E" w:rsidP="007B3919">
      <w:pPr>
        <w:pStyle w:val="NormalWeb"/>
        <w:tabs>
          <w:tab w:val="left" w:pos="142"/>
        </w:tabs>
        <w:spacing w:before="0" w:beforeAutospacing="0" w:after="120" w:afterAutospacing="0" w:line="240" w:lineRule="auto"/>
        <w:ind w:left="567" w:firstLine="0"/>
      </w:pPr>
      <w:r w:rsidRPr="007161FE">
        <w:rPr>
          <w:b/>
        </w:rPr>
        <w:t>2.5.</w:t>
      </w:r>
      <w:r>
        <w:t xml:space="preserve"> Tiekėjas turi užpildyti privalomus techninio patikrinimo žurnalus. </w:t>
      </w:r>
    </w:p>
    <w:p w14:paraId="142252D4" w14:textId="77777777" w:rsidR="007D2B9E" w:rsidRPr="0083527F" w:rsidRDefault="007D2B9E" w:rsidP="007B3919">
      <w:pPr>
        <w:tabs>
          <w:tab w:val="left" w:pos="142"/>
        </w:tabs>
        <w:autoSpaceDE w:val="0"/>
        <w:autoSpaceDN w:val="0"/>
        <w:adjustRightInd w:val="0"/>
        <w:spacing w:after="120" w:line="240" w:lineRule="auto"/>
        <w:ind w:left="567" w:firstLine="0"/>
        <w:rPr>
          <w:rFonts w:eastAsiaTheme="minorHAnsi"/>
          <w:lang w:eastAsia="en-US"/>
        </w:rPr>
      </w:pPr>
      <w:r w:rsidRPr="0083527F">
        <w:rPr>
          <w:b/>
        </w:rPr>
        <w:t>3.</w:t>
      </w:r>
      <w:r w:rsidRPr="0083527F">
        <w:rPr>
          <w:rFonts w:eastAsiaTheme="minorHAnsi"/>
          <w:lang w:eastAsia="en-US"/>
        </w:rPr>
        <w:t xml:space="preserve"> Dujini</w:t>
      </w:r>
      <w:r>
        <w:rPr>
          <w:rFonts w:eastAsiaTheme="minorHAnsi"/>
          <w:lang w:eastAsia="en-US"/>
        </w:rPr>
        <w:t>ų</w:t>
      </w:r>
      <w:r w:rsidRPr="0083527F">
        <w:rPr>
          <w:rFonts w:eastAsiaTheme="minorHAnsi"/>
          <w:lang w:eastAsia="en-US"/>
        </w:rPr>
        <w:t xml:space="preserve"> gesinimo sistemų techninė priežiūra, atliekama pagal gamintojo rekomendacijas bei patikros instrukciją vieną kartą per ketvirtį.</w:t>
      </w:r>
    </w:p>
    <w:p w14:paraId="03D05C32" w14:textId="77777777" w:rsidR="007D2B9E" w:rsidRPr="0083527F" w:rsidRDefault="007D2B9E" w:rsidP="007B3919">
      <w:pPr>
        <w:tabs>
          <w:tab w:val="left" w:pos="142"/>
        </w:tabs>
        <w:autoSpaceDE w:val="0"/>
        <w:autoSpaceDN w:val="0"/>
        <w:adjustRightInd w:val="0"/>
        <w:spacing w:after="120" w:line="240" w:lineRule="auto"/>
        <w:ind w:left="567" w:firstLine="0"/>
        <w:rPr>
          <w:rFonts w:eastAsiaTheme="minorHAnsi"/>
          <w:lang w:eastAsia="en-US"/>
        </w:rPr>
      </w:pPr>
      <w:r w:rsidRPr="0083527F">
        <w:rPr>
          <w:rFonts w:eastAsiaTheme="minorHAnsi"/>
          <w:b/>
          <w:lang w:eastAsia="en-US"/>
        </w:rPr>
        <w:t>3.1.</w:t>
      </w:r>
      <w:r w:rsidRPr="0083527F">
        <w:rPr>
          <w:rFonts w:eastAsiaTheme="minorHAnsi"/>
          <w:lang w:eastAsia="en-US"/>
        </w:rPr>
        <w:t xml:space="preserve"> </w:t>
      </w:r>
      <w:r>
        <w:rPr>
          <w:rFonts w:eastAsiaTheme="minorHAnsi"/>
          <w:lang w:eastAsia="en-US"/>
        </w:rPr>
        <w:t>Dujinių gesinimo sistemų t</w:t>
      </w:r>
      <w:r w:rsidRPr="0083527F">
        <w:rPr>
          <w:rFonts w:eastAsiaTheme="minorHAnsi"/>
          <w:lang w:eastAsia="en-US"/>
        </w:rPr>
        <w:t xml:space="preserve">echninės priežiūros </w:t>
      </w:r>
      <w:r>
        <w:rPr>
          <w:rFonts w:eastAsiaTheme="minorHAnsi"/>
          <w:lang w:eastAsia="en-US"/>
        </w:rPr>
        <w:t xml:space="preserve">Paslaugų </w:t>
      </w:r>
      <w:r w:rsidRPr="0083527F">
        <w:rPr>
          <w:rFonts w:eastAsiaTheme="minorHAnsi"/>
          <w:lang w:eastAsia="en-US"/>
        </w:rPr>
        <w:t>apimtis per vieną aptarnavimą:</w:t>
      </w:r>
    </w:p>
    <w:p w14:paraId="6B6DA116" w14:textId="77777777" w:rsidR="007D2B9E" w:rsidRPr="0083527F" w:rsidRDefault="007D2B9E" w:rsidP="00DC5546">
      <w:pPr>
        <w:pStyle w:val="ListParagraph"/>
        <w:numPr>
          <w:ilvl w:val="0"/>
          <w:numId w:val="10"/>
        </w:numPr>
        <w:tabs>
          <w:tab w:val="left" w:pos="142"/>
        </w:tabs>
        <w:autoSpaceDE w:val="0"/>
        <w:autoSpaceDN w:val="0"/>
        <w:adjustRightInd w:val="0"/>
        <w:spacing w:after="120" w:line="240" w:lineRule="auto"/>
        <w:ind w:left="567" w:firstLine="0"/>
        <w:jc w:val="left"/>
        <w:rPr>
          <w:rFonts w:ascii="Times New Roman" w:hAnsi="Times New Roman" w:cs="Times New Roman"/>
        </w:rPr>
      </w:pPr>
      <w:r w:rsidRPr="0083527F">
        <w:rPr>
          <w:rFonts w:ascii="Times New Roman" w:hAnsi="Times New Roman" w:cs="Times New Roman"/>
        </w:rPr>
        <w:t>Vizuali sistemų mechaninių ir automatikos įrenginių komplektiškumo patikra</w:t>
      </w:r>
      <w:r>
        <w:rPr>
          <w:rFonts w:ascii="Times New Roman" w:hAnsi="Times New Roman" w:cs="Times New Roman"/>
        </w:rPr>
        <w:t>;</w:t>
      </w:r>
    </w:p>
    <w:p w14:paraId="67C9A84D" w14:textId="77777777" w:rsidR="007D2B9E" w:rsidRPr="0083527F" w:rsidRDefault="007D2B9E" w:rsidP="00DC5546">
      <w:pPr>
        <w:pStyle w:val="ListParagraph"/>
        <w:numPr>
          <w:ilvl w:val="0"/>
          <w:numId w:val="10"/>
        </w:numPr>
        <w:tabs>
          <w:tab w:val="left" w:pos="142"/>
        </w:tabs>
        <w:autoSpaceDE w:val="0"/>
        <w:autoSpaceDN w:val="0"/>
        <w:adjustRightInd w:val="0"/>
        <w:spacing w:after="120" w:line="240" w:lineRule="auto"/>
        <w:ind w:left="567" w:firstLine="0"/>
        <w:rPr>
          <w:rFonts w:ascii="Times New Roman" w:hAnsi="Times New Roman" w:cs="Times New Roman"/>
        </w:rPr>
      </w:pPr>
      <w:r w:rsidRPr="0083527F">
        <w:rPr>
          <w:rFonts w:ascii="Times New Roman" w:hAnsi="Times New Roman" w:cs="Times New Roman"/>
        </w:rPr>
        <w:t>Vizuali paskirstomųjų vamzdynų ir purkštukų patikra</w:t>
      </w:r>
      <w:r>
        <w:rPr>
          <w:rFonts w:ascii="Times New Roman" w:hAnsi="Times New Roman" w:cs="Times New Roman"/>
        </w:rPr>
        <w:t>;</w:t>
      </w:r>
    </w:p>
    <w:p w14:paraId="3E4A6D9C" w14:textId="77777777" w:rsidR="007D2B9E" w:rsidRPr="0083527F" w:rsidRDefault="007D2B9E" w:rsidP="00DC5546">
      <w:pPr>
        <w:pStyle w:val="ListParagraph"/>
        <w:numPr>
          <w:ilvl w:val="0"/>
          <w:numId w:val="10"/>
        </w:numPr>
        <w:tabs>
          <w:tab w:val="left" w:pos="142"/>
        </w:tabs>
        <w:autoSpaceDE w:val="0"/>
        <w:autoSpaceDN w:val="0"/>
        <w:adjustRightInd w:val="0"/>
        <w:spacing w:after="120" w:line="240" w:lineRule="auto"/>
        <w:ind w:left="567" w:firstLine="0"/>
        <w:rPr>
          <w:rFonts w:ascii="Times New Roman" w:hAnsi="Times New Roman" w:cs="Times New Roman"/>
        </w:rPr>
      </w:pPr>
      <w:r w:rsidRPr="0083527F">
        <w:rPr>
          <w:rFonts w:ascii="Times New Roman" w:hAnsi="Times New Roman" w:cs="Times New Roman"/>
        </w:rPr>
        <w:t>Vizuali dujų balionų patikra: gesinančios medžiagos slėgio, vožtuvų, paleidimo mazgų, manometrų, sujungimo žarnelių patikra. Balionų tvirtinimo, plombavimo bei ženklinimo patikra</w:t>
      </w:r>
      <w:r>
        <w:rPr>
          <w:rFonts w:ascii="Times New Roman" w:hAnsi="Times New Roman" w:cs="Times New Roman"/>
        </w:rPr>
        <w:t>;</w:t>
      </w:r>
    </w:p>
    <w:p w14:paraId="485BD921" w14:textId="77777777" w:rsidR="007D2B9E" w:rsidRPr="0083527F" w:rsidRDefault="007D2B9E" w:rsidP="00DC5546">
      <w:pPr>
        <w:pStyle w:val="ListParagraph"/>
        <w:numPr>
          <w:ilvl w:val="0"/>
          <w:numId w:val="10"/>
        </w:numPr>
        <w:tabs>
          <w:tab w:val="left" w:pos="142"/>
        </w:tabs>
        <w:autoSpaceDE w:val="0"/>
        <w:autoSpaceDN w:val="0"/>
        <w:adjustRightInd w:val="0"/>
        <w:spacing w:after="120" w:line="240" w:lineRule="auto"/>
        <w:ind w:left="567" w:firstLine="0"/>
        <w:rPr>
          <w:rFonts w:ascii="Times New Roman" w:hAnsi="Times New Roman" w:cs="Times New Roman"/>
        </w:rPr>
      </w:pPr>
      <w:r w:rsidRPr="0083527F">
        <w:rPr>
          <w:rFonts w:ascii="Times New Roman" w:hAnsi="Times New Roman" w:cs="Times New Roman"/>
        </w:rPr>
        <w:lastRenderedPageBreak/>
        <w:t>Gesinimo valdymo automatikos įrenginių bei prietaisų indikavimo patikra, veikiant “rimties” būsenoje, gedimo ar atjungimo režimais. Gesinimo valdymo pultų pagrindinio ir rezervinio maitinimo šaltinių patikra</w:t>
      </w:r>
      <w:r>
        <w:rPr>
          <w:rFonts w:ascii="Times New Roman" w:hAnsi="Times New Roman" w:cs="Times New Roman"/>
        </w:rPr>
        <w:t>;</w:t>
      </w:r>
    </w:p>
    <w:p w14:paraId="06A5B091" w14:textId="77777777" w:rsidR="007D2B9E" w:rsidRDefault="007D2B9E" w:rsidP="00DC5546">
      <w:pPr>
        <w:pStyle w:val="ListParagraph"/>
        <w:numPr>
          <w:ilvl w:val="0"/>
          <w:numId w:val="10"/>
        </w:numPr>
        <w:tabs>
          <w:tab w:val="left" w:pos="142"/>
        </w:tabs>
        <w:autoSpaceDE w:val="0"/>
        <w:autoSpaceDN w:val="0"/>
        <w:adjustRightInd w:val="0"/>
        <w:spacing w:after="120" w:line="240" w:lineRule="auto"/>
        <w:ind w:left="567" w:firstLine="0"/>
        <w:rPr>
          <w:rFonts w:ascii="Times New Roman" w:hAnsi="Times New Roman" w:cs="Times New Roman"/>
        </w:rPr>
      </w:pPr>
      <w:r w:rsidRPr="0083527F">
        <w:rPr>
          <w:rFonts w:ascii="Times New Roman" w:hAnsi="Times New Roman" w:cs="Times New Roman"/>
        </w:rPr>
        <w:t>Automatinių dūminių gaisrinių detektorių, rankinių gaisro pavojaus ir rankinių dujų paleidimo mygtukų patikra</w:t>
      </w:r>
      <w:r>
        <w:rPr>
          <w:rFonts w:ascii="Times New Roman" w:hAnsi="Times New Roman" w:cs="Times New Roman"/>
        </w:rPr>
        <w:t>;</w:t>
      </w:r>
      <w:r w:rsidRPr="0083527F" w:rsidDel="0083527F">
        <w:rPr>
          <w:rFonts w:ascii="Times New Roman" w:hAnsi="Times New Roman" w:cs="Times New Roman"/>
        </w:rPr>
        <w:t xml:space="preserve"> </w:t>
      </w:r>
    </w:p>
    <w:p w14:paraId="1D735B88" w14:textId="77777777" w:rsidR="007D2B9E" w:rsidRPr="007B3919" w:rsidRDefault="007D2B9E" w:rsidP="00DC5546">
      <w:pPr>
        <w:pStyle w:val="ListParagraph"/>
        <w:numPr>
          <w:ilvl w:val="0"/>
          <w:numId w:val="10"/>
        </w:numPr>
        <w:tabs>
          <w:tab w:val="left" w:pos="142"/>
        </w:tabs>
        <w:autoSpaceDE w:val="0"/>
        <w:autoSpaceDN w:val="0"/>
        <w:adjustRightInd w:val="0"/>
        <w:spacing w:after="120" w:line="240" w:lineRule="auto"/>
        <w:ind w:left="567" w:firstLine="0"/>
        <w:rPr>
          <w:rFonts w:cstheme="minorHAnsi"/>
        </w:rPr>
      </w:pPr>
      <w:r w:rsidRPr="007B3919">
        <w:rPr>
          <w:rFonts w:cstheme="minorHAnsi"/>
        </w:rPr>
        <w:t>Šviesos ir garso signalizacijos komponentų patikra;</w:t>
      </w:r>
    </w:p>
    <w:p w14:paraId="6D8B345D" w14:textId="77777777" w:rsidR="007D2B9E" w:rsidRPr="007B3919" w:rsidRDefault="007D2B9E" w:rsidP="00DC5546">
      <w:pPr>
        <w:pStyle w:val="ListParagraph"/>
        <w:numPr>
          <w:ilvl w:val="0"/>
          <w:numId w:val="10"/>
        </w:numPr>
        <w:tabs>
          <w:tab w:val="left" w:pos="142"/>
        </w:tabs>
        <w:autoSpaceDE w:val="0"/>
        <w:autoSpaceDN w:val="0"/>
        <w:adjustRightInd w:val="0"/>
        <w:spacing w:after="120" w:line="240" w:lineRule="auto"/>
        <w:ind w:left="567" w:firstLine="0"/>
        <w:rPr>
          <w:rFonts w:cstheme="minorHAnsi"/>
        </w:rPr>
      </w:pPr>
      <w:r w:rsidRPr="007B3919">
        <w:rPr>
          <w:rFonts w:cstheme="minorHAnsi"/>
        </w:rPr>
        <w:t>Elektromagnetinių paleidiklių komponentų bei dujų išleidimo rėlių patikra;</w:t>
      </w:r>
    </w:p>
    <w:p w14:paraId="1064CA53" w14:textId="059F8D41" w:rsidR="007D2B9E" w:rsidRPr="007B3919" w:rsidRDefault="007D2B9E" w:rsidP="00DC5546">
      <w:pPr>
        <w:pStyle w:val="ListParagraph"/>
        <w:numPr>
          <w:ilvl w:val="0"/>
          <w:numId w:val="10"/>
        </w:numPr>
        <w:tabs>
          <w:tab w:val="left" w:pos="142"/>
        </w:tabs>
        <w:autoSpaceDE w:val="0"/>
        <w:autoSpaceDN w:val="0"/>
        <w:adjustRightInd w:val="0"/>
        <w:spacing w:after="120" w:line="240" w:lineRule="auto"/>
        <w:ind w:left="567" w:firstLine="0"/>
        <w:rPr>
          <w:rFonts w:cstheme="minorHAnsi"/>
        </w:rPr>
      </w:pPr>
      <w:r w:rsidRPr="007B3919">
        <w:rPr>
          <w:rFonts w:cstheme="minorHAnsi"/>
        </w:rPr>
        <w:t>Viršslėgio vožtuvų patikra;</w:t>
      </w:r>
      <w:r w:rsidRPr="007B3919" w:rsidDel="0083527F">
        <w:rPr>
          <w:rFonts w:cstheme="minorHAnsi"/>
        </w:rPr>
        <w:t xml:space="preserve"> </w:t>
      </w:r>
      <w:r w:rsidRPr="007B3919">
        <w:rPr>
          <w:rFonts w:cstheme="minorHAnsi"/>
        </w:rPr>
        <w:t>Dujinių gesinimo sistemų išbandymas be dujų išleidimo, imituojant g</w:t>
      </w:r>
      <w:r w:rsidR="007B3919">
        <w:rPr>
          <w:rFonts w:cstheme="minorHAnsi"/>
        </w:rPr>
        <w:t>aisrą - (vieną kartą per metus);</w:t>
      </w:r>
    </w:p>
    <w:p w14:paraId="05B2936B" w14:textId="77777777" w:rsidR="007D2B9E" w:rsidRPr="007B3919" w:rsidRDefault="007D2B9E" w:rsidP="00DC5546">
      <w:pPr>
        <w:pStyle w:val="ListParagraph"/>
        <w:numPr>
          <w:ilvl w:val="0"/>
          <w:numId w:val="10"/>
        </w:numPr>
        <w:tabs>
          <w:tab w:val="left" w:pos="142"/>
        </w:tabs>
        <w:autoSpaceDE w:val="0"/>
        <w:autoSpaceDN w:val="0"/>
        <w:adjustRightInd w:val="0"/>
        <w:spacing w:after="120" w:line="240" w:lineRule="auto"/>
        <w:ind w:left="567" w:firstLine="0"/>
        <w:rPr>
          <w:rFonts w:cstheme="minorHAnsi"/>
        </w:rPr>
      </w:pPr>
      <w:r w:rsidRPr="007B3919">
        <w:rPr>
          <w:rFonts w:cstheme="minorHAnsi"/>
        </w:rPr>
        <w:t>Techninės priežiūros žurnalo pildymas.</w:t>
      </w:r>
    </w:p>
    <w:p w14:paraId="2ECE2B5E" w14:textId="77777777" w:rsidR="007D2B9E" w:rsidRPr="007B3919" w:rsidRDefault="007D2B9E" w:rsidP="007B3919">
      <w:pPr>
        <w:tabs>
          <w:tab w:val="left" w:pos="142"/>
        </w:tabs>
        <w:spacing w:after="120" w:line="240" w:lineRule="auto"/>
        <w:ind w:left="567" w:firstLine="0"/>
        <w:rPr>
          <w:rFonts w:cstheme="minorHAnsi"/>
        </w:rPr>
      </w:pPr>
      <w:r w:rsidRPr="007B3919">
        <w:rPr>
          <w:rFonts w:cstheme="minorHAnsi"/>
          <w:b/>
        </w:rPr>
        <w:t>4.</w:t>
      </w:r>
      <w:r w:rsidRPr="007B3919">
        <w:rPr>
          <w:rFonts w:cstheme="minorHAnsi"/>
        </w:rPr>
        <w:t xml:space="preserve"> </w:t>
      </w:r>
      <w:r w:rsidRPr="007B3919">
        <w:rPr>
          <w:rFonts w:eastAsiaTheme="minorHAnsi" w:cstheme="minorHAnsi"/>
          <w:lang w:eastAsia="en-US"/>
        </w:rPr>
        <w:t>Į konkrečios paslaugos įkainį  būti įtrauktos eksploatacijos medžiagos ir visos tiekėjo išlaidos pagal pirkimo dokumentų reikalavimus.</w:t>
      </w:r>
    </w:p>
    <w:p w14:paraId="3662712B" w14:textId="77777777" w:rsidR="007D2B9E" w:rsidRPr="007B3919" w:rsidRDefault="007D2B9E" w:rsidP="007B3919">
      <w:pPr>
        <w:tabs>
          <w:tab w:val="left" w:pos="142"/>
          <w:tab w:val="left" w:pos="1276"/>
        </w:tabs>
        <w:spacing w:after="120" w:line="240" w:lineRule="auto"/>
        <w:ind w:left="567" w:firstLine="0"/>
        <w:rPr>
          <w:rFonts w:cstheme="minorHAnsi"/>
        </w:rPr>
      </w:pPr>
      <w:r w:rsidRPr="007B3919">
        <w:rPr>
          <w:rFonts w:cstheme="minorHAnsi"/>
          <w:b/>
        </w:rPr>
        <w:t>5.</w:t>
      </w:r>
      <w:r w:rsidRPr="007B3919">
        <w:rPr>
          <w:rFonts w:cstheme="minorHAnsi"/>
        </w:rPr>
        <w:t xml:space="preserve"> Tiekėjas Paslaugas pradeda teikti nuo užsakymo pateikimo el. paštu ne vėliau kaip per 1 (vieną) darbo dieną, Paslaugas turi teikti vadovaudamasis galiojančiais teisės aktais, nusistovėjusiomis profesinės veiklos taisyklėmis, standartais, profesinės veiklos etika ir Sutarties sąlygomis.</w:t>
      </w:r>
    </w:p>
    <w:p w14:paraId="799C450D" w14:textId="77777777" w:rsidR="007D2B9E" w:rsidRPr="007B3919" w:rsidRDefault="007D2B9E" w:rsidP="007B3919">
      <w:pPr>
        <w:tabs>
          <w:tab w:val="left" w:pos="142"/>
        </w:tabs>
        <w:autoSpaceDE w:val="0"/>
        <w:autoSpaceDN w:val="0"/>
        <w:adjustRightInd w:val="0"/>
        <w:spacing w:after="120" w:line="240" w:lineRule="auto"/>
        <w:ind w:left="567" w:firstLine="0"/>
        <w:rPr>
          <w:rFonts w:eastAsiaTheme="minorHAnsi" w:cstheme="minorHAnsi"/>
          <w:lang w:eastAsia="en-US"/>
        </w:rPr>
      </w:pPr>
      <w:r w:rsidRPr="007B3919">
        <w:rPr>
          <w:rFonts w:cstheme="minorHAnsi"/>
          <w:b/>
        </w:rPr>
        <w:t>6.</w:t>
      </w:r>
      <w:r w:rsidRPr="007B3919">
        <w:rPr>
          <w:rFonts w:cstheme="minorHAnsi"/>
        </w:rPr>
        <w:t xml:space="preserve"> Tiekėjas </w:t>
      </w:r>
      <w:r w:rsidRPr="007B3919">
        <w:rPr>
          <w:rFonts w:eastAsiaTheme="minorHAnsi" w:cstheme="minorHAnsi"/>
          <w:lang w:eastAsia="en-US"/>
        </w:rPr>
        <w:t xml:space="preserve">turi teikti konsultacijas, susijusias su pirminių gesinimo priemonių aptarnavimu paslaugomis.  </w:t>
      </w:r>
    </w:p>
    <w:p w14:paraId="7B11FA08" w14:textId="77777777" w:rsidR="007D2B9E" w:rsidRPr="007B3919" w:rsidRDefault="007D2B9E" w:rsidP="007B3919">
      <w:pPr>
        <w:tabs>
          <w:tab w:val="left" w:pos="142"/>
        </w:tabs>
        <w:autoSpaceDE w:val="0"/>
        <w:autoSpaceDN w:val="0"/>
        <w:adjustRightInd w:val="0"/>
        <w:spacing w:after="120" w:line="240" w:lineRule="auto"/>
        <w:ind w:left="567" w:firstLine="0"/>
        <w:rPr>
          <w:rFonts w:cstheme="minorHAnsi"/>
        </w:rPr>
      </w:pPr>
      <w:r w:rsidRPr="007B3919">
        <w:rPr>
          <w:rFonts w:cstheme="minorHAnsi"/>
          <w:b/>
        </w:rPr>
        <w:t>7.</w:t>
      </w:r>
      <w:r w:rsidRPr="007B3919">
        <w:rPr>
          <w:rFonts w:cstheme="minorHAnsi"/>
        </w:rPr>
        <w:t xml:space="preserve"> Paslaugų teikimo vietos – Katedros a. 4 ir Kražių g. 5, Vilniuje. </w:t>
      </w:r>
    </w:p>
    <w:p w14:paraId="7BB1FDEA" w14:textId="77777777" w:rsidR="007D2B9E" w:rsidRDefault="007D2B9E" w:rsidP="007B3919">
      <w:pPr>
        <w:tabs>
          <w:tab w:val="left" w:pos="142"/>
        </w:tabs>
        <w:spacing w:after="120" w:line="240" w:lineRule="auto"/>
        <w:ind w:left="567" w:firstLine="0"/>
        <w:rPr>
          <w:rFonts w:cstheme="minorHAnsi"/>
        </w:rPr>
      </w:pPr>
      <w:r w:rsidRPr="007B3919">
        <w:rPr>
          <w:rFonts w:cstheme="minorHAnsi"/>
          <w:b/>
        </w:rPr>
        <w:t>8.</w:t>
      </w:r>
      <w:r w:rsidRPr="007B3919">
        <w:rPr>
          <w:rFonts w:cstheme="minorHAnsi"/>
        </w:rPr>
        <w:t xml:space="preserve"> Paslaugų teikimo laikotarpis ne ilgesnis nei 36 mėnesiai. </w:t>
      </w:r>
      <w:bookmarkEnd w:id="5"/>
    </w:p>
    <w:p w14:paraId="4AFE9179" w14:textId="77777777" w:rsidR="00B171BE" w:rsidRPr="007B3919" w:rsidRDefault="00B171BE" w:rsidP="00B171BE">
      <w:pPr>
        <w:tabs>
          <w:tab w:val="left" w:pos="142"/>
        </w:tabs>
        <w:spacing w:after="120" w:line="240" w:lineRule="auto"/>
        <w:ind w:left="567" w:firstLine="0"/>
        <w:rPr>
          <w:rFonts w:cstheme="minorHAnsi"/>
        </w:rPr>
      </w:pPr>
      <w:r w:rsidRPr="007B3919">
        <w:rPr>
          <w:rFonts w:cstheme="minorHAnsi"/>
          <w:b/>
        </w:rPr>
        <w:t>9.</w:t>
      </w:r>
      <w:r w:rsidRPr="007B3919">
        <w:rPr>
          <w:rFonts w:cstheme="minorHAnsi"/>
        </w:rPr>
        <w:t xml:space="preserve"> Aktuali informacija dėl dujinių gesinimo sistemų pridedama prieduose:</w:t>
      </w:r>
    </w:p>
    <w:p w14:paraId="231FAA12" w14:textId="77777777" w:rsidR="00B171BE" w:rsidRDefault="00B171BE" w:rsidP="00B171BE">
      <w:pPr>
        <w:tabs>
          <w:tab w:val="left" w:pos="142"/>
        </w:tabs>
        <w:spacing w:line="240" w:lineRule="auto"/>
        <w:ind w:left="567" w:firstLine="0"/>
      </w:pPr>
      <w:r>
        <w:t xml:space="preserve"> </w:t>
      </w:r>
      <w:r w:rsidRPr="00853707">
        <w:rPr>
          <w:noProof/>
        </w:rPr>
        <w:drawing>
          <wp:inline distT="0" distB="0" distL="0" distR="0" wp14:anchorId="10CC4996" wp14:editId="082FB931">
            <wp:extent cx="934019" cy="244624"/>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49087" cy="248570"/>
                    </a:xfrm>
                    <a:prstGeom prst="rect">
                      <a:avLst/>
                    </a:prstGeom>
                  </pic:spPr>
                </pic:pic>
              </a:graphicData>
            </a:graphic>
          </wp:inline>
        </w:drawing>
      </w:r>
      <w:r>
        <w:t xml:space="preserve"> </w:t>
      </w:r>
      <w:r w:rsidRPr="00853707">
        <w:rPr>
          <w:noProof/>
        </w:rPr>
        <w:drawing>
          <wp:inline distT="0" distB="0" distL="0" distR="0" wp14:anchorId="29E03B09" wp14:editId="1A457E85">
            <wp:extent cx="804052" cy="17035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823579" cy="174487"/>
                    </a:xfrm>
                    <a:prstGeom prst="rect">
                      <a:avLst/>
                    </a:prstGeom>
                  </pic:spPr>
                </pic:pic>
              </a:graphicData>
            </a:graphic>
          </wp:inline>
        </w:drawing>
      </w:r>
    </w:p>
    <w:p w14:paraId="47E22DA9" w14:textId="77777777" w:rsidR="00B171BE" w:rsidRPr="007B3919" w:rsidRDefault="00B171BE" w:rsidP="007B3919">
      <w:pPr>
        <w:tabs>
          <w:tab w:val="left" w:pos="142"/>
        </w:tabs>
        <w:spacing w:after="120" w:line="240" w:lineRule="auto"/>
        <w:ind w:left="567" w:firstLine="0"/>
        <w:rPr>
          <w:rFonts w:cstheme="minorHAnsi"/>
        </w:rPr>
      </w:pPr>
    </w:p>
    <w:sectPr w:rsidR="00B171BE" w:rsidRPr="007B3919" w:rsidSect="00EC702A">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BAE1C" w14:textId="77777777" w:rsidR="00341A1A" w:rsidRDefault="00341A1A" w:rsidP="00D05666">
      <w:r>
        <w:separator/>
      </w:r>
    </w:p>
  </w:endnote>
  <w:endnote w:type="continuationSeparator" w:id="0">
    <w:p w14:paraId="38D3D30D" w14:textId="77777777" w:rsidR="00341A1A" w:rsidRDefault="00341A1A" w:rsidP="00D05666">
      <w:r>
        <w:continuationSeparator/>
      </w:r>
    </w:p>
  </w:endnote>
  <w:endnote w:type="continuationNotice" w:id="1">
    <w:p w14:paraId="0E0AC232" w14:textId="77777777" w:rsidR="00341A1A" w:rsidRDefault="00341A1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59B26" w14:textId="77777777" w:rsidR="00341A1A" w:rsidRDefault="00341A1A" w:rsidP="00D05666">
      <w:r>
        <w:separator/>
      </w:r>
    </w:p>
  </w:footnote>
  <w:footnote w:type="continuationSeparator" w:id="0">
    <w:p w14:paraId="3DECDDE0" w14:textId="77777777" w:rsidR="00341A1A" w:rsidRDefault="00341A1A" w:rsidP="00D05666">
      <w:r>
        <w:continuationSeparator/>
      </w:r>
    </w:p>
  </w:footnote>
  <w:footnote w:type="continuationNotice" w:id="1">
    <w:p w14:paraId="3E7DE498" w14:textId="77777777" w:rsidR="00341A1A" w:rsidRDefault="00341A1A">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5F097C3A" w:rsidR="00285B02" w:rsidRDefault="00285B02">
        <w:pPr>
          <w:pStyle w:val="Header"/>
          <w:jc w:val="center"/>
        </w:pPr>
        <w:r>
          <w:fldChar w:fldCharType="begin"/>
        </w:r>
        <w:r>
          <w:instrText>PAGE   \* MERGEFORMAT</w:instrText>
        </w:r>
        <w:r>
          <w:fldChar w:fldCharType="separate"/>
        </w:r>
        <w:r w:rsidR="00367E14">
          <w:rPr>
            <w:noProof/>
          </w:rPr>
          <w:t>3</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E7C050A4"/>
    <w:lvl w:ilvl="0">
      <w:start w:val="7"/>
      <w:numFmt w:val="decimal"/>
      <w:lvlText w:val="%1."/>
      <w:lvlJc w:val="left"/>
      <w:pPr>
        <w:ind w:left="360" w:hanging="360"/>
      </w:pPr>
      <w:rPr>
        <w:rFonts w:hint="default"/>
        <w:color w:val="000000" w:themeColor="text1"/>
        <w:sz w:val="36"/>
        <w:szCs w:val="36"/>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C5D49A5"/>
    <w:multiLevelType w:val="hybridMultilevel"/>
    <w:tmpl w:val="AEEE56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E45693F"/>
    <w:multiLevelType w:val="hybridMultilevel"/>
    <w:tmpl w:val="6414D4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26FACB32"/>
    <w:lvl w:ilvl="0">
      <w:start w:val="1"/>
      <w:numFmt w:val="decimal"/>
      <w:lvlText w:val="%1."/>
      <w:lvlJc w:val="left"/>
      <w:pPr>
        <w:ind w:left="360" w:hanging="360"/>
      </w:pPr>
      <w:rPr>
        <w:sz w:val="36"/>
        <w:szCs w:val="36"/>
      </w:rPr>
    </w:lvl>
    <w:lvl w:ilvl="1">
      <w:start w:val="1"/>
      <w:numFmt w:val="decimal"/>
      <w:isLgl/>
      <w:lvlText w:val="%1.%2."/>
      <w:lvlJc w:val="left"/>
      <w:pPr>
        <w:ind w:left="1353"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D9785928"/>
    <w:lvl w:ilvl="0">
      <w:start w:val="2"/>
      <w:numFmt w:val="decimal"/>
      <w:lvlText w:val="%1."/>
      <w:lvlJc w:val="left"/>
      <w:pPr>
        <w:ind w:left="360" w:hanging="360"/>
      </w:pPr>
      <w:rPr>
        <w:rFonts w:eastAsia="Calibri" w:hint="default"/>
        <w:color w:val="auto"/>
        <w:sz w:val="36"/>
        <w:szCs w:val="36"/>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07981998">
    <w:abstractNumId w:val="1"/>
  </w:num>
  <w:num w:numId="2" w16cid:durableId="548961694">
    <w:abstractNumId w:val="7"/>
  </w:num>
  <w:num w:numId="3" w16cid:durableId="505366312">
    <w:abstractNumId w:val="5"/>
  </w:num>
  <w:num w:numId="4" w16cid:durableId="1554348616">
    <w:abstractNumId w:val="9"/>
  </w:num>
  <w:num w:numId="5" w16cid:durableId="2072725205">
    <w:abstractNumId w:val="4"/>
  </w:num>
  <w:num w:numId="6" w16cid:durableId="1593275828">
    <w:abstractNumId w:val="0"/>
  </w:num>
  <w:num w:numId="7" w16cid:durableId="47728413">
    <w:abstractNumId w:val="6"/>
  </w:num>
  <w:num w:numId="8" w16cid:durableId="2070301624">
    <w:abstractNumId w:val="8"/>
  </w:num>
  <w:num w:numId="9" w16cid:durableId="1816798300">
    <w:abstractNumId w:val="3"/>
  </w:num>
  <w:num w:numId="10" w16cid:durableId="1897084713">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3C83"/>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2F33"/>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998"/>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F37"/>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F6A"/>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A1A"/>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67E14"/>
    <w:rsid w:val="00370489"/>
    <w:rsid w:val="0037071C"/>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A40"/>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26BD"/>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07E88"/>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B3B"/>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71B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1E9"/>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385"/>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5C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CB9"/>
    <w:rsid w:val="007B2E75"/>
    <w:rsid w:val="007B3919"/>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9B0"/>
    <w:rsid w:val="007D1BAE"/>
    <w:rsid w:val="007D205B"/>
    <w:rsid w:val="007D2B9E"/>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F22"/>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9AC"/>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77A92"/>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966"/>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133"/>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6880"/>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B7F6D"/>
    <w:rsid w:val="00AC0300"/>
    <w:rsid w:val="00AC0420"/>
    <w:rsid w:val="00AC086D"/>
    <w:rsid w:val="00AC1757"/>
    <w:rsid w:val="00AC1C91"/>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A90"/>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1BE"/>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27AF"/>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290B"/>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893"/>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058"/>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1E25"/>
    <w:rsid w:val="00C83859"/>
    <w:rsid w:val="00C83FE2"/>
    <w:rsid w:val="00C84434"/>
    <w:rsid w:val="00C8502B"/>
    <w:rsid w:val="00C85179"/>
    <w:rsid w:val="00C85777"/>
    <w:rsid w:val="00C86519"/>
    <w:rsid w:val="00C86DC3"/>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23A"/>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5D00"/>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6D4"/>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1F77"/>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5546"/>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1D2"/>
    <w:rsid w:val="00E448B7"/>
    <w:rsid w:val="00E4584D"/>
    <w:rsid w:val="00E46A71"/>
    <w:rsid w:val="00E508D6"/>
    <w:rsid w:val="00E50D81"/>
    <w:rsid w:val="00E50F51"/>
    <w:rsid w:val="00E50F94"/>
    <w:rsid w:val="00E51974"/>
    <w:rsid w:val="00E52B67"/>
    <w:rsid w:val="00E54BE2"/>
    <w:rsid w:val="00E55E1A"/>
    <w:rsid w:val="00E55E31"/>
    <w:rsid w:val="00E56948"/>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C37"/>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7B2CB9"/>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C70A58-1191-4C8C-A3CD-5448EC75EFA3}">
  <ds:schemaRefs>
    <ds:schemaRef ds:uri="http://schemas.openxmlformats.org/officeDocument/2006/bibliography"/>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2616</Words>
  <Characters>1492</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Ramunė Gudėnė</dc:creator>
  <cp:keywords/>
  <dc:description/>
  <cp:lastModifiedBy>Ramunė Gudenė</cp:lastModifiedBy>
  <cp:revision>5</cp:revision>
  <cp:lastPrinted>2021-11-02T20:49:00Z</cp:lastPrinted>
  <dcterms:created xsi:type="dcterms:W3CDTF">2023-10-30T06:09:00Z</dcterms:created>
  <dcterms:modified xsi:type="dcterms:W3CDTF">2023-10-30T06:16:00Z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