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13"/>
        <w:gridCol w:w="4191"/>
        <w:gridCol w:w="4191"/>
        <w:gridCol w:w="118"/>
      </w:tblGrid>
      <w:tr w:rsidR="002C7583" w:rsidRPr="006A25D6" w14:paraId="729FC2C2" w14:textId="77777777" w:rsidTr="00F372EB">
        <w:tc>
          <w:tcPr>
            <w:tcW w:w="8613" w:type="dxa"/>
            <w:gridSpan w:val="4"/>
            <w:shd w:val="clear" w:color="auto" w:fill="auto"/>
          </w:tcPr>
          <w:p w14:paraId="03F28DBE" w14:textId="585D8C76" w:rsidR="002C7583" w:rsidRPr="006A25D6" w:rsidRDefault="002C7583" w:rsidP="00F372EB">
            <w:pPr>
              <w:pStyle w:val="BodyText"/>
              <w:spacing w:after="120"/>
              <w:jc w:val="center"/>
              <w:rPr>
                <w:rFonts w:ascii="Arial" w:hAnsi="Arial" w:cs="Arial"/>
                <w:b/>
                <w:bCs/>
                <w:kern w:val="28"/>
                <w:sz w:val="16"/>
                <w:szCs w:val="16"/>
                <w:lang w:val="lt-LT"/>
              </w:rPr>
            </w:pPr>
            <w:r w:rsidRPr="006A25D6">
              <w:rPr>
                <w:rFonts w:ascii="Arial" w:hAnsi="Arial" w:cs="Arial"/>
                <w:b/>
                <w:bCs/>
                <w:kern w:val="28"/>
                <w:sz w:val="16"/>
                <w:szCs w:val="16"/>
                <w:lang w:val="lt-LT"/>
              </w:rPr>
              <w:t xml:space="preserve">SUTARTIS DĖL </w:t>
            </w:r>
            <w:r w:rsidR="00D8395E">
              <w:rPr>
                <w:rFonts w:ascii="Arial" w:hAnsi="Arial" w:cs="Arial"/>
                <w:b/>
                <w:bCs/>
                <w:kern w:val="28"/>
                <w:sz w:val="16"/>
                <w:szCs w:val="16"/>
                <w:lang w:val="lt-LT"/>
              </w:rPr>
              <w:t xml:space="preserve">DOKUMENTŲ </w:t>
            </w:r>
            <w:r w:rsidRPr="006A25D6">
              <w:rPr>
                <w:rFonts w:ascii="Arial" w:hAnsi="Arial" w:cs="Arial"/>
                <w:b/>
                <w:bCs/>
                <w:kern w:val="28"/>
                <w:sz w:val="16"/>
                <w:szCs w:val="16"/>
                <w:lang w:val="lt-LT"/>
              </w:rPr>
              <w:t>TVARKYMO PASLAUGŲ TEIKIMO (TVARKYMAS)</w:t>
            </w:r>
          </w:p>
          <w:p w14:paraId="0B345B50" w14:textId="77777777" w:rsidR="002C7583" w:rsidRPr="006A25D6" w:rsidRDefault="002C7583" w:rsidP="00716355">
            <w:pPr>
              <w:pStyle w:val="BodyText"/>
              <w:spacing w:after="120"/>
              <w:jc w:val="center"/>
              <w:rPr>
                <w:sz w:val="16"/>
                <w:szCs w:val="16"/>
                <w:lang w:val="lt-LT"/>
              </w:rPr>
            </w:pPr>
            <w:r w:rsidRPr="006A25D6">
              <w:rPr>
                <w:rFonts w:ascii="Arial" w:hAnsi="Arial" w:cs="Arial"/>
                <w:b/>
                <w:bCs/>
                <w:kern w:val="28"/>
                <w:sz w:val="16"/>
                <w:szCs w:val="16"/>
                <w:lang w:val="lt-LT"/>
              </w:rPr>
              <w:t>Kliento numeris:</w:t>
            </w:r>
            <w:r w:rsidR="00384B22">
              <w:rPr>
                <w:rFonts w:ascii="Arial" w:hAnsi="Arial" w:cs="Arial"/>
                <w:b/>
                <w:bCs/>
                <w:kern w:val="28"/>
                <w:sz w:val="16"/>
                <w:szCs w:val="16"/>
                <w:lang w:val="lt-LT"/>
              </w:rPr>
              <w:t xml:space="preserve"> 938</w:t>
            </w:r>
            <w:r>
              <w:rPr>
                <w:rFonts w:ascii="Arial" w:hAnsi="Arial" w:cs="Arial"/>
                <w:b/>
                <w:bCs/>
                <w:kern w:val="28"/>
                <w:sz w:val="16"/>
                <w:szCs w:val="16"/>
                <w:lang w:val="lt-LT"/>
              </w:rPr>
              <w:t>.</w:t>
            </w:r>
          </w:p>
        </w:tc>
      </w:tr>
      <w:tr w:rsidR="002C7583" w:rsidRPr="00E1545B" w14:paraId="14907710" w14:textId="77777777" w:rsidTr="00F372EB">
        <w:tc>
          <w:tcPr>
            <w:tcW w:w="8613" w:type="dxa"/>
            <w:gridSpan w:val="4"/>
            <w:shd w:val="clear" w:color="auto" w:fill="auto"/>
          </w:tcPr>
          <w:p w14:paraId="75FF7D3E" w14:textId="77777777" w:rsidR="002C7583" w:rsidRPr="006A25D6" w:rsidRDefault="002C7583" w:rsidP="00F372EB">
            <w:pPr>
              <w:pStyle w:val="BodyText"/>
              <w:spacing w:after="120"/>
              <w:rPr>
                <w:sz w:val="16"/>
                <w:szCs w:val="16"/>
                <w:lang w:val="lt-LT"/>
              </w:rPr>
            </w:pPr>
            <w:r w:rsidRPr="006A25D6">
              <w:rPr>
                <w:rFonts w:ascii="Arial" w:hAnsi="Arial"/>
                <w:bCs/>
                <w:sz w:val="16"/>
                <w:szCs w:val="16"/>
                <w:lang w:val="lt-LT"/>
              </w:rPr>
              <w:t xml:space="preserve">Kurią sudarė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537"/>
              <w:gridCol w:w="6714"/>
            </w:tblGrid>
            <w:tr w:rsidR="002C7583" w:rsidRPr="00E1545B" w14:paraId="5A284AEF" w14:textId="77777777" w:rsidTr="00F372EB">
              <w:tc>
                <w:tcPr>
                  <w:tcW w:w="1537" w:type="dxa"/>
                  <w:shd w:val="clear" w:color="auto" w:fill="E0E0E0"/>
                </w:tcPr>
                <w:p w14:paraId="65749B99" w14:textId="77777777" w:rsidR="002C7583" w:rsidRPr="006A25D6" w:rsidRDefault="002C7583" w:rsidP="00F372EB">
                  <w:pPr>
                    <w:pStyle w:val="Title"/>
                    <w:rPr>
                      <w:rFonts w:ascii="Arial" w:hAnsi="Arial"/>
                      <w:sz w:val="16"/>
                      <w:szCs w:val="16"/>
                      <w:lang w:val="lt-LT"/>
                    </w:rPr>
                  </w:pPr>
                </w:p>
                <w:p w14:paraId="458221F6" w14:textId="77777777" w:rsidR="002C7583" w:rsidRPr="006A25D6" w:rsidRDefault="002C7583" w:rsidP="00F372EB">
                  <w:pPr>
                    <w:pStyle w:val="Title"/>
                    <w:rPr>
                      <w:rFonts w:ascii="Arial" w:hAnsi="Arial"/>
                      <w:sz w:val="16"/>
                      <w:szCs w:val="16"/>
                      <w:lang w:val="lt-LT"/>
                    </w:rPr>
                  </w:pPr>
                  <w:r w:rsidRPr="006A25D6">
                    <w:rPr>
                      <w:rFonts w:ascii="Arial" w:hAnsi="Arial"/>
                      <w:sz w:val="16"/>
                      <w:szCs w:val="16"/>
                      <w:lang w:val="lt-LT"/>
                    </w:rPr>
                    <w:t>Iron Mountain</w:t>
                  </w:r>
                </w:p>
              </w:tc>
              <w:tc>
                <w:tcPr>
                  <w:tcW w:w="6714" w:type="dxa"/>
                  <w:shd w:val="clear" w:color="auto" w:fill="E0E0E0"/>
                </w:tcPr>
                <w:p w14:paraId="2C5DAAFE" w14:textId="77777777" w:rsidR="002C7583" w:rsidRPr="006A25D6" w:rsidRDefault="002C7583" w:rsidP="00F372EB">
                  <w:pPr>
                    <w:pStyle w:val="Title"/>
                    <w:jc w:val="both"/>
                    <w:rPr>
                      <w:rFonts w:ascii="Arial" w:hAnsi="Arial"/>
                      <w:sz w:val="16"/>
                      <w:szCs w:val="16"/>
                      <w:lang w:val="lt-LT"/>
                    </w:rPr>
                  </w:pPr>
                </w:p>
                <w:p w14:paraId="207596D6" w14:textId="77777777" w:rsidR="002C7583" w:rsidRPr="006A25D6" w:rsidRDefault="0077395D" w:rsidP="00F372EB">
                  <w:pPr>
                    <w:pStyle w:val="Title"/>
                    <w:jc w:val="both"/>
                    <w:rPr>
                      <w:rFonts w:ascii="Arial" w:hAnsi="Arial"/>
                      <w:b w:val="0"/>
                      <w:sz w:val="16"/>
                      <w:szCs w:val="16"/>
                      <w:lang w:val="lt-LT"/>
                    </w:rPr>
                  </w:pPr>
                  <w:r>
                    <w:rPr>
                      <w:rFonts w:ascii="Arial" w:hAnsi="Arial"/>
                      <w:sz w:val="16"/>
                      <w:szCs w:val="16"/>
                      <w:lang w:val="lt-LT"/>
                    </w:rPr>
                    <w:t>Iron Mountain Lithuania</w:t>
                  </w:r>
                  <w:r w:rsidR="002C7583" w:rsidRPr="006A25D6">
                    <w:rPr>
                      <w:rFonts w:ascii="Arial" w:hAnsi="Arial"/>
                      <w:sz w:val="16"/>
                      <w:szCs w:val="16"/>
                      <w:lang w:val="lt-LT"/>
                    </w:rPr>
                    <w:t xml:space="preserve"> AB</w:t>
                  </w:r>
                  <w:r w:rsidR="002C7583" w:rsidRPr="006A25D6">
                    <w:rPr>
                      <w:rFonts w:ascii="Arial" w:hAnsi="Arial"/>
                      <w:b w:val="0"/>
                      <w:sz w:val="16"/>
                      <w:szCs w:val="16"/>
                      <w:lang w:val="lt-LT"/>
                    </w:rPr>
                    <w:t>; adresas: Žirgų str. 3, Antežeriai, Vilniaus rajonas; įmonės kodas: 122263236; mokesčių mokėtojo kodas: LT222632314</w:t>
                  </w:r>
                  <w:r w:rsidR="002C7583" w:rsidRPr="006A25D6">
                    <w:rPr>
                      <w:rFonts w:ascii="Arial" w:hAnsi="Arial"/>
                      <w:sz w:val="16"/>
                      <w:szCs w:val="16"/>
                      <w:lang w:val="lt-LT"/>
                    </w:rPr>
                    <w:t xml:space="preserve"> (</w:t>
                  </w:r>
                  <w:r w:rsidR="002C7583" w:rsidRPr="006A25D6">
                    <w:rPr>
                      <w:rFonts w:ascii="Arial" w:hAnsi="Arial"/>
                      <w:b w:val="0"/>
                      <w:sz w:val="16"/>
                      <w:szCs w:val="16"/>
                      <w:lang w:val="lt-LT"/>
                    </w:rPr>
                    <w:t>“</w:t>
                  </w:r>
                  <w:r w:rsidR="002C7583" w:rsidRPr="006A25D6">
                    <w:rPr>
                      <w:rFonts w:ascii="Arial" w:hAnsi="Arial"/>
                      <w:sz w:val="16"/>
                      <w:szCs w:val="16"/>
                      <w:lang w:val="lt-LT"/>
                    </w:rPr>
                    <w:t>Iron Mountain</w:t>
                  </w:r>
                  <w:r w:rsidR="002C7583" w:rsidRPr="006A25D6">
                    <w:rPr>
                      <w:rFonts w:ascii="Arial" w:hAnsi="Arial"/>
                      <w:b w:val="0"/>
                      <w:sz w:val="16"/>
                      <w:szCs w:val="16"/>
                      <w:lang w:val="lt-LT"/>
                    </w:rPr>
                    <w:t>”</w:t>
                  </w:r>
                  <w:r w:rsidR="002C7583" w:rsidRPr="006A25D6">
                    <w:rPr>
                      <w:rFonts w:ascii="Arial" w:hAnsi="Arial"/>
                      <w:sz w:val="16"/>
                      <w:szCs w:val="16"/>
                      <w:lang w:val="lt-LT"/>
                    </w:rPr>
                    <w:t>)</w:t>
                  </w:r>
                  <w:r w:rsidR="002C7583" w:rsidRPr="006A25D6">
                    <w:rPr>
                      <w:rFonts w:ascii="Arial" w:hAnsi="Arial"/>
                      <w:b w:val="0"/>
                      <w:sz w:val="16"/>
                      <w:szCs w:val="16"/>
                      <w:lang w:val="lt-LT"/>
                    </w:rPr>
                    <w:t xml:space="preserve">; ir </w:t>
                  </w:r>
                </w:p>
              </w:tc>
            </w:tr>
            <w:tr w:rsidR="002C7583" w:rsidRPr="00E1545B" w14:paraId="6F371B14" w14:textId="77777777" w:rsidTr="00F372EB">
              <w:tc>
                <w:tcPr>
                  <w:tcW w:w="1537" w:type="dxa"/>
                  <w:shd w:val="clear" w:color="auto" w:fill="E0E0E0"/>
                </w:tcPr>
                <w:p w14:paraId="56CF9FB2" w14:textId="77777777" w:rsidR="002C7583" w:rsidRPr="006A25D6" w:rsidRDefault="002C7583" w:rsidP="00F372EB">
                  <w:pPr>
                    <w:pStyle w:val="BodyText"/>
                    <w:rPr>
                      <w:rFonts w:ascii="Arial" w:hAnsi="Arial" w:cs="Arial"/>
                      <w:b/>
                      <w:sz w:val="16"/>
                      <w:szCs w:val="16"/>
                      <w:lang w:val="lt-LT"/>
                    </w:rPr>
                  </w:pPr>
                </w:p>
                <w:p w14:paraId="762E4694" w14:textId="77777777" w:rsidR="002C7583" w:rsidRPr="006A25D6" w:rsidRDefault="002C7583" w:rsidP="00F372EB">
                  <w:pPr>
                    <w:pStyle w:val="BodyText"/>
                    <w:jc w:val="center"/>
                    <w:rPr>
                      <w:rFonts w:ascii="Arial" w:hAnsi="Arial" w:cs="Arial"/>
                      <w:b/>
                      <w:sz w:val="16"/>
                      <w:szCs w:val="16"/>
                      <w:lang w:val="lt-LT"/>
                    </w:rPr>
                  </w:pPr>
                  <w:r w:rsidRPr="006A25D6">
                    <w:rPr>
                      <w:rFonts w:ascii="Arial" w:hAnsi="Arial" w:cs="Arial"/>
                      <w:b/>
                      <w:sz w:val="16"/>
                      <w:szCs w:val="16"/>
                      <w:lang w:val="lt-LT"/>
                    </w:rPr>
                    <w:t>Klientas</w:t>
                  </w:r>
                </w:p>
              </w:tc>
              <w:tc>
                <w:tcPr>
                  <w:tcW w:w="6714" w:type="dxa"/>
                  <w:shd w:val="clear" w:color="auto" w:fill="E0E0E0"/>
                </w:tcPr>
                <w:p w14:paraId="68569094" w14:textId="77777777" w:rsidR="002C7583" w:rsidRPr="006A25D6" w:rsidRDefault="002C7583" w:rsidP="00F372EB">
                  <w:pPr>
                    <w:pStyle w:val="BodyText"/>
                    <w:jc w:val="both"/>
                    <w:rPr>
                      <w:rFonts w:ascii="Arial" w:hAnsi="Arial" w:cs="Arial"/>
                      <w:b/>
                      <w:sz w:val="16"/>
                      <w:szCs w:val="16"/>
                      <w:lang w:val="lt-LT"/>
                    </w:rPr>
                  </w:pPr>
                </w:p>
                <w:p w14:paraId="5BF55E7F" w14:textId="77777777" w:rsidR="002C7583" w:rsidRPr="00B87153" w:rsidRDefault="001A1439" w:rsidP="00F372EB">
                  <w:pPr>
                    <w:pStyle w:val="BodyText"/>
                    <w:jc w:val="both"/>
                    <w:rPr>
                      <w:rFonts w:ascii="Arial" w:hAnsi="Arial" w:cs="Arial"/>
                      <w:sz w:val="16"/>
                      <w:szCs w:val="16"/>
                      <w:lang w:val="lt-LT"/>
                    </w:rPr>
                  </w:pPr>
                  <w:r w:rsidRPr="001A1439">
                    <w:rPr>
                      <w:rFonts w:ascii="Arial" w:hAnsi="Arial" w:cs="Arial"/>
                      <w:b/>
                      <w:sz w:val="16"/>
                      <w:szCs w:val="16"/>
                      <w:lang w:val="lt-LT"/>
                    </w:rPr>
                    <w:t>Europos socialinio fondo agentūra</w:t>
                  </w:r>
                  <w:r w:rsidR="002C7583" w:rsidRPr="006A25D6">
                    <w:rPr>
                      <w:rFonts w:ascii="Arial" w:hAnsi="Arial" w:cs="Arial"/>
                      <w:b/>
                      <w:sz w:val="16"/>
                      <w:szCs w:val="16"/>
                      <w:lang w:val="lt-LT"/>
                    </w:rPr>
                    <w:t xml:space="preserve">, </w:t>
                  </w:r>
                  <w:r w:rsidRPr="001A1439">
                    <w:rPr>
                      <w:rFonts w:ascii="Arial" w:hAnsi="Arial" w:cs="Arial"/>
                      <w:sz w:val="16"/>
                      <w:szCs w:val="16"/>
                      <w:lang w:val="lt-LT"/>
                    </w:rPr>
                    <w:t>M. Katkaus g. 44, LT-09217 Vilnius</w:t>
                  </w:r>
                  <w:r w:rsidR="002C7583" w:rsidRPr="006A25D6">
                    <w:rPr>
                      <w:rFonts w:ascii="Arial" w:hAnsi="Arial" w:cs="Arial"/>
                      <w:sz w:val="16"/>
                      <w:szCs w:val="16"/>
                      <w:lang w:val="lt-LT"/>
                    </w:rPr>
                    <w:t>, įmonės kodas</w:t>
                  </w:r>
                  <w:r w:rsidR="002C7583">
                    <w:rPr>
                      <w:rFonts w:ascii="Arial" w:hAnsi="Arial" w:cs="Arial"/>
                      <w:sz w:val="16"/>
                      <w:szCs w:val="16"/>
                      <w:lang w:val="lt-LT"/>
                    </w:rPr>
                    <w:t xml:space="preserve"> </w:t>
                  </w:r>
                  <w:r w:rsidRPr="001A1439">
                    <w:rPr>
                      <w:rFonts w:ascii="Arial" w:hAnsi="Arial" w:cs="Arial"/>
                      <w:sz w:val="16"/>
                      <w:szCs w:val="16"/>
                      <w:lang w:val="lt-LT"/>
                    </w:rPr>
                    <w:t>192050725</w:t>
                  </w:r>
                  <w:r w:rsidR="00384B22">
                    <w:rPr>
                      <w:rFonts w:ascii="Arial" w:hAnsi="Arial" w:cs="Arial"/>
                      <w:sz w:val="16"/>
                      <w:szCs w:val="16"/>
                      <w:lang w:val="lt-LT"/>
                    </w:rPr>
                    <w:t xml:space="preserve">, </w:t>
                  </w:r>
                  <w:r w:rsidR="002C7583" w:rsidRPr="006A25D6">
                    <w:rPr>
                      <w:rFonts w:ascii="Arial" w:hAnsi="Arial"/>
                      <w:sz w:val="16"/>
                      <w:szCs w:val="16"/>
                      <w:lang w:val="lt-LT"/>
                    </w:rPr>
                    <w:t>mokesčių mokėtojo kodas</w:t>
                  </w:r>
                  <w:r w:rsidR="002C7583">
                    <w:rPr>
                      <w:rFonts w:ascii="Arial" w:hAnsi="Arial"/>
                      <w:sz w:val="16"/>
                      <w:szCs w:val="16"/>
                      <w:lang w:val="lt-LT"/>
                    </w:rPr>
                    <w:t xml:space="preserve"> </w:t>
                  </w:r>
                  <w:r w:rsidRPr="001A1439">
                    <w:rPr>
                      <w:rFonts w:ascii="Arial" w:hAnsi="Arial"/>
                      <w:sz w:val="16"/>
                      <w:szCs w:val="16"/>
                      <w:lang w:val="lt-LT"/>
                    </w:rPr>
                    <w:t>LT100012270012</w:t>
                  </w:r>
                  <w:r>
                    <w:rPr>
                      <w:rFonts w:ascii="Arial" w:hAnsi="Arial"/>
                      <w:sz w:val="16"/>
                      <w:szCs w:val="16"/>
                      <w:lang w:val="lt-LT"/>
                    </w:rPr>
                    <w:t xml:space="preserve">, </w:t>
                  </w:r>
                  <w:r w:rsidR="002C7583">
                    <w:rPr>
                      <w:rFonts w:ascii="Arial" w:hAnsi="Arial"/>
                      <w:sz w:val="16"/>
                      <w:szCs w:val="16"/>
                      <w:lang w:val="lt-LT"/>
                    </w:rPr>
                    <w:t xml:space="preserve">el.paštas informaciniams/sąskaitoms </w:t>
                  </w:r>
                  <w:r w:rsidRPr="001A1439">
                    <w:rPr>
                      <w:rFonts w:ascii="Arial" w:hAnsi="Arial"/>
                      <w:sz w:val="16"/>
                      <w:szCs w:val="16"/>
                      <w:lang w:val="lt-LT"/>
                    </w:rPr>
                    <w:t xml:space="preserve">info@esf.lt </w:t>
                  </w:r>
                  <w:r w:rsidR="002C7583" w:rsidRPr="006A25D6">
                    <w:rPr>
                      <w:rFonts w:ascii="Arial" w:hAnsi="Arial" w:cs="Arial"/>
                      <w:sz w:val="16"/>
                      <w:szCs w:val="16"/>
                      <w:lang w:val="lt-LT"/>
                    </w:rPr>
                    <w:t>("</w:t>
                  </w:r>
                  <w:r w:rsidR="002C7583" w:rsidRPr="006A25D6">
                    <w:rPr>
                      <w:rFonts w:ascii="Arial" w:hAnsi="Arial" w:cs="Arial"/>
                      <w:b/>
                      <w:bCs/>
                      <w:sz w:val="16"/>
                      <w:szCs w:val="16"/>
                      <w:lang w:val="lt-LT"/>
                    </w:rPr>
                    <w:t>Klientas</w:t>
                  </w:r>
                  <w:r w:rsidR="002C7583" w:rsidRPr="006A25D6">
                    <w:rPr>
                      <w:rFonts w:ascii="Arial" w:hAnsi="Arial" w:cs="Arial"/>
                      <w:bCs/>
                      <w:sz w:val="16"/>
                      <w:szCs w:val="16"/>
                      <w:lang w:val="lt-LT"/>
                    </w:rPr>
                    <w:t>"</w:t>
                  </w:r>
                  <w:r w:rsidR="002C7583" w:rsidRPr="006A25D6">
                    <w:rPr>
                      <w:rFonts w:ascii="Arial" w:hAnsi="Arial" w:cs="Arial"/>
                      <w:sz w:val="16"/>
                      <w:szCs w:val="16"/>
                      <w:lang w:val="lt-LT"/>
                    </w:rPr>
                    <w:t>)</w:t>
                  </w:r>
                </w:p>
              </w:tc>
            </w:tr>
          </w:tbl>
          <w:p w14:paraId="3016D284" w14:textId="77777777" w:rsidR="002C7583" w:rsidRPr="006A25D6" w:rsidRDefault="002C7583" w:rsidP="00F372EB">
            <w:pPr>
              <w:pStyle w:val="BodyText"/>
              <w:spacing w:after="0"/>
              <w:rPr>
                <w:rFonts w:ascii="Arial" w:hAnsi="Arial"/>
                <w:bCs/>
                <w:sz w:val="16"/>
                <w:szCs w:val="16"/>
                <w:lang w:val="lt-LT"/>
              </w:rPr>
            </w:pPr>
          </w:p>
          <w:p w14:paraId="7696DC5B" w14:textId="77777777" w:rsidR="002C7583" w:rsidRPr="006A25D6" w:rsidRDefault="002C7583" w:rsidP="00F372EB">
            <w:pPr>
              <w:pStyle w:val="BodyText"/>
              <w:rPr>
                <w:rFonts w:ascii="Arial" w:hAnsi="Arial"/>
                <w:bCs/>
                <w:sz w:val="16"/>
                <w:szCs w:val="16"/>
                <w:lang w:val="lt-LT"/>
              </w:rPr>
            </w:pPr>
            <w:r w:rsidRPr="006A25D6">
              <w:rPr>
                <w:rFonts w:ascii="Arial" w:hAnsi="Arial"/>
                <w:bCs/>
                <w:sz w:val="16"/>
                <w:szCs w:val="16"/>
                <w:lang w:val="lt-LT"/>
              </w:rPr>
              <w:t>Toliau šalys atskirai vadinamos “</w:t>
            </w:r>
            <w:r w:rsidRPr="006A25D6">
              <w:rPr>
                <w:rFonts w:ascii="Arial" w:hAnsi="Arial"/>
                <w:b/>
                <w:bCs/>
                <w:sz w:val="16"/>
                <w:szCs w:val="16"/>
                <w:lang w:val="lt-LT"/>
              </w:rPr>
              <w:t>Šalimi</w:t>
            </w:r>
            <w:r w:rsidRPr="006A25D6">
              <w:rPr>
                <w:rFonts w:ascii="Arial" w:hAnsi="Arial"/>
                <w:bCs/>
                <w:sz w:val="16"/>
                <w:szCs w:val="16"/>
                <w:lang w:val="lt-LT"/>
              </w:rPr>
              <w:t>”, o kartu – “</w:t>
            </w:r>
            <w:r w:rsidRPr="006A25D6">
              <w:rPr>
                <w:rFonts w:ascii="Arial" w:hAnsi="Arial"/>
                <w:b/>
                <w:bCs/>
                <w:sz w:val="16"/>
                <w:szCs w:val="16"/>
                <w:lang w:val="lt-LT"/>
              </w:rPr>
              <w:t>Šalimis</w:t>
            </w:r>
            <w:r w:rsidRPr="006A25D6">
              <w:rPr>
                <w:rFonts w:ascii="Arial" w:hAnsi="Arial"/>
                <w:bCs/>
                <w:sz w:val="16"/>
                <w:szCs w:val="16"/>
                <w:lang w:val="lt-LT"/>
              </w:rPr>
              <w:t xml:space="preserve">”. </w:t>
            </w:r>
          </w:p>
        </w:tc>
      </w:tr>
      <w:tr w:rsidR="002C7583" w:rsidRPr="00E1545B" w14:paraId="4D14F78E" w14:textId="77777777" w:rsidTr="00F372EB">
        <w:tc>
          <w:tcPr>
            <w:tcW w:w="8613" w:type="dxa"/>
            <w:gridSpan w:val="4"/>
            <w:shd w:val="clear" w:color="auto" w:fill="auto"/>
          </w:tcPr>
          <w:p w14:paraId="053458CA" w14:textId="77777777" w:rsidR="002C7583" w:rsidRPr="006A25D6" w:rsidRDefault="002C7583" w:rsidP="00BC4B4B">
            <w:pPr>
              <w:widowControl w:val="0"/>
              <w:numPr>
                <w:ilvl w:val="0"/>
                <w:numId w:val="1"/>
              </w:numPr>
              <w:tabs>
                <w:tab w:val="left" w:pos="34"/>
              </w:tabs>
              <w:spacing w:after="120"/>
              <w:ind w:left="0" w:firstLine="0"/>
              <w:jc w:val="both"/>
              <w:rPr>
                <w:rFonts w:ascii="Arial" w:hAnsi="Arial" w:cs="Arial"/>
                <w:b/>
                <w:bCs/>
                <w:kern w:val="28"/>
                <w:sz w:val="16"/>
                <w:szCs w:val="16"/>
                <w:lang w:val="lt-LT"/>
              </w:rPr>
            </w:pPr>
            <w:r w:rsidRPr="006A25D6">
              <w:rPr>
                <w:rFonts w:ascii="Arial" w:hAnsi="Arial" w:cs="Arial"/>
                <w:b/>
                <w:bCs/>
                <w:kern w:val="28"/>
                <w:sz w:val="16"/>
                <w:szCs w:val="16"/>
                <w:lang w:val="lt-LT"/>
              </w:rPr>
              <w:t>SUTARTIES DALYKAS</w:t>
            </w:r>
          </w:p>
          <w:p w14:paraId="443EE4CC" w14:textId="77777777" w:rsidR="002C7583" w:rsidRPr="006A25D6" w:rsidRDefault="002C7583" w:rsidP="00BC4B4B">
            <w:pPr>
              <w:widowControl w:val="0"/>
              <w:numPr>
                <w:ilvl w:val="1"/>
                <w:numId w:val="2"/>
              </w:numPr>
              <w:tabs>
                <w:tab w:val="left" w:pos="34"/>
                <w:tab w:val="left" w:pos="426"/>
              </w:tabs>
              <w:spacing w:after="120"/>
              <w:ind w:left="0" w:firstLine="0"/>
              <w:jc w:val="both"/>
              <w:rPr>
                <w:sz w:val="16"/>
                <w:szCs w:val="16"/>
                <w:lang w:val="lt-LT"/>
              </w:rPr>
            </w:pPr>
            <w:r w:rsidRPr="006A25D6">
              <w:rPr>
                <w:rFonts w:ascii="Arial" w:hAnsi="Arial" w:cs="Arial"/>
                <w:bCs/>
                <w:kern w:val="28"/>
                <w:sz w:val="16"/>
                <w:szCs w:val="16"/>
                <w:lang w:val="lt-LT"/>
              </w:rPr>
              <w:t>Pasirašydamas šią sutartį (“</w:t>
            </w:r>
            <w:r w:rsidRPr="006A25D6">
              <w:rPr>
                <w:rFonts w:ascii="Arial" w:hAnsi="Arial" w:cs="Arial"/>
                <w:b/>
                <w:bCs/>
                <w:kern w:val="28"/>
                <w:sz w:val="16"/>
                <w:szCs w:val="16"/>
                <w:lang w:val="lt-LT"/>
              </w:rPr>
              <w:t>Sutartis</w:t>
            </w:r>
            <w:r w:rsidRPr="006A25D6">
              <w:rPr>
                <w:rFonts w:ascii="Arial" w:hAnsi="Arial" w:cs="Arial"/>
                <w:bCs/>
                <w:kern w:val="28"/>
                <w:sz w:val="16"/>
                <w:szCs w:val="16"/>
                <w:lang w:val="lt-LT"/>
              </w:rPr>
              <w:t>”) Klientas paveda Iron Mountain, o Iron Mountain įsipareigoja tvarkyti (</w:t>
            </w:r>
            <w:r w:rsidR="00384B22">
              <w:rPr>
                <w:rFonts w:ascii="Arial" w:hAnsi="Arial" w:cs="Arial"/>
                <w:bCs/>
                <w:kern w:val="28"/>
                <w:sz w:val="16"/>
                <w:szCs w:val="16"/>
                <w:lang w:val="lt-LT"/>
              </w:rPr>
              <w:t>tvarkyti</w:t>
            </w:r>
            <w:r w:rsidR="001A1439">
              <w:rPr>
                <w:rFonts w:ascii="Arial" w:hAnsi="Arial" w:cs="Arial"/>
                <w:bCs/>
                <w:kern w:val="28"/>
                <w:sz w:val="16"/>
                <w:szCs w:val="16"/>
                <w:lang w:val="lt-LT"/>
              </w:rPr>
              <w:t>, sutikrinti su Kliento DVS, atrinkti naikinimą ir kita</w:t>
            </w:r>
            <w:r w:rsidRPr="006A25D6">
              <w:rPr>
                <w:rFonts w:ascii="Arial" w:hAnsi="Arial" w:cs="Arial"/>
                <w:bCs/>
                <w:kern w:val="28"/>
                <w:sz w:val="16"/>
                <w:szCs w:val="16"/>
                <w:lang w:val="lt-LT"/>
              </w:rPr>
              <w:t>) Kliento spausdintinius dokumentus (“</w:t>
            </w:r>
            <w:r w:rsidRPr="006A25D6">
              <w:rPr>
                <w:rFonts w:ascii="Arial" w:hAnsi="Arial" w:cs="Arial"/>
                <w:b/>
                <w:bCs/>
                <w:kern w:val="28"/>
                <w:sz w:val="16"/>
                <w:szCs w:val="16"/>
                <w:lang w:val="lt-LT"/>
              </w:rPr>
              <w:t>Dokumentus</w:t>
            </w:r>
            <w:r w:rsidRPr="006A25D6">
              <w:rPr>
                <w:rFonts w:ascii="Arial" w:hAnsi="Arial" w:cs="Arial"/>
                <w:bCs/>
                <w:kern w:val="28"/>
                <w:sz w:val="16"/>
                <w:szCs w:val="16"/>
                <w:lang w:val="lt-LT"/>
              </w:rPr>
              <w:t>”) pagal nustatytus atrankos kriterijus ir paslaugų lygio susitarimą (angl. SLA), nustatytą pridedamame Priede “Paslaugos ir mokesčiai”. Jeigu Paslaugų ir mokesčių pried</w:t>
            </w:r>
            <w:r w:rsidR="00384B22">
              <w:rPr>
                <w:rFonts w:ascii="Arial" w:hAnsi="Arial" w:cs="Arial"/>
                <w:bCs/>
                <w:kern w:val="28"/>
                <w:sz w:val="16"/>
                <w:szCs w:val="16"/>
                <w:lang w:val="lt-LT"/>
              </w:rPr>
              <w:t xml:space="preserve">e nenurodyta kitaip, tvarkymas </w:t>
            </w:r>
            <w:r w:rsidRPr="006A25D6">
              <w:rPr>
                <w:rFonts w:ascii="Arial" w:hAnsi="Arial" w:cs="Arial"/>
                <w:bCs/>
                <w:kern w:val="28"/>
                <w:sz w:val="16"/>
                <w:szCs w:val="16"/>
                <w:lang w:val="lt-LT"/>
              </w:rPr>
              <w:t xml:space="preserve">apima tik dokumentacijos tvarkymą bylų lygiu, atskiri bylose esantys Dokumentai nėra tvarkomi, ir Iron Mountain šių atskirų Dokumentų turinys/vertė nėra žinomi. </w:t>
            </w:r>
          </w:p>
          <w:p w14:paraId="3BDC2E6A" w14:textId="77777777" w:rsidR="002C7583" w:rsidRPr="006A25D6" w:rsidRDefault="002C7583" w:rsidP="00BC4B4B">
            <w:pPr>
              <w:widowControl w:val="0"/>
              <w:numPr>
                <w:ilvl w:val="1"/>
                <w:numId w:val="2"/>
              </w:numPr>
              <w:tabs>
                <w:tab w:val="left" w:pos="34"/>
                <w:tab w:val="left" w:pos="426"/>
              </w:tabs>
              <w:spacing w:after="120"/>
              <w:ind w:left="0" w:firstLine="0"/>
              <w:jc w:val="both"/>
              <w:rPr>
                <w:sz w:val="16"/>
                <w:szCs w:val="16"/>
                <w:lang w:val="lt-LT"/>
              </w:rPr>
            </w:pPr>
            <w:r w:rsidRPr="006A25D6">
              <w:rPr>
                <w:rFonts w:ascii="Arial" w:hAnsi="Arial" w:cs="Arial"/>
                <w:bCs/>
                <w:kern w:val="28"/>
                <w:sz w:val="16"/>
                <w:szCs w:val="16"/>
                <w:lang w:val="lt-LT"/>
              </w:rPr>
              <w:t>Toliau nurodyti priedai laikomi sudarančiais vientisą Sutartį, suprantami bei aiškinami kaip Sutarties dalis:</w:t>
            </w:r>
          </w:p>
          <w:p w14:paraId="08ED7D37" w14:textId="77777777" w:rsidR="002C7583" w:rsidRPr="006A25D6" w:rsidRDefault="002C7583" w:rsidP="00BC4B4B">
            <w:pPr>
              <w:numPr>
                <w:ilvl w:val="0"/>
                <w:numId w:val="3"/>
              </w:numPr>
              <w:tabs>
                <w:tab w:val="left" w:pos="34"/>
              </w:tabs>
              <w:rPr>
                <w:rFonts w:ascii="Arial" w:hAnsi="Arial" w:cs="Arial"/>
                <w:bCs/>
                <w:kern w:val="28"/>
                <w:sz w:val="16"/>
                <w:szCs w:val="16"/>
                <w:lang w:val="lt-LT"/>
              </w:rPr>
            </w:pPr>
            <w:r w:rsidRPr="006A25D6">
              <w:rPr>
                <w:rFonts w:ascii="Arial" w:hAnsi="Arial" w:cs="Arial"/>
                <w:b/>
                <w:bCs/>
                <w:kern w:val="28"/>
                <w:sz w:val="16"/>
                <w:szCs w:val="16"/>
                <w:lang w:val="lt-LT"/>
              </w:rPr>
              <w:t>Šis vieno puslapio dokumentas</w:t>
            </w:r>
            <w:r w:rsidRPr="006A25D6">
              <w:rPr>
                <w:rFonts w:ascii="Arial" w:hAnsi="Arial" w:cs="Arial"/>
                <w:bCs/>
                <w:kern w:val="28"/>
                <w:sz w:val="16"/>
                <w:szCs w:val="16"/>
                <w:lang w:val="lt-LT"/>
              </w:rPr>
              <w:t>, pasirašytas Šalių;</w:t>
            </w:r>
          </w:p>
          <w:p w14:paraId="19E95F41" w14:textId="77777777" w:rsidR="002C7583" w:rsidRPr="006A25D6" w:rsidRDefault="002C7583" w:rsidP="00BC4B4B">
            <w:pPr>
              <w:widowControl w:val="0"/>
              <w:numPr>
                <w:ilvl w:val="0"/>
                <w:numId w:val="3"/>
              </w:numPr>
              <w:tabs>
                <w:tab w:val="left" w:pos="34"/>
                <w:tab w:val="left" w:pos="426"/>
              </w:tabs>
              <w:jc w:val="both"/>
              <w:rPr>
                <w:rFonts w:ascii="Arial" w:hAnsi="Arial" w:cs="Arial"/>
                <w:bCs/>
                <w:kern w:val="28"/>
                <w:sz w:val="16"/>
                <w:szCs w:val="16"/>
                <w:lang w:val="lt-LT"/>
              </w:rPr>
            </w:pPr>
            <w:r w:rsidRPr="006A25D6">
              <w:rPr>
                <w:rFonts w:ascii="Arial" w:hAnsi="Arial" w:cs="Arial"/>
                <w:b/>
                <w:bCs/>
                <w:kern w:val="28"/>
                <w:sz w:val="16"/>
                <w:szCs w:val="16"/>
                <w:lang w:val="lt-LT"/>
              </w:rPr>
              <w:t>Paslaugų ir mokesčių priedas</w:t>
            </w:r>
            <w:r w:rsidRPr="006A25D6">
              <w:rPr>
                <w:rFonts w:ascii="Arial" w:hAnsi="Arial" w:cs="Arial"/>
                <w:bCs/>
                <w:kern w:val="28"/>
                <w:sz w:val="16"/>
                <w:szCs w:val="16"/>
                <w:lang w:val="lt-LT"/>
              </w:rPr>
              <w:t xml:space="preserve">, kuriame nurodytos galimos paslaugos, paslaugų lygio susitarimai (angl.SLA) ir Mokesčiai; </w:t>
            </w:r>
          </w:p>
          <w:p w14:paraId="28F803E7" w14:textId="77777777" w:rsidR="002C7583" w:rsidRPr="006A25D6" w:rsidRDefault="002C7583" w:rsidP="002C7583">
            <w:pPr>
              <w:widowControl w:val="0"/>
              <w:numPr>
                <w:ilvl w:val="0"/>
                <w:numId w:val="3"/>
              </w:numPr>
              <w:tabs>
                <w:tab w:val="left" w:pos="426"/>
              </w:tabs>
              <w:jc w:val="both"/>
              <w:rPr>
                <w:rFonts w:ascii="Arial" w:hAnsi="Arial" w:cs="Arial"/>
                <w:bCs/>
                <w:kern w:val="28"/>
                <w:sz w:val="16"/>
                <w:szCs w:val="16"/>
                <w:lang w:val="lt-LT"/>
              </w:rPr>
            </w:pPr>
            <w:r w:rsidRPr="006A25D6">
              <w:rPr>
                <w:rFonts w:ascii="Arial" w:hAnsi="Arial" w:cs="Arial"/>
                <w:b/>
                <w:bCs/>
                <w:kern w:val="28"/>
                <w:sz w:val="16"/>
                <w:szCs w:val="16"/>
                <w:lang w:val="lt-LT"/>
              </w:rPr>
              <w:t>Bendrosios nuostatos ir sąlygos (“BN&amp;S”)</w:t>
            </w:r>
            <w:r w:rsidRPr="006A25D6">
              <w:rPr>
                <w:rFonts w:ascii="Arial" w:hAnsi="Arial" w:cs="Arial"/>
                <w:bCs/>
                <w:kern w:val="28"/>
                <w:sz w:val="16"/>
                <w:szCs w:val="16"/>
                <w:lang w:val="lt-LT"/>
              </w:rPr>
              <w:t xml:space="preserve">, kur nurodomos taikytinos teisinės nuostatos;  </w:t>
            </w:r>
          </w:p>
          <w:p w14:paraId="4DBA6CBD" w14:textId="77777777" w:rsidR="002C7583" w:rsidRPr="006A25D6" w:rsidRDefault="002C7583" w:rsidP="002C7583">
            <w:pPr>
              <w:widowControl w:val="0"/>
              <w:numPr>
                <w:ilvl w:val="0"/>
                <w:numId w:val="3"/>
              </w:numPr>
              <w:tabs>
                <w:tab w:val="left" w:pos="426"/>
              </w:tabs>
              <w:spacing w:after="120"/>
              <w:jc w:val="both"/>
              <w:rPr>
                <w:rFonts w:ascii="Arial" w:hAnsi="Arial" w:cs="Arial"/>
                <w:bCs/>
                <w:kern w:val="28"/>
                <w:sz w:val="16"/>
                <w:szCs w:val="16"/>
                <w:lang w:val="lt-LT"/>
              </w:rPr>
            </w:pPr>
            <w:r w:rsidRPr="006A25D6">
              <w:rPr>
                <w:rFonts w:ascii="Arial" w:hAnsi="Arial" w:cs="Arial"/>
                <w:b/>
                <w:bCs/>
                <w:kern w:val="28"/>
                <w:sz w:val="16"/>
                <w:szCs w:val="16"/>
                <w:lang w:val="lt-LT"/>
              </w:rPr>
              <w:t>Duomenų tvarkymo sutartis</w:t>
            </w:r>
            <w:r w:rsidRPr="006A25D6">
              <w:rPr>
                <w:rFonts w:ascii="Arial" w:hAnsi="Arial" w:cs="Arial"/>
                <w:bCs/>
                <w:kern w:val="28"/>
                <w:sz w:val="16"/>
                <w:szCs w:val="16"/>
                <w:lang w:val="lt-LT"/>
              </w:rPr>
              <w:t>, kur yra reglamentuojama Iron Mountain duomenų tvarkymo veikla.</w:t>
            </w:r>
          </w:p>
          <w:p w14:paraId="03EA74DE" w14:textId="77777777" w:rsidR="002C7583" w:rsidRPr="006A25D6" w:rsidRDefault="002C7583" w:rsidP="002C7583">
            <w:pPr>
              <w:widowControl w:val="0"/>
              <w:numPr>
                <w:ilvl w:val="1"/>
                <w:numId w:val="2"/>
              </w:numPr>
              <w:tabs>
                <w:tab w:val="left" w:pos="284"/>
              </w:tabs>
              <w:spacing w:after="120"/>
              <w:jc w:val="both"/>
              <w:rPr>
                <w:rFonts w:ascii="Arial" w:hAnsi="Arial" w:cs="Arial"/>
                <w:bCs/>
                <w:kern w:val="28"/>
                <w:sz w:val="16"/>
                <w:szCs w:val="16"/>
                <w:lang w:val="lt-LT"/>
              </w:rPr>
            </w:pPr>
            <w:r w:rsidRPr="006A25D6">
              <w:rPr>
                <w:rFonts w:ascii="Arial" w:hAnsi="Arial" w:cs="Arial"/>
                <w:bCs/>
                <w:kern w:val="28"/>
                <w:sz w:val="16"/>
                <w:szCs w:val="16"/>
                <w:lang w:val="lt-LT"/>
              </w:rPr>
              <w:t xml:space="preserve">Išvardinti priedai turi būti suprantami kaip sudarantys vieną Sutartį, kurių turinys, esant neaiškumų ar prieštaravimų tarp jų, turi pirmenybę aukščiau nurodyta tvarka, neperžengiant atitinkamo neatitikimo ribų. </w:t>
            </w:r>
          </w:p>
          <w:p w14:paraId="549212D5" w14:textId="77777777" w:rsidR="002C7583" w:rsidRPr="006A25D6" w:rsidRDefault="002C7583" w:rsidP="002C7583">
            <w:pPr>
              <w:numPr>
                <w:ilvl w:val="1"/>
                <w:numId w:val="2"/>
              </w:numPr>
              <w:spacing w:after="120"/>
              <w:rPr>
                <w:rFonts w:ascii="Arial" w:hAnsi="Arial" w:cs="Arial"/>
                <w:bCs/>
                <w:kern w:val="28"/>
                <w:sz w:val="16"/>
                <w:szCs w:val="16"/>
                <w:lang w:val="lt-LT"/>
              </w:rPr>
            </w:pPr>
            <w:r w:rsidRPr="006A25D6">
              <w:rPr>
                <w:rFonts w:ascii="Arial" w:hAnsi="Arial" w:cs="Arial"/>
                <w:bCs/>
                <w:kern w:val="28"/>
                <w:sz w:val="16"/>
                <w:szCs w:val="16"/>
                <w:lang w:val="lt-LT"/>
              </w:rPr>
              <w:t>Visi iš didžiosios raidės parašyti žodžiai turi prasmę, nurodytą BN&amp;S.</w:t>
            </w:r>
          </w:p>
          <w:p w14:paraId="02E95956" w14:textId="77777777" w:rsidR="002C7583" w:rsidRPr="006A25D6" w:rsidRDefault="002C7583" w:rsidP="002C7583">
            <w:pPr>
              <w:widowControl w:val="0"/>
              <w:numPr>
                <w:ilvl w:val="1"/>
                <w:numId w:val="2"/>
              </w:numPr>
              <w:tabs>
                <w:tab w:val="left" w:pos="284"/>
              </w:tabs>
              <w:jc w:val="both"/>
              <w:rPr>
                <w:sz w:val="16"/>
                <w:szCs w:val="16"/>
                <w:lang w:val="lt-LT"/>
              </w:rPr>
            </w:pPr>
            <w:r w:rsidRPr="006A25D6">
              <w:rPr>
                <w:rFonts w:ascii="Arial" w:hAnsi="Arial" w:cs="Arial"/>
                <w:bCs/>
                <w:kern w:val="28"/>
                <w:sz w:val="16"/>
                <w:szCs w:val="16"/>
                <w:lang w:val="lt-LT"/>
              </w:rPr>
              <w:t xml:space="preserve">BN&amp;S ir Duomenų tvarkymo sutartis prieinami </w:t>
            </w:r>
            <w:hyperlink r:id="rId9" w:tgtFrame="_blank" w:history="1">
              <w:r w:rsidRPr="006B3381">
                <w:rPr>
                  <w:rStyle w:val="Hyperlink"/>
                  <w:rFonts w:ascii="Arial" w:hAnsi="Arial" w:cs="Arial"/>
                  <w:bCs/>
                  <w:kern w:val="28"/>
                  <w:sz w:val="16"/>
                  <w:szCs w:val="16"/>
                  <w:lang w:val="lt-LT"/>
                </w:rPr>
                <w:t>https://www.ironmountain.lt/utility/legal/legal-terms</w:t>
              </w:r>
            </w:hyperlink>
            <w:r>
              <w:rPr>
                <w:rFonts w:ascii="Arial" w:hAnsi="Arial" w:cs="Arial"/>
                <w:bCs/>
                <w:kern w:val="28"/>
                <w:sz w:val="16"/>
                <w:szCs w:val="16"/>
                <w:lang w:val="lt-LT"/>
              </w:rPr>
              <w:t xml:space="preserve">, </w:t>
            </w:r>
            <w:r w:rsidRPr="006A25D6">
              <w:rPr>
                <w:rFonts w:ascii="Arial" w:hAnsi="Arial" w:cs="Arial"/>
                <w:bCs/>
                <w:kern w:val="28"/>
                <w:sz w:val="16"/>
                <w:szCs w:val="16"/>
                <w:lang w:val="lt-LT"/>
              </w:rPr>
              <w:t xml:space="preserve">o Paslaugų ir mokesčių priedas yra tiesiogiai pridėtas prie šio dokumento. Pasirašydamas šią Sutartį, Klientas pareiškia ir užtikrina, kad su visais 1.2 Skyriuje nurodytais dokumentais jam buvo sudarytos galimybės susipažinti, Klientas išsamiai peržiūrėjo šiuos priedus prieš pasirašydamas šią Sutartį, ir kad jis aiškiai sutinka su visomis šių priedų nuostatomis. Klientas taip pat pripažįsta, kad jo dėmesys buvo specialiai atkreiptas ir jo sutikimas konkrečiai apima atsakomybę ribojančias nuostatas BN&amp;S.        </w:t>
            </w:r>
          </w:p>
        </w:tc>
      </w:tr>
      <w:tr w:rsidR="002C7583" w:rsidRPr="00E1545B" w14:paraId="24F18E88" w14:textId="77777777" w:rsidTr="00F372EB">
        <w:tc>
          <w:tcPr>
            <w:tcW w:w="8613" w:type="dxa"/>
            <w:gridSpan w:val="4"/>
            <w:shd w:val="clear" w:color="auto" w:fill="auto"/>
          </w:tcPr>
          <w:p w14:paraId="3869EF16" w14:textId="77777777" w:rsidR="002C7583" w:rsidRPr="00F345E5" w:rsidRDefault="002C7583" w:rsidP="002C7583">
            <w:pPr>
              <w:widowControl w:val="0"/>
              <w:numPr>
                <w:ilvl w:val="0"/>
                <w:numId w:val="1"/>
              </w:numPr>
              <w:tabs>
                <w:tab w:val="left" w:pos="263"/>
              </w:tabs>
              <w:spacing w:before="120" w:after="120"/>
              <w:ind w:left="0" w:firstLine="0"/>
              <w:jc w:val="both"/>
              <w:rPr>
                <w:rFonts w:ascii="Arial" w:hAnsi="Arial" w:cs="Arial"/>
                <w:bCs/>
                <w:kern w:val="28"/>
                <w:sz w:val="16"/>
                <w:szCs w:val="16"/>
                <w:lang w:val="lt-LT"/>
              </w:rPr>
            </w:pPr>
            <w:r w:rsidRPr="00F345E5">
              <w:rPr>
                <w:rFonts w:ascii="Arial" w:hAnsi="Arial" w:cs="Arial"/>
                <w:bCs/>
                <w:kern w:val="28"/>
                <w:sz w:val="16"/>
                <w:szCs w:val="16"/>
                <w:lang w:val="lt-LT"/>
              </w:rPr>
              <w:t>TERMINAS</w:t>
            </w:r>
          </w:p>
          <w:p w14:paraId="5305EA12" w14:textId="556CAB2D" w:rsidR="002C7583" w:rsidRPr="00F345E5" w:rsidRDefault="002C7583" w:rsidP="00861B3C">
            <w:pPr>
              <w:widowControl w:val="0"/>
              <w:tabs>
                <w:tab w:val="left" w:pos="263"/>
              </w:tabs>
              <w:spacing w:before="120"/>
              <w:jc w:val="both"/>
              <w:rPr>
                <w:rFonts w:ascii="Arial" w:hAnsi="Arial" w:cs="Arial"/>
                <w:bCs/>
                <w:kern w:val="28"/>
                <w:sz w:val="16"/>
                <w:szCs w:val="16"/>
                <w:lang w:val="lt-LT"/>
              </w:rPr>
            </w:pPr>
            <w:r w:rsidRPr="00F345E5">
              <w:rPr>
                <w:rFonts w:ascii="Arial" w:hAnsi="Arial" w:cs="Arial"/>
                <w:bCs/>
                <w:kern w:val="28"/>
                <w:sz w:val="16"/>
                <w:szCs w:val="16"/>
                <w:lang w:val="lt-LT"/>
              </w:rPr>
              <w:t xml:space="preserve">Ši </w:t>
            </w:r>
            <w:r w:rsidRPr="007C3478">
              <w:rPr>
                <w:rFonts w:ascii="Arial" w:hAnsi="Arial" w:cs="Arial"/>
                <w:bCs/>
                <w:kern w:val="28"/>
                <w:sz w:val="16"/>
                <w:szCs w:val="16"/>
                <w:lang w:val="lt-LT"/>
              </w:rPr>
              <w:t>Sutartis sudaroma vienkartiniam paslaugų suteikimui</w:t>
            </w:r>
            <w:r w:rsidR="00243024" w:rsidRPr="007C3478">
              <w:rPr>
                <w:rFonts w:ascii="Arial" w:hAnsi="Arial" w:cs="Arial"/>
                <w:bCs/>
                <w:kern w:val="28"/>
                <w:sz w:val="16"/>
                <w:szCs w:val="16"/>
                <w:lang w:val="lt-LT"/>
              </w:rPr>
              <w:t xml:space="preserve">. </w:t>
            </w:r>
            <w:r w:rsidRPr="007C3478">
              <w:rPr>
                <w:rFonts w:ascii="Arial" w:hAnsi="Arial" w:cs="Arial"/>
                <w:bCs/>
                <w:kern w:val="28"/>
                <w:sz w:val="16"/>
                <w:szCs w:val="16"/>
                <w:lang w:val="lt-LT"/>
              </w:rPr>
              <w:t>Su</w:t>
            </w:r>
            <w:r w:rsidR="00861B3C" w:rsidRPr="007C3478">
              <w:rPr>
                <w:rFonts w:ascii="Arial" w:hAnsi="Arial" w:cs="Arial"/>
                <w:bCs/>
                <w:kern w:val="28"/>
                <w:sz w:val="16"/>
                <w:szCs w:val="16"/>
                <w:lang w:val="lt-LT"/>
              </w:rPr>
              <w:t xml:space="preserve">tartis pasibaigs, kai tvarkymo </w:t>
            </w:r>
            <w:r w:rsidRPr="007C3478">
              <w:rPr>
                <w:rFonts w:ascii="Arial" w:hAnsi="Arial" w:cs="Arial"/>
                <w:bCs/>
                <w:kern w:val="28"/>
                <w:sz w:val="16"/>
                <w:szCs w:val="16"/>
                <w:lang w:val="lt-LT"/>
              </w:rPr>
              <w:t>paslaugos bus užbaigto</w:t>
            </w:r>
            <w:r w:rsidR="00F345E5" w:rsidRPr="007C3478">
              <w:rPr>
                <w:rFonts w:ascii="Arial" w:hAnsi="Arial" w:cs="Arial"/>
                <w:bCs/>
                <w:kern w:val="28"/>
                <w:sz w:val="16"/>
                <w:szCs w:val="16"/>
                <w:lang w:val="lt-LT"/>
              </w:rPr>
              <w:t>s, j</w:t>
            </w:r>
            <w:r w:rsidR="00DC5E98" w:rsidRPr="007C3478">
              <w:rPr>
                <w:rFonts w:ascii="Arial" w:hAnsi="Arial" w:cs="Arial"/>
                <w:bCs/>
                <w:kern w:val="28"/>
                <w:sz w:val="16"/>
                <w:szCs w:val="16"/>
                <w:lang w:val="lt-LT"/>
              </w:rPr>
              <w:t>i</w:t>
            </w:r>
            <w:r w:rsidR="00F345E5" w:rsidRPr="007C3478">
              <w:rPr>
                <w:rFonts w:ascii="Arial" w:hAnsi="Arial" w:cs="Arial"/>
                <w:bCs/>
                <w:kern w:val="28"/>
                <w:sz w:val="16"/>
                <w:szCs w:val="16"/>
                <w:lang w:val="lt-LT"/>
              </w:rPr>
              <w:t xml:space="preserve"> gali trukti ne ilgiau nei 2 mėnesius nuo sutarties pasirašymo </w:t>
            </w:r>
            <w:r w:rsidR="00A24B60" w:rsidRPr="007C3478">
              <w:rPr>
                <w:rFonts w:ascii="Arial" w:hAnsi="Arial" w:cs="Arial"/>
                <w:bCs/>
                <w:kern w:val="28"/>
                <w:sz w:val="16"/>
                <w:szCs w:val="16"/>
                <w:lang w:val="lt-LT"/>
              </w:rPr>
              <w:t>datos.</w:t>
            </w:r>
          </w:p>
        </w:tc>
      </w:tr>
      <w:tr w:rsidR="002C7583" w:rsidRPr="00384B22" w14:paraId="32AC6BE7" w14:textId="77777777" w:rsidTr="00F372EB">
        <w:tc>
          <w:tcPr>
            <w:tcW w:w="8613" w:type="dxa"/>
            <w:gridSpan w:val="4"/>
            <w:shd w:val="clear" w:color="auto" w:fill="auto"/>
          </w:tcPr>
          <w:p w14:paraId="61F5B0A6" w14:textId="77777777" w:rsidR="002C7583" w:rsidRPr="006A25D6" w:rsidRDefault="002C7583" w:rsidP="002C7583">
            <w:pPr>
              <w:pStyle w:val="BodyText"/>
              <w:numPr>
                <w:ilvl w:val="0"/>
                <w:numId w:val="1"/>
              </w:numPr>
              <w:tabs>
                <w:tab w:val="left" w:pos="263"/>
              </w:tabs>
              <w:spacing w:before="120" w:after="120"/>
              <w:ind w:left="0" w:firstLine="0"/>
              <w:jc w:val="both"/>
              <w:rPr>
                <w:b/>
                <w:sz w:val="16"/>
                <w:szCs w:val="16"/>
                <w:lang w:val="lt-LT"/>
              </w:rPr>
            </w:pPr>
            <w:bookmarkStart w:id="0" w:name="_Hlk148957639"/>
            <w:r w:rsidRPr="006A25D6">
              <w:rPr>
                <w:rFonts w:ascii="Arial" w:hAnsi="Arial" w:cs="Arial"/>
                <w:b/>
                <w:bCs/>
                <w:kern w:val="28"/>
                <w:sz w:val="16"/>
                <w:szCs w:val="16"/>
                <w:lang w:val="lt-LT"/>
              </w:rPr>
              <w:t xml:space="preserve">APMOKĖJIMAS </w:t>
            </w:r>
          </w:p>
          <w:p w14:paraId="4AB4A799" w14:textId="77777777" w:rsidR="002C7583" w:rsidRPr="00BC4B4B" w:rsidRDefault="002C7583" w:rsidP="00384B22">
            <w:pPr>
              <w:widowControl w:val="0"/>
              <w:tabs>
                <w:tab w:val="left" w:pos="426"/>
              </w:tabs>
              <w:spacing w:after="120"/>
              <w:jc w:val="both"/>
              <w:rPr>
                <w:rFonts w:ascii="Arial" w:hAnsi="Arial" w:cs="Arial"/>
                <w:sz w:val="16"/>
                <w:szCs w:val="16"/>
                <w:lang w:val="lt-LT"/>
              </w:rPr>
            </w:pPr>
            <w:r w:rsidRPr="006A25D6">
              <w:rPr>
                <w:rFonts w:ascii="Arial" w:hAnsi="Arial" w:cs="Arial"/>
                <w:sz w:val="16"/>
                <w:szCs w:val="16"/>
                <w:lang w:val="lt-LT"/>
              </w:rPr>
              <w:t xml:space="preserve">Už suteiktas paslaugas Klientas moka Paslaugų ir mokesčių priede nurodyto dydžio mokesčius. Mokesčiai mokami per </w:t>
            </w:r>
            <w:r w:rsidR="00384B22">
              <w:rPr>
                <w:rFonts w:ascii="Arial" w:hAnsi="Arial" w:cs="Arial"/>
                <w:sz w:val="16"/>
                <w:szCs w:val="16"/>
                <w:lang w:val="lt-LT"/>
              </w:rPr>
              <w:t xml:space="preserve">30 dienų nuo tvarkymo </w:t>
            </w:r>
            <w:r w:rsidRPr="006A25D6">
              <w:rPr>
                <w:rFonts w:ascii="Arial" w:hAnsi="Arial" w:cs="Arial"/>
                <w:sz w:val="16"/>
                <w:szCs w:val="16"/>
                <w:lang w:val="lt-LT"/>
              </w:rPr>
              <w:t>Paslaugų užbaigimo,</w:t>
            </w:r>
            <w:r w:rsidR="008C4F34">
              <w:rPr>
                <w:rFonts w:ascii="Arial" w:hAnsi="Arial" w:cs="Arial"/>
                <w:sz w:val="16"/>
                <w:szCs w:val="16"/>
                <w:lang w:val="lt-LT"/>
              </w:rPr>
              <w:t xml:space="preserve"> ir PVM sąskaitos faktūros gavimo dienos,</w:t>
            </w:r>
            <w:r w:rsidRPr="006A25D6">
              <w:rPr>
                <w:rFonts w:ascii="Arial" w:hAnsi="Arial" w:cs="Arial"/>
                <w:sz w:val="16"/>
                <w:szCs w:val="16"/>
                <w:lang w:val="lt-LT"/>
              </w:rPr>
              <w:t xml:space="preserve"> laikantis BN&amp;S nurodytų apmokėjimo sąlygų. Klientas patvirtina Paslaugų suteikimą pasirašydamas darbų atlikimo aktą</w:t>
            </w:r>
            <w:r w:rsidR="008C4F34">
              <w:rPr>
                <w:rFonts w:ascii="Arial" w:hAnsi="Arial" w:cs="Arial"/>
                <w:sz w:val="16"/>
                <w:szCs w:val="16"/>
                <w:lang w:val="lt-LT"/>
              </w:rPr>
              <w:t>.</w:t>
            </w:r>
            <w:r w:rsidRPr="00BC4B4B">
              <w:rPr>
                <w:rFonts w:ascii="Arial" w:hAnsi="Arial" w:cs="Arial"/>
                <w:sz w:val="16"/>
                <w:szCs w:val="16"/>
                <w:lang w:val="lt-LT"/>
              </w:rPr>
              <w:t xml:space="preserve"> </w:t>
            </w:r>
          </w:p>
          <w:p w14:paraId="3960AACC" w14:textId="185CA4E3" w:rsidR="00BC4B4B" w:rsidRPr="00BC4B4B" w:rsidRDefault="00BC4B4B" w:rsidP="00BC4B4B">
            <w:pPr>
              <w:tabs>
                <w:tab w:val="left" w:pos="0"/>
              </w:tabs>
              <w:ind w:hanging="360"/>
              <w:jc w:val="both"/>
              <w:rPr>
                <w:rFonts w:ascii="Arial" w:hAnsi="Arial" w:cs="Arial"/>
                <w:sz w:val="16"/>
                <w:szCs w:val="16"/>
                <w:lang w:val="lt-LT"/>
              </w:rPr>
            </w:pPr>
            <w:r>
              <w:rPr>
                <w:rFonts w:ascii="Arial" w:hAnsi="Arial" w:cs="Arial"/>
                <w:sz w:val="16"/>
                <w:szCs w:val="16"/>
                <w:lang w:val="lt-LT"/>
              </w:rPr>
              <w:t xml:space="preserve">3.1 3.1. </w:t>
            </w:r>
            <w:r w:rsidRPr="00BC4B4B">
              <w:rPr>
                <w:rFonts w:ascii="Arial" w:hAnsi="Arial" w:cs="Arial"/>
                <w:sz w:val="16"/>
                <w:szCs w:val="16"/>
                <w:lang w:val="lt-LT"/>
              </w:rPr>
              <w:t>Paslaugų teikėjas sąskaitas – faktūras privalo pateikti naudojantis elektronine paslauga „E. sąskaita“ (elektroninėspaslaugos „E. sąskaita“ svetainė pasiekiama adresu www.esaskaita.eu). Paslaugų gavėjas turi teisę sustabdyti mokėjimą, jei sąskaitoje faktūroje nenurodytas sutarties numeris ar nurodyta neteisinga suma, ar nepateikti Sutartyje reikalaujami dokumentai, ar sąskaita faktūra nepateikiama „E. sąskaita“ portalo pagalba, kol Paslaugų teikėjas ištaisys trūkumus.</w:t>
            </w:r>
          </w:p>
          <w:bookmarkEnd w:id="0"/>
          <w:p w14:paraId="2986C7D1" w14:textId="269EEDB2" w:rsidR="00BC4B4B" w:rsidRPr="006A25D6" w:rsidRDefault="00BC4B4B" w:rsidP="00384B22">
            <w:pPr>
              <w:widowControl w:val="0"/>
              <w:tabs>
                <w:tab w:val="left" w:pos="426"/>
              </w:tabs>
              <w:spacing w:after="120"/>
              <w:jc w:val="both"/>
              <w:rPr>
                <w:sz w:val="16"/>
                <w:szCs w:val="16"/>
                <w:lang w:val="lt-LT"/>
              </w:rPr>
            </w:pPr>
          </w:p>
        </w:tc>
      </w:tr>
      <w:tr w:rsidR="002C7583" w:rsidRPr="006A25D6" w14:paraId="45A74007" w14:textId="77777777" w:rsidTr="00F372EB">
        <w:tc>
          <w:tcPr>
            <w:tcW w:w="8613" w:type="dxa"/>
            <w:gridSpan w:val="4"/>
            <w:shd w:val="clear" w:color="auto" w:fill="auto"/>
          </w:tcPr>
          <w:p w14:paraId="1BB441A1" w14:textId="77777777" w:rsidR="002C7583" w:rsidRPr="006A25D6" w:rsidRDefault="002C7583" w:rsidP="00F372EB">
            <w:pPr>
              <w:pStyle w:val="BodyText"/>
              <w:spacing w:after="0"/>
              <w:jc w:val="both"/>
              <w:rPr>
                <w:rFonts w:ascii="Arial" w:hAnsi="Arial" w:cs="Arial"/>
                <w:sz w:val="16"/>
                <w:szCs w:val="16"/>
                <w:lang w:val="lt-LT"/>
              </w:rPr>
            </w:pPr>
            <w:r w:rsidRPr="006A25D6">
              <w:rPr>
                <w:rFonts w:ascii="Arial" w:hAnsi="Arial" w:cs="Arial"/>
                <w:sz w:val="16"/>
                <w:szCs w:val="16"/>
                <w:lang w:val="lt-LT"/>
              </w:rPr>
              <w:t>TAI PATVIRTINDAMOS, Šalys sudarė šią Sutartį vėliausią žemiau nurodytą datą.</w:t>
            </w:r>
          </w:p>
          <w:p w14:paraId="6D46869E" w14:textId="77777777" w:rsidR="002C7583" w:rsidRPr="006A25D6" w:rsidRDefault="002C7583" w:rsidP="00F372EB">
            <w:pPr>
              <w:pStyle w:val="BodyText"/>
              <w:spacing w:after="0"/>
              <w:jc w:val="both"/>
              <w:rPr>
                <w:rFonts w:ascii="Arial" w:hAnsi="Arial" w:cs="Arial"/>
                <w:sz w:val="16"/>
                <w:szCs w:val="16"/>
                <w:lang w:val="lt-LT"/>
              </w:rPr>
            </w:pPr>
          </w:p>
        </w:tc>
      </w:tr>
      <w:tr w:rsidR="002C7583" w:rsidRPr="00E1545B" w14:paraId="5A8374E1" w14:textId="77777777" w:rsidTr="00F37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18" w:type="dxa"/>
        </w:trPr>
        <w:tc>
          <w:tcPr>
            <w:tcW w:w="4191" w:type="dxa"/>
            <w:shd w:val="clear" w:color="auto" w:fill="auto"/>
          </w:tcPr>
          <w:p w14:paraId="3C502449" w14:textId="77777777" w:rsidR="002C7583" w:rsidRPr="008519D7" w:rsidRDefault="0077395D" w:rsidP="00F372EB">
            <w:pPr>
              <w:tabs>
                <w:tab w:val="left" w:pos="5620"/>
              </w:tabs>
              <w:jc w:val="both"/>
              <w:rPr>
                <w:rFonts w:ascii="Arial" w:hAnsi="Arial" w:cs="Arial"/>
                <w:b/>
                <w:bCs/>
                <w:sz w:val="16"/>
                <w:szCs w:val="16"/>
              </w:rPr>
            </w:pPr>
            <w:r>
              <w:rPr>
                <w:rFonts w:ascii="Arial" w:hAnsi="Arial"/>
                <w:b/>
                <w:sz w:val="16"/>
                <w:szCs w:val="16"/>
              </w:rPr>
              <w:t xml:space="preserve">Iron Mountain Lithuania </w:t>
            </w:r>
            <w:r w:rsidR="002C7583">
              <w:rPr>
                <w:rFonts w:ascii="Arial" w:hAnsi="Arial"/>
                <w:b/>
                <w:sz w:val="16"/>
                <w:szCs w:val="16"/>
              </w:rPr>
              <w:t xml:space="preserve">AB </w:t>
            </w:r>
          </w:p>
        </w:tc>
        <w:tc>
          <w:tcPr>
            <w:tcW w:w="4191" w:type="dxa"/>
            <w:shd w:val="clear" w:color="auto" w:fill="auto"/>
          </w:tcPr>
          <w:p w14:paraId="698CD2E4" w14:textId="77777777" w:rsidR="002C7583" w:rsidRPr="001A1439" w:rsidRDefault="002C7583" w:rsidP="00F372EB">
            <w:pPr>
              <w:tabs>
                <w:tab w:val="left" w:pos="5620"/>
              </w:tabs>
              <w:jc w:val="both"/>
              <w:rPr>
                <w:rFonts w:ascii="Arial" w:hAnsi="Arial" w:cs="Arial"/>
                <w:b/>
                <w:sz w:val="16"/>
                <w:szCs w:val="16"/>
                <w:lang w:val="es-ES"/>
              </w:rPr>
            </w:pPr>
            <w:r w:rsidRPr="001A1439">
              <w:rPr>
                <w:rFonts w:ascii="Arial" w:hAnsi="Arial" w:cs="Arial"/>
                <w:b/>
                <w:sz w:val="16"/>
                <w:szCs w:val="16"/>
                <w:lang w:val="es-ES"/>
              </w:rPr>
              <w:t xml:space="preserve">Klientas   </w:t>
            </w:r>
            <w:r w:rsidR="001A1439" w:rsidRPr="001A1439">
              <w:rPr>
                <w:rFonts w:ascii="Arial" w:hAnsi="Arial" w:cs="Arial"/>
                <w:b/>
                <w:sz w:val="16"/>
                <w:szCs w:val="16"/>
                <w:lang w:val="es-ES"/>
              </w:rPr>
              <w:t>Europos socialinio fondo agentūra</w:t>
            </w:r>
          </w:p>
        </w:tc>
      </w:tr>
      <w:tr w:rsidR="002C7583" w:rsidRPr="00AB06FD" w14:paraId="01B19293" w14:textId="77777777" w:rsidTr="00F37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18" w:type="dxa"/>
        </w:trPr>
        <w:tc>
          <w:tcPr>
            <w:tcW w:w="4191" w:type="dxa"/>
            <w:shd w:val="clear" w:color="auto" w:fill="auto"/>
          </w:tcPr>
          <w:p w14:paraId="0027C5D7" w14:textId="77777777" w:rsidR="002C7583" w:rsidRPr="006B3381" w:rsidRDefault="002C7583" w:rsidP="00F372EB">
            <w:pPr>
              <w:tabs>
                <w:tab w:val="left" w:pos="5620"/>
              </w:tabs>
              <w:jc w:val="both"/>
              <w:rPr>
                <w:rFonts w:ascii="Arial" w:hAnsi="Arial" w:cs="Arial"/>
                <w:sz w:val="16"/>
                <w:szCs w:val="16"/>
                <w:lang w:val="hu-HU"/>
              </w:rPr>
            </w:pPr>
            <w:r w:rsidRPr="006B3381">
              <w:rPr>
                <w:rFonts w:ascii="Arial" w:hAnsi="Arial" w:cs="Arial"/>
                <w:sz w:val="16"/>
                <w:szCs w:val="16"/>
                <w:lang w:val="lt-LT"/>
              </w:rPr>
              <w:t>PARAŠAS</w:t>
            </w:r>
            <w:r>
              <w:rPr>
                <w:rFonts w:ascii="Arial" w:hAnsi="Arial" w:cs="Arial"/>
                <w:sz w:val="16"/>
                <w:szCs w:val="16"/>
                <w:lang w:val="hu-HU"/>
              </w:rPr>
              <w:t>:</w:t>
            </w:r>
          </w:p>
          <w:p w14:paraId="10DD8461" w14:textId="77777777" w:rsidR="002C7583" w:rsidRPr="00AB06FD" w:rsidRDefault="002C7583" w:rsidP="00F372EB">
            <w:pPr>
              <w:tabs>
                <w:tab w:val="left" w:pos="5620"/>
              </w:tabs>
              <w:jc w:val="both"/>
              <w:rPr>
                <w:rFonts w:ascii="Arial" w:hAnsi="Arial" w:cs="Arial"/>
                <w:sz w:val="16"/>
                <w:szCs w:val="16"/>
              </w:rPr>
            </w:pPr>
          </w:p>
          <w:p w14:paraId="1D2C245B" w14:textId="77777777" w:rsidR="002C7583" w:rsidRPr="00AB06FD" w:rsidRDefault="002C7583" w:rsidP="00F372EB">
            <w:pPr>
              <w:tabs>
                <w:tab w:val="left" w:pos="5620"/>
              </w:tabs>
              <w:jc w:val="both"/>
              <w:rPr>
                <w:rFonts w:ascii="Arial" w:hAnsi="Arial" w:cs="Arial"/>
                <w:sz w:val="16"/>
                <w:szCs w:val="16"/>
              </w:rPr>
            </w:pPr>
            <w:r w:rsidRPr="00AB06FD">
              <w:rPr>
                <w:rFonts w:ascii="Arial" w:hAnsi="Arial" w:cs="Arial"/>
                <w:sz w:val="16"/>
                <w:szCs w:val="16"/>
              </w:rPr>
              <w:t xml:space="preserve">                      …………………………………………….</w:t>
            </w:r>
          </w:p>
        </w:tc>
        <w:tc>
          <w:tcPr>
            <w:tcW w:w="4191" w:type="dxa"/>
            <w:shd w:val="clear" w:color="auto" w:fill="auto"/>
          </w:tcPr>
          <w:p w14:paraId="417B71DC" w14:textId="77777777" w:rsidR="002C7583" w:rsidRPr="006B3381" w:rsidRDefault="002C7583" w:rsidP="00F372EB">
            <w:pPr>
              <w:tabs>
                <w:tab w:val="left" w:pos="5620"/>
              </w:tabs>
              <w:jc w:val="both"/>
              <w:rPr>
                <w:rFonts w:ascii="Arial" w:hAnsi="Arial" w:cs="Arial"/>
                <w:sz w:val="16"/>
                <w:szCs w:val="16"/>
                <w:lang w:val="hu-HU"/>
              </w:rPr>
            </w:pPr>
            <w:r w:rsidRPr="006B3381">
              <w:rPr>
                <w:rFonts w:ascii="Arial" w:hAnsi="Arial" w:cs="Arial"/>
                <w:sz w:val="16"/>
                <w:szCs w:val="16"/>
                <w:lang w:val="lt-LT"/>
              </w:rPr>
              <w:t>PARAŠAS</w:t>
            </w:r>
            <w:r w:rsidRPr="00AB06FD">
              <w:rPr>
                <w:rFonts w:ascii="Arial" w:hAnsi="Arial" w:cs="Arial"/>
                <w:sz w:val="16"/>
                <w:szCs w:val="16"/>
              </w:rPr>
              <w:t>:</w:t>
            </w:r>
          </w:p>
          <w:p w14:paraId="37CBD6D2" w14:textId="77777777" w:rsidR="002C7583" w:rsidRPr="00AB06FD" w:rsidRDefault="002C7583" w:rsidP="00F372EB">
            <w:pPr>
              <w:tabs>
                <w:tab w:val="left" w:pos="5620"/>
              </w:tabs>
              <w:jc w:val="both"/>
              <w:rPr>
                <w:rFonts w:ascii="Arial" w:hAnsi="Arial" w:cs="Arial"/>
                <w:sz w:val="16"/>
                <w:szCs w:val="16"/>
              </w:rPr>
            </w:pPr>
          </w:p>
          <w:p w14:paraId="21FCFE39" w14:textId="77777777" w:rsidR="002C7583" w:rsidRPr="00AB06FD" w:rsidRDefault="002C7583" w:rsidP="00F372EB">
            <w:pPr>
              <w:tabs>
                <w:tab w:val="left" w:pos="5620"/>
              </w:tabs>
              <w:jc w:val="both"/>
              <w:rPr>
                <w:rFonts w:ascii="Arial" w:hAnsi="Arial" w:cs="Arial"/>
                <w:sz w:val="16"/>
                <w:szCs w:val="16"/>
              </w:rPr>
            </w:pPr>
            <w:r w:rsidRPr="00AB06FD">
              <w:rPr>
                <w:rFonts w:ascii="Arial" w:hAnsi="Arial" w:cs="Arial"/>
                <w:sz w:val="16"/>
                <w:szCs w:val="16"/>
              </w:rPr>
              <w:t xml:space="preserve">                       …………………………………………….</w:t>
            </w:r>
          </w:p>
        </w:tc>
      </w:tr>
      <w:tr w:rsidR="002C7583" w:rsidRPr="00AB06FD" w14:paraId="1DDDE2DC" w14:textId="77777777" w:rsidTr="00F37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18" w:type="dxa"/>
        </w:trPr>
        <w:tc>
          <w:tcPr>
            <w:tcW w:w="4191" w:type="dxa"/>
            <w:shd w:val="clear" w:color="auto" w:fill="auto"/>
          </w:tcPr>
          <w:p w14:paraId="77AC73C8" w14:textId="6CFEA663" w:rsidR="002C7583" w:rsidRPr="00AB06FD" w:rsidRDefault="002C7583" w:rsidP="00F372EB">
            <w:pPr>
              <w:tabs>
                <w:tab w:val="left" w:pos="5620"/>
              </w:tabs>
              <w:jc w:val="both"/>
              <w:rPr>
                <w:rFonts w:ascii="Arial" w:hAnsi="Arial" w:cs="Arial"/>
                <w:sz w:val="16"/>
                <w:szCs w:val="16"/>
              </w:rPr>
            </w:pPr>
            <w:r>
              <w:rPr>
                <w:rFonts w:ascii="Arial" w:hAnsi="Arial" w:cs="Arial"/>
                <w:sz w:val="16"/>
                <w:szCs w:val="16"/>
              </w:rPr>
              <w:t>PASIRASANCIOJO VARDAS IR PAVARDÉ</w:t>
            </w:r>
            <w:r w:rsidRPr="00AB06FD">
              <w:rPr>
                <w:rFonts w:ascii="Arial" w:hAnsi="Arial" w:cs="Arial"/>
                <w:sz w:val="16"/>
                <w:szCs w:val="16"/>
              </w:rPr>
              <w:t>:</w:t>
            </w:r>
          </w:p>
          <w:p w14:paraId="2DE2C674" w14:textId="77777777" w:rsidR="002C7583" w:rsidRPr="00AB06FD" w:rsidRDefault="002C7583" w:rsidP="00F372EB">
            <w:pPr>
              <w:tabs>
                <w:tab w:val="left" w:pos="5620"/>
              </w:tabs>
              <w:jc w:val="both"/>
              <w:rPr>
                <w:rFonts w:ascii="Arial" w:hAnsi="Arial" w:cs="Arial"/>
                <w:sz w:val="16"/>
                <w:szCs w:val="16"/>
              </w:rPr>
            </w:pPr>
          </w:p>
        </w:tc>
        <w:tc>
          <w:tcPr>
            <w:tcW w:w="4191" w:type="dxa"/>
            <w:shd w:val="clear" w:color="auto" w:fill="auto"/>
          </w:tcPr>
          <w:p w14:paraId="6FE42149" w14:textId="379B557E" w:rsidR="002C7583" w:rsidRPr="002C7583" w:rsidRDefault="002C7583" w:rsidP="000A0817">
            <w:pPr>
              <w:tabs>
                <w:tab w:val="left" w:pos="5620"/>
              </w:tabs>
              <w:jc w:val="both"/>
              <w:rPr>
                <w:rFonts w:ascii="Arial" w:hAnsi="Arial" w:cs="Arial"/>
                <w:sz w:val="16"/>
                <w:szCs w:val="16"/>
              </w:rPr>
            </w:pPr>
            <w:r w:rsidRPr="002C7583">
              <w:rPr>
                <w:rFonts w:ascii="Arial" w:hAnsi="Arial" w:cs="Arial"/>
                <w:sz w:val="16"/>
                <w:szCs w:val="16"/>
              </w:rPr>
              <w:t>PASIRASANCIOJO VARDAS IR PAVARDÉ:</w:t>
            </w:r>
          </w:p>
        </w:tc>
      </w:tr>
      <w:tr w:rsidR="002C7583" w:rsidRPr="00AB06FD" w14:paraId="1678AE95" w14:textId="77777777" w:rsidTr="00F372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118" w:type="dxa"/>
        </w:trPr>
        <w:tc>
          <w:tcPr>
            <w:tcW w:w="4191" w:type="dxa"/>
            <w:shd w:val="clear" w:color="auto" w:fill="auto"/>
          </w:tcPr>
          <w:p w14:paraId="6454D6C7" w14:textId="77777777" w:rsidR="002C7583" w:rsidRPr="00725C3B" w:rsidRDefault="002C7583" w:rsidP="00F372EB">
            <w:pPr>
              <w:tabs>
                <w:tab w:val="left" w:pos="5620"/>
              </w:tabs>
              <w:jc w:val="both"/>
              <w:rPr>
                <w:rFonts w:ascii="Arial" w:hAnsi="Arial" w:cs="Arial"/>
                <w:sz w:val="16"/>
                <w:szCs w:val="16"/>
                <w:lang w:val="en-US"/>
              </w:rPr>
            </w:pPr>
            <w:r>
              <w:rPr>
                <w:rFonts w:ascii="Arial" w:hAnsi="Arial" w:cs="Arial"/>
                <w:sz w:val="16"/>
                <w:szCs w:val="16"/>
              </w:rPr>
              <w:t>VIETA IR DATA</w:t>
            </w:r>
            <w:r w:rsidRPr="00AB06FD">
              <w:rPr>
                <w:rFonts w:ascii="Arial" w:hAnsi="Arial" w:cs="Arial"/>
                <w:sz w:val="16"/>
                <w:szCs w:val="16"/>
              </w:rPr>
              <w:t>:</w:t>
            </w:r>
            <w:r>
              <w:rPr>
                <w:rFonts w:ascii="Arial" w:hAnsi="Arial" w:cs="Arial"/>
                <w:sz w:val="16"/>
                <w:szCs w:val="16"/>
              </w:rPr>
              <w:t xml:space="preserve"> </w:t>
            </w:r>
            <w:r>
              <w:rPr>
                <w:rFonts w:ascii="Arial" w:hAnsi="Arial" w:cs="Arial"/>
                <w:sz w:val="16"/>
                <w:szCs w:val="16"/>
                <w:lang w:val="en-US"/>
              </w:rPr>
              <w:t>202</w:t>
            </w:r>
            <w:r w:rsidR="00B65D02">
              <w:rPr>
                <w:rFonts w:ascii="Arial" w:hAnsi="Arial" w:cs="Arial"/>
                <w:sz w:val="16"/>
                <w:szCs w:val="16"/>
                <w:lang w:val="en-US"/>
              </w:rPr>
              <w:t>3</w:t>
            </w:r>
            <w:r>
              <w:rPr>
                <w:rFonts w:ascii="Arial" w:hAnsi="Arial" w:cs="Arial"/>
                <w:sz w:val="16"/>
                <w:szCs w:val="16"/>
                <w:lang w:val="en-US"/>
              </w:rPr>
              <w:t>-</w:t>
            </w:r>
            <w:r w:rsidR="00384B22">
              <w:rPr>
                <w:rFonts w:ascii="Arial" w:hAnsi="Arial" w:cs="Arial"/>
                <w:sz w:val="16"/>
                <w:szCs w:val="16"/>
                <w:lang w:val="en-US"/>
              </w:rPr>
              <w:t>10</w:t>
            </w:r>
            <w:r>
              <w:rPr>
                <w:rFonts w:ascii="Arial" w:hAnsi="Arial" w:cs="Arial"/>
                <w:sz w:val="16"/>
                <w:szCs w:val="16"/>
                <w:lang w:val="en-US"/>
              </w:rPr>
              <w:t>-</w:t>
            </w:r>
            <w:r w:rsidR="00384B22">
              <w:rPr>
                <w:rFonts w:ascii="Arial" w:hAnsi="Arial" w:cs="Arial"/>
                <w:sz w:val="16"/>
                <w:szCs w:val="16"/>
                <w:lang w:val="en-US"/>
              </w:rPr>
              <w:t>1</w:t>
            </w:r>
            <w:r w:rsidR="00E1545B">
              <w:rPr>
                <w:rFonts w:ascii="Arial" w:hAnsi="Arial" w:cs="Arial"/>
                <w:sz w:val="16"/>
                <w:szCs w:val="16"/>
                <w:lang w:val="en-US"/>
              </w:rPr>
              <w:t>7</w:t>
            </w:r>
          </w:p>
          <w:p w14:paraId="25C08DBA" w14:textId="77777777" w:rsidR="002C7583" w:rsidRPr="00AB06FD" w:rsidRDefault="002C7583" w:rsidP="00F372EB">
            <w:pPr>
              <w:tabs>
                <w:tab w:val="left" w:pos="5620"/>
              </w:tabs>
              <w:jc w:val="both"/>
              <w:rPr>
                <w:rFonts w:ascii="Arial" w:hAnsi="Arial" w:cs="Arial"/>
                <w:sz w:val="16"/>
                <w:szCs w:val="16"/>
              </w:rPr>
            </w:pPr>
          </w:p>
        </w:tc>
        <w:tc>
          <w:tcPr>
            <w:tcW w:w="4191" w:type="dxa"/>
            <w:shd w:val="clear" w:color="auto" w:fill="auto"/>
          </w:tcPr>
          <w:p w14:paraId="6709CE97" w14:textId="77777777" w:rsidR="002C7583" w:rsidRPr="00AB06FD" w:rsidRDefault="002C7583" w:rsidP="00F372EB">
            <w:pPr>
              <w:tabs>
                <w:tab w:val="left" w:pos="5620"/>
              </w:tabs>
              <w:jc w:val="both"/>
              <w:rPr>
                <w:rFonts w:ascii="Arial" w:hAnsi="Arial" w:cs="Arial"/>
                <w:sz w:val="16"/>
                <w:szCs w:val="16"/>
              </w:rPr>
            </w:pPr>
            <w:r>
              <w:rPr>
                <w:rFonts w:ascii="Arial" w:hAnsi="Arial" w:cs="Arial"/>
                <w:sz w:val="16"/>
                <w:szCs w:val="16"/>
              </w:rPr>
              <w:t>VIETA IR DATA</w:t>
            </w:r>
            <w:r w:rsidRPr="00AB06FD">
              <w:rPr>
                <w:rFonts w:ascii="Arial" w:hAnsi="Arial" w:cs="Arial"/>
                <w:sz w:val="16"/>
                <w:szCs w:val="16"/>
              </w:rPr>
              <w:t>:</w:t>
            </w:r>
            <w:r w:rsidR="00384B22">
              <w:t xml:space="preserve"> </w:t>
            </w:r>
            <w:r w:rsidR="00384B22" w:rsidRPr="00384B22">
              <w:rPr>
                <w:rFonts w:ascii="Arial" w:hAnsi="Arial" w:cs="Arial"/>
                <w:sz w:val="16"/>
                <w:szCs w:val="16"/>
              </w:rPr>
              <w:t>2023-10-1</w:t>
            </w:r>
            <w:r w:rsidR="00E1545B">
              <w:rPr>
                <w:rFonts w:ascii="Arial" w:hAnsi="Arial" w:cs="Arial"/>
                <w:sz w:val="16"/>
                <w:szCs w:val="16"/>
              </w:rPr>
              <w:t>7</w:t>
            </w:r>
          </w:p>
          <w:p w14:paraId="7E4775A1" w14:textId="77777777" w:rsidR="002C7583" w:rsidRPr="00AB06FD" w:rsidRDefault="002C7583" w:rsidP="00F372EB">
            <w:pPr>
              <w:tabs>
                <w:tab w:val="left" w:pos="5620"/>
              </w:tabs>
              <w:jc w:val="both"/>
              <w:rPr>
                <w:rFonts w:ascii="Arial" w:hAnsi="Arial" w:cs="Arial"/>
                <w:sz w:val="16"/>
                <w:szCs w:val="16"/>
              </w:rPr>
            </w:pPr>
          </w:p>
        </w:tc>
      </w:tr>
    </w:tbl>
    <w:p w14:paraId="394C32E9" w14:textId="04D9C96F" w:rsidR="002C7583" w:rsidRPr="006A25D6" w:rsidRDefault="002C7583" w:rsidP="002C7583">
      <w:pPr>
        <w:pStyle w:val="BodyText"/>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C7583" w:rsidRPr="00E1545B" w14:paraId="1FDB8AE0" w14:textId="77777777" w:rsidTr="00F372EB">
        <w:tc>
          <w:tcPr>
            <w:tcW w:w="8856" w:type="dxa"/>
            <w:shd w:val="clear" w:color="auto" w:fill="auto"/>
          </w:tcPr>
          <w:p w14:paraId="3B49F8D3" w14:textId="77777777" w:rsidR="002C7583" w:rsidRPr="006A25D6" w:rsidRDefault="002C7583" w:rsidP="00E1545B">
            <w:pPr>
              <w:jc w:val="center"/>
              <w:rPr>
                <w:b/>
                <w:bCs/>
                <w:sz w:val="20"/>
                <w:szCs w:val="20"/>
                <w:lang w:val="lt-LT"/>
              </w:rPr>
            </w:pPr>
            <w:r w:rsidRPr="006A25D6">
              <w:rPr>
                <w:b/>
                <w:bCs/>
                <w:sz w:val="20"/>
                <w:szCs w:val="20"/>
                <w:lang w:val="lt-LT"/>
              </w:rPr>
              <w:lastRenderedPageBreak/>
              <w:t>Paslaugų ir mokesčių priedas</w:t>
            </w:r>
            <w:r w:rsidR="0032134D">
              <w:rPr>
                <w:b/>
                <w:bCs/>
                <w:sz w:val="20"/>
                <w:szCs w:val="20"/>
                <w:lang w:val="lt-LT"/>
              </w:rPr>
              <w:t xml:space="preserve"> Kliento numeris </w:t>
            </w:r>
            <w:r w:rsidR="00E1545B">
              <w:rPr>
                <w:b/>
                <w:bCs/>
                <w:sz w:val="20"/>
                <w:szCs w:val="20"/>
                <w:lang w:val="lt-LT"/>
              </w:rPr>
              <w:t>938</w:t>
            </w:r>
          </w:p>
        </w:tc>
      </w:tr>
    </w:tbl>
    <w:p w14:paraId="446B6D25" w14:textId="77777777" w:rsidR="002C7583" w:rsidRPr="006A25D6" w:rsidRDefault="002C7583" w:rsidP="002C7583">
      <w:pPr>
        <w:rPr>
          <w:sz w:val="17"/>
          <w:szCs w:val="17"/>
          <w:lang w:val="lt-LT"/>
        </w:rPr>
      </w:pPr>
    </w:p>
    <w:p w14:paraId="68470000" w14:textId="77777777" w:rsidR="002C7583" w:rsidRPr="00C45871" w:rsidRDefault="002C7583" w:rsidP="002C7583">
      <w:pPr>
        <w:jc w:val="center"/>
        <w:rPr>
          <w:b/>
          <w:sz w:val="22"/>
          <w:szCs w:val="22"/>
          <w:lang w:val="lt-LT"/>
        </w:rPr>
      </w:pPr>
      <w:r w:rsidRPr="00C45871">
        <w:rPr>
          <w:b/>
          <w:sz w:val="22"/>
          <w:szCs w:val="22"/>
          <w:lang w:val="lt-LT"/>
        </w:rPr>
        <w:t>Dokumentų tvarkymo ir archyvinių priemonių kainoraštis</w:t>
      </w:r>
    </w:p>
    <w:p w14:paraId="06D7FEDB" w14:textId="77777777" w:rsidR="002C7583" w:rsidRPr="00C45871" w:rsidRDefault="002C7583" w:rsidP="002C7583">
      <w:pPr>
        <w:jc w:val="center"/>
        <w:rPr>
          <w:b/>
          <w:sz w:val="22"/>
          <w:szCs w:val="22"/>
          <w:lang w:val="lt-LT"/>
        </w:rPr>
      </w:pPr>
    </w:p>
    <w:tbl>
      <w:tblPr>
        <w:tblW w:w="8944" w:type="dxa"/>
        <w:tblInd w:w="98" w:type="dxa"/>
        <w:tblLook w:val="04A0" w:firstRow="1" w:lastRow="0" w:firstColumn="1" w:lastColumn="0" w:noHBand="0" w:noVBand="1"/>
      </w:tblPr>
      <w:tblGrid>
        <w:gridCol w:w="6775"/>
        <w:gridCol w:w="909"/>
        <w:gridCol w:w="1260"/>
      </w:tblGrid>
      <w:tr w:rsidR="00243024" w:rsidRPr="002B407B" w14:paraId="27F24083" w14:textId="77777777" w:rsidTr="00243024">
        <w:trPr>
          <w:trHeight w:val="318"/>
        </w:trPr>
        <w:tc>
          <w:tcPr>
            <w:tcW w:w="6775" w:type="dxa"/>
            <w:tcBorders>
              <w:top w:val="single" w:sz="4" w:space="0" w:color="auto"/>
              <w:left w:val="single" w:sz="4" w:space="0" w:color="auto"/>
              <w:bottom w:val="single" w:sz="4" w:space="0" w:color="auto"/>
              <w:right w:val="single" w:sz="4" w:space="0" w:color="auto"/>
            </w:tcBorders>
            <w:shd w:val="clear" w:color="auto" w:fill="9CC2E5"/>
            <w:noWrap/>
            <w:vAlign w:val="bottom"/>
            <w:hideMark/>
          </w:tcPr>
          <w:p w14:paraId="2758DEE4" w14:textId="77777777" w:rsidR="00243024" w:rsidRPr="002B407B" w:rsidRDefault="00243024" w:rsidP="00F372EB">
            <w:pPr>
              <w:rPr>
                <w:b/>
                <w:bCs/>
                <w:color w:val="000000"/>
              </w:rPr>
            </w:pPr>
            <w:r w:rsidRPr="002B407B">
              <w:rPr>
                <w:b/>
                <w:bCs/>
                <w:color w:val="000000"/>
              </w:rPr>
              <w:t>Paslaugos pavadinimas</w:t>
            </w:r>
          </w:p>
        </w:tc>
        <w:tc>
          <w:tcPr>
            <w:tcW w:w="909" w:type="dxa"/>
            <w:tcBorders>
              <w:top w:val="single" w:sz="4" w:space="0" w:color="auto"/>
              <w:left w:val="nil"/>
              <w:bottom w:val="single" w:sz="4" w:space="0" w:color="auto"/>
              <w:right w:val="single" w:sz="4" w:space="0" w:color="auto"/>
            </w:tcBorders>
            <w:shd w:val="clear" w:color="auto" w:fill="9CC2E5"/>
            <w:noWrap/>
            <w:vAlign w:val="bottom"/>
            <w:hideMark/>
          </w:tcPr>
          <w:p w14:paraId="176BA7AC" w14:textId="77777777" w:rsidR="00243024" w:rsidRPr="002B407B" w:rsidRDefault="00243024" w:rsidP="00F372EB">
            <w:pPr>
              <w:rPr>
                <w:b/>
                <w:bCs/>
                <w:color w:val="000000"/>
              </w:rPr>
            </w:pPr>
            <w:r w:rsidRPr="002B407B">
              <w:rPr>
                <w:b/>
                <w:bCs/>
                <w:color w:val="000000"/>
              </w:rPr>
              <w:t>Matas</w:t>
            </w:r>
          </w:p>
        </w:tc>
        <w:tc>
          <w:tcPr>
            <w:tcW w:w="1260" w:type="dxa"/>
            <w:tcBorders>
              <w:top w:val="single" w:sz="4" w:space="0" w:color="auto"/>
              <w:left w:val="nil"/>
              <w:bottom w:val="single" w:sz="4" w:space="0" w:color="auto"/>
              <w:right w:val="single" w:sz="4" w:space="0" w:color="auto"/>
            </w:tcBorders>
            <w:shd w:val="clear" w:color="auto" w:fill="9CC2E5"/>
            <w:noWrap/>
            <w:vAlign w:val="bottom"/>
            <w:hideMark/>
          </w:tcPr>
          <w:p w14:paraId="180C38F8" w14:textId="77777777" w:rsidR="00243024" w:rsidRPr="002B407B" w:rsidRDefault="00243024" w:rsidP="00F372EB">
            <w:pPr>
              <w:jc w:val="center"/>
              <w:rPr>
                <w:b/>
                <w:bCs/>
                <w:color w:val="000000"/>
              </w:rPr>
            </w:pPr>
            <w:r w:rsidRPr="002B407B">
              <w:rPr>
                <w:b/>
                <w:bCs/>
                <w:color w:val="000000"/>
              </w:rPr>
              <w:t>Eu be PVM</w:t>
            </w:r>
          </w:p>
        </w:tc>
      </w:tr>
      <w:tr w:rsidR="00243024" w:rsidRPr="002B407B" w14:paraId="3CB07A0E" w14:textId="77777777" w:rsidTr="00243024">
        <w:trPr>
          <w:trHeight w:val="272"/>
        </w:trPr>
        <w:tc>
          <w:tcPr>
            <w:tcW w:w="6775" w:type="dxa"/>
            <w:tcBorders>
              <w:top w:val="single" w:sz="4" w:space="0" w:color="auto"/>
              <w:left w:val="single" w:sz="4" w:space="0" w:color="auto"/>
              <w:bottom w:val="single" w:sz="4" w:space="0" w:color="auto"/>
              <w:right w:val="single" w:sz="4" w:space="0" w:color="auto"/>
            </w:tcBorders>
            <w:shd w:val="clear" w:color="auto" w:fill="auto"/>
          </w:tcPr>
          <w:p w14:paraId="13A1A0D5" w14:textId="366377B8" w:rsidR="00243024" w:rsidRPr="00E1545B" w:rsidRDefault="00243024" w:rsidP="00E1545B">
            <w:pPr>
              <w:rPr>
                <w:color w:val="000000"/>
              </w:rPr>
            </w:pPr>
            <w:r w:rsidRPr="00243024">
              <w:rPr>
                <w:color w:val="000000"/>
              </w:rPr>
              <w:t>Įstaigos dokumentų išrūšiavimas, vertės ekspertizės atlikimas, sudėjimas p</w:t>
            </w:r>
            <w:r w:rsidR="00D8395E">
              <w:rPr>
                <w:color w:val="000000"/>
              </w:rPr>
              <w:t>a</w:t>
            </w:r>
            <w:r w:rsidRPr="00243024">
              <w:rPr>
                <w:color w:val="000000"/>
              </w:rPr>
              <w:t>g</w:t>
            </w:r>
            <w:r w:rsidR="00D8395E">
              <w:rPr>
                <w:color w:val="000000"/>
              </w:rPr>
              <w:t>a</w:t>
            </w:r>
            <w:r w:rsidRPr="00243024">
              <w:rPr>
                <w:color w:val="000000"/>
              </w:rPr>
              <w:t xml:space="preserve">l </w:t>
            </w:r>
            <w:r w:rsidRPr="00E1545B">
              <w:rPr>
                <w:color w:val="000000"/>
              </w:rPr>
              <w:t>Kliento sistemą archyve, sutikrinimas su Kli</w:t>
            </w:r>
            <w:r w:rsidR="00E1545B">
              <w:rPr>
                <w:color w:val="000000"/>
              </w:rPr>
              <w:t xml:space="preserve">ento dokumentų valdymo Sistema </w:t>
            </w:r>
            <w:r w:rsidRPr="00E1545B">
              <w:rPr>
                <w:color w:val="000000"/>
              </w:rPr>
              <w:t>ir kiti su Klientu suderinti darbai</w:t>
            </w:r>
          </w:p>
        </w:tc>
        <w:tc>
          <w:tcPr>
            <w:tcW w:w="909" w:type="dxa"/>
            <w:tcBorders>
              <w:top w:val="nil"/>
              <w:left w:val="nil"/>
              <w:bottom w:val="single" w:sz="4" w:space="0" w:color="auto"/>
              <w:right w:val="single" w:sz="4" w:space="0" w:color="auto"/>
            </w:tcBorders>
            <w:shd w:val="clear" w:color="auto" w:fill="auto"/>
            <w:noWrap/>
            <w:hideMark/>
          </w:tcPr>
          <w:p w14:paraId="3AA3CA8B" w14:textId="77777777" w:rsidR="00243024" w:rsidRDefault="00243024" w:rsidP="00E91057">
            <w:pPr>
              <w:jc w:val="center"/>
              <w:rPr>
                <w:color w:val="000000"/>
              </w:rPr>
            </w:pPr>
          </w:p>
          <w:p w14:paraId="389E150E" w14:textId="77777777" w:rsidR="00243024" w:rsidRDefault="00243024" w:rsidP="00E91057">
            <w:pPr>
              <w:jc w:val="center"/>
              <w:rPr>
                <w:color w:val="000000"/>
              </w:rPr>
            </w:pPr>
          </w:p>
          <w:p w14:paraId="239A9CC5" w14:textId="77777777" w:rsidR="00243024" w:rsidRPr="002B407B" w:rsidRDefault="00243024" w:rsidP="00243024">
            <w:pPr>
              <w:rPr>
                <w:color w:val="000000"/>
              </w:rPr>
            </w:pPr>
            <w:r w:rsidRPr="002B407B">
              <w:rPr>
                <w:color w:val="000000"/>
              </w:rPr>
              <w:t>val</w:t>
            </w:r>
          </w:p>
        </w:tc>
        <w:tc>
          <w:tcPr>
            <w:tcW w:w="1260" w:type="dxa"/>
            <w:tcBorders>
              <w:top w:val="nil"/>
              <w:left w:val="nil"/>
              <w:bottom w:val="single" w:sz="8" w:space="0" w:color="auto"/>
              <w:right w:val="single" w:sz="8" w:space="0" w:color="auto"/>
            </w:tcBorders>
            <w:shd w:val="clear" w:color="auto" w:fill="auto"/>
            <w:noWrap/>
            <w:vAlign w:val="center"/>
            <w:hideMark/>
          </w:tcPr>
          <w:p w14:paraId="7D7CED81" w14:textId="77777777" w:rsidR="00243024" w:rsidRPr="00243024" w:rsidRDefault="00243024" w:rsidP="00E91057">
            <w:pPr>
              <w:jc w:val="center"/>
              <w:rPr>
                <w:color w:val="000000"/>
                <w:lang w:val="lt-LT"/>
              </w:rPr>
            </w:pPr>
            <w:r>
              <w:rPr>
                <w:color w:val="000000"/>
                <w:lang w:val="en-US"/>
              </w:rPr>
              <w:t>35,70</w:t>
            </w:r>
          </w:p>
        </w:tc>
      </w:tr>
    </w:tbl>
    <w:p w14:paraId="59473F3B" w14:textId="77777777" w:rsidR="002C7583" w:rsidRDefault="002C7583" w:rsidP="002C7583">
      <w:pPr>
        <w:autoSpaceDE w:val="0"/>
        <w:autoSpaceDN w:val="0"/>
        <w:adjustRightInd w:val="0"/>
        <w:rPr>
          <w:b/>
        </w:rPr>
      </w:pPr>
    </w:p>
    <w:p w14:paraId="1D51939A" w14:textId="77777777" w:rsidR="001A1439" w:rsidRDefault="00243024" w:rsidP="00243024">
      <w:pPr>
        <w:autoSpaceDE w:val="0"/>
        <w:autoSpaceDN w:val="0"/>
        <w:adjustRightInd w:val="0"/>
        <w:jc w:val="center"/>
        <w:rPr>
          <w:b/>
        </w:rPr>
      </w:pPr>
      <w:r>
        <w:rPr>
          <w:b/>
        </w:rPr>
        <w:t>Preliminari sąmata</w:t>
      </w:r>
    </w:p>
    <w:p w14:paraId="5D983444" w14:textId="77777777" w:rsidR="00243024" w:rsidRDefault="00243024" w:rsidP="00243024">
      <w:pPr>
        <w:autoSpaceDE w:val="0"/>
        <w:autoSpaceDN w:val="0"/>
        <w:adjustRightInd w:val="0"/>
        <w:jc w:val="center"/>
        <w:rPr>
          <w:b/>
        </w:rPr>
      </w:pPr>
    </w:p>
    <w:tbl>
      <w:tblPr>
        <w:tblW w:w="8926" w:type="dxa"/>
        <w:jc w:val="center"/>
        <w:tblLook w:val="04A0" w:firstRow="1" w:lastRow="0" w:firstColumn="1" w:lastColumn="0" w:noHBand="0" w:noVBand="1"/>
      </w:tblPr>
      <w:tblGrid>
        <w:gridCol w:w="3804"/>
        <w:gridCol w:w="856"/>
        <w:gridCol w:w="981"/>
        <w:gridCol w:w="1563"/>
        <w:gridCol w:w="1722"/>
      </w:tblGrid>
      <w:tr w:rsidR="00243024" w:rsidRPr="005C6D1A" w14:paraId="23D5DCD8" w14:textId="77777777" w:rsidTr="00384B22">
        <w:trPr>
          <w:trHeight w:val="683"/>
          <w:jc w:val="center"/>
        </w:trPr>
        <w:tc>
          <w:tcPr>
            <w:tcW w:w="3804" w:type="dxa"/>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3319ECD2" w14:textId="77777777" w:rsidR="001A1439" w:rsidRPr="005C6D1A" w:rsidRDefault="001A1439" w:rsidP="00740FA3">
            <w:pPr>
              <w:jc w:val="center"/>
              <w:rPr>
                <w:b/>
                <w:bCs/>
                <w:color w:val="000000"/>
              </w:rPr>
            </w:pPr>
            <w:r w:rsidRPr="005C6D1A">
              <w:rPr>
                <w:b/>
                <w:bCs/>
                <w:color w:val="000000"/>
              </w:rPr>
              <w:t>Paslaugos pavadinimas</w:t>
            </w:r>
          </w:p>
        </w:tc>
        <w:tc>
          <w:tcPr>
            <w:tcW w:w="85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049EFF25" w14:textId="77777777" w:rsidR="001A1439" w:rsidRPr="005C6D1A" w:rsidRDefault="001A1439" w:rsidP="00740FA3">
            <w:pPr>
              <w:jc w:val="center"/>
              <w:rPr>
                <w:b/>
                <w:bCs/>
                <w:color w:val="000000"/>
              </w:rPr>
            </w:pPr>
            <w:r w:rsidRPr="005C6D1A">
              <w:rPr>
                <w:b/>
                <w:bCs/>
                <w:color w:val="000000"/>
              </w:rPr>
              <w:t>Matas</w:t>
            </w:r>
          </w:p>
        </w:tc>
        <w:tc>
          <w:tcPr>
            <w:tcW w:w="98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2AEF386" w14:textId="77777777" w:rsidR="001A1439" w:rsidRPr="005C6D1A" w:rsidRDefault="001A1439" w:rsidP="00740FA3">
            <w:pPr>
              <w:jc w:val="center"/>
              <w:rPr>
                <w:b/>
                <w:bCs/>
                <w:color w:val="000000"/>
              </w:rPr>
            </w:pPr>
            <w:r w:rsidRPr="005C6D1A">
              <w:rPr>
                <w:b/>
                <w:bCs/>
                <w:color w:val="000000"/>
              </w:rPr>
              <w:t>Eur be PVM</w:t>
            </w:r>
          </w:p>
        </w:tc>
        <w:tc>
          <w:tcPr>
            <w:tcW w:w="156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6CC147A6" w14:textId="77777777" w:rsidR="001A1439" w:rsidRPr="005C6D1A" w:rsidRDefault="00243024" w:rsidP="00740FA3">
            <w:pPr>
              <w:jc w:val="center"/>
              <w:rPr>
                <w:b/>
                <w:bCs/>
                <w:color w:val="000000"/>
              </w:rPr>
            </w:pPr>
            <w:r>
              <w:rPr>
                <w:b/>
                <w:bCs/>
                <w:color w:val="000000"/>
              </w:rPr>
              <w:t>Preliminarus k</w:t>
            </w:r>
            <w:r w:rsidR="001A1439">
              <w:rPr>
                <w:b/>
                <w:bCs/>
                <w:color w:val="000000"/>
              </w:rPr>
              <w:t>iekis</w:t>
            </w:r>
          </w:p>
        </w:tc>
        <w:tc>
          <w:tcPr>
            <w:tcW w:w="1722"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DE6A1B1" w14:textId="77777777" w:rsidR="001A1439" w:rsidRPr="005C6D1A" w:rsidRDefault="00243024" w:rsidP="00740FA3">
            <w:pPr>
              <w:jc w:val="center"/>
              <w:rPr>
                <w:b/>
                <w:bCs/>
                <w:color w:val="000000"/>
              </w:rPr>
            </w:pPr>
            <w:r>
              <w:rPr>
                <w:b/>
                <w:bCs/>
                <w:color w:val="000000"/>
              </w:rPr>
              <w:t xml:space="preserve">Preliminariai </w:t>
            </w:r>
            <w:r w:rsidR="001A1439">
              <w:rPr>
                <w:b/>
                <w:bCs/>
                <w:color w:val="000000"/>
              </w:rPr>
              <w:t xml:space="preserve"> be PVM</w:t>
            </w:r>
          </w:p>
        </w:tc>
      </w:tr>
      <w:tr w:rsidR="00243024" w:rsidRPr="00420815" w14:paraId="6F22FF5B" w14:textId="77777777" w:rsidTr="00384B22">
        <w:trPr>
          <w:trHeight w:val="262"/>
          <w:jc w:val="center"/>
        </w:trPr>
        <w:tc>
          <w:tcPr>
            <w:tcW w:w="3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60044" w14:textId="35352329" w:rsidR="001A1439" w:rsidRPr="00420815" w:rsidRDefault="001A1439" w:rsidP="00E1545B">
            <w:pPr>
              <w:rPr>
                <w:color w:val="000000"/>
                <w:lang w:val="lt-LT"/>
              </w:rPr>
            </w:pPr>
            <w:r w:rsidRPr="00420815">
              <w:rPr>
                <w:color w:val="000000"/>
                <w:lang w:val="lt-LT"/>
              </w:rPr>
              <w:t>Įstaigos dokumentų išrūšiavimas, vertės ekspertizės atlikimas, sudėjimas p</w:t>
            </w:r>
            <w:r w:rsidR="00D8395E">
              <w:rPr>
                <w:color w:val="000000"/>
                <w:lang w:val="lt-LT"/>
              </w:rPr>
              <w:t>a</w:t>
            </w:r>
            <w:r w:rsidRPr="00420815">
              <w:rPr>
                <w:color w:val="000000"/>
                <w:lang w:val="lt-LT"/>
              </w:rPr>
              <w:t>g</w:t>
            </w:r>
            <w:r w:rsidR="00D8395E">
              <w:rPr>
                <w:color w:val="000000"/>
                <w:lang w:val="lt-LT"/>
              </w:rPr>
              <w:t>a</w:t>
            </w:r>
            <w:r w:rsidRPr="00420815">
              <w:rPr>
                <w:color w:val="000000"/>
                <w:lang w:val="lt-LT"/>
              </w:rPr>
              <w:t>l Kliento sistemą archyve, sutikrinimas su Klie</w:t>
            </w:r>
            <w:r w:rsidR="00E1545B">
              <w:rPr>
                <w:color w:val="000000"/>
                <w:lang w:val="lt-LT"/>
              </w:rPr>
              <w:t xml:space="preserve">nto dokumentų valdymo sistema </w:t>
            </w:r>
            <w:r w:rsidRPr="00420815">
              <w:rPr>
                <w:color w:val="000000"/>
                <w:lang w:val="lt-LT"/>
              </w:rPr>
              <w:t>ir kiti su Klientu suderinti darbai</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55C51A93" w14:textId="77777777" w:rsidR="001A1439" w:rsidRPr="00420815" w:rsidRDefault="001A1439" w:rsidP="00740FA3">
            <w:pPr>
              <w:rPr>
                <w:color w:val="000000"/>
                <w:lang w:val="lt-LT"/>
              </w:rPr>
            </w:pPr>
            <w:r w:rsidRPr="00420815">
              <w:rPr>
                <w:color w:val="000000"/>
                <w:lang w:val="lt-LT"/>
              </w:rPr>
              <w:t> val</w:t>
            </w:r>
          </w:p>
        </w:tc>
        <w:tc>
          <w:tcPr>
            <w:tcW w:w="981" w:type="dxa"/>
            <w:tcBorders>
              <w:top w:val="single" w:sz="4" w:space="0" w:color="auto"/>
              <w:left w:val="nil"/>
              <w:bottom w:val="single" w:sz="4" w:space="0" w:color="auto"/>
              <w:right w:val="single" w:sz="4" w:space="0" w:color="auto"/>
            </w:tcBorders>
            <w:shd w:val="clear" w:color="auto" w:fill="auto"/>
            <w:vAlign w:val="center"/>
          </w:tcPr>
          <w:p w14:paraId="05996C7F" w14:textId="77777777" w:rsidR="001A1439" w:rsidRPr="00420815" w:rsidRDefault="001A1439" w:rsidP="00740FA3">
            <w:pPr>
              <w:jc w:val="center"/>
              <w:rPr>
                <w:color w:val="000000"/>
                <w:lang w:val="en-US"/>
              </w:rPr>
            </w:pPr>
            <w:r w:rsidRPr="00420815">
              <w:rPr>
                <w:color w:val="000000"/>
                <w:lang w:val="en-US"/>
              </w:rPr>
              <w:t>35,70</w:t>
            </w:r>
          </w:p>
        </w:tc>
        <w:tc>
          <w:tcPr>
            <w:tcW w:w="1563" w:type="dxa"/>
            <w:tcBorders>
              <w:top w:val="single" w:sz="4" w:space="0" w:color="auto"/>
              <w:left w:val="nil"/>
              <w:bottom w:val="single" w:sz="4" w:space="0" w:color="auto"/>
              <w:right w:val="single" w:sz="4" w:space="0" w:color="auto"/>
            </w:tcBorders>
            <w:shd w:val="clear" w:color="auto" w:fill="auto"/>
          </w:tcPr>
          <w:p w14:paraId="69E3F79C" w14:textId="77777777" w:rsidR="001A1439" w:rsidRPr="00420815" w:rsidRDefault="001A1439" w:rsidP="00740FA3">
            <w:pPr>
              <w:jc w:val="center"/>
              <w:rPr>
                <w:color w:val="000000"/>
                <w:lang w:val="lt-LT"/>
              </w:rPr>
            </w:pPr>
          </w:p>
          <w:p w14:paraId="699F13B4" w14:textId="77777777" w:rsidR="001A1439" w:rsidRPr="00420815" w:rsidRDefault="001A1439" w:rsidP="00740FA3">
            <w:pPr>
              <w:jc w:val="center"/>
              <w:rPr>
                <w:color w:val="000000"/>
                <w:lang w:val="lt-LT"/>
              </w:rPr>
            </w:pPr>
          </w:p>
          <w:p w14:paraId="16C3E025" w14:textId="77777777" w:rsidR="00243024" w:rsidRDefault="00243024" w:rsidP="00740FA3">
            <w:pPr>
              <w:rPr>
                <w:color w:val="000000"/>
                <w:lang w:val="lt-LT"/>
              </w:rPr>
            </w:pPr>
          </w:p>
          <w:p w14:paraId="737AB9AA" w14:textId="77777777" w:rsidR="001A1439" w:rsidRPr="00420815" w:rsidRDefault="001A1439" w:rsidP="00243024">
            <w:pPr>
              <w:jc w:val="center"/>
              <w:rPr>
                <w:color w:val="000000"/>
                <w:lang w:val="lt-LT"/>
              </w:rPr>
            </w:pPr>
            <w:r w:rsidRPr="00420815">
              <w:rPr>
                <w:color w:val="000000"/>
                <w:lang w:val="lt-LT"/>
              </w:rPr>
              <w:t>45</w:t>
            </w:r>
          </w:p>
          <w:p w14:paraId="4631A0E0" w14:textId="77777777" w:rsidR="001A1439" w:rsidRPr="00420815" w:rsidRDefault="001A1439" w:rsidP="00740FA3">
            <w:pPr>
              <w:rPr>
                <w:color w:val="000000"/>
                <w:lang w:val="lt-LT"/>
              </w:rPr>
            </w:pPr>
            <w:r w:rsidRPr="00420815">
              <w:rPr>
                <w:color w:val="000000"/>
                <w:lang w:val="lt-LT"/>
              </w:rPr>
              <w:t xml:space="preserve"> </w:t>
            </w:r>
          </w:p>
        </w:tc>
        <w:tc>
          <w:tcPr>
            <w:tcW w:w="1722" w:type="dxa"/>
            <w:tcBorders>
              <w:top w:val="single" w:sz="4" w:space="0" w:color="auto"/>
              <w:left w:val="nil"/>
              <w:bottom w:val="single" w:sz="4" w:space="0" w:color="auto"/>
              <w:right w:val="single" w:sz="4" w:space="0" w:color="auto"/>
            </w:tcBorders>
            <w:shd w:val="clear" w:color="auto" w:fill="auto"/>
          </w:tcPr>
          <w:p w14:paraId="78F57D6D" w14:textId="77777777" w:rsidR="00243024" w:rsidRDefault="00243024" w:rsidP="00740FA3">
            <w:pPr>
              <w:jc w:val="center"/>
              <w:rPr>
                <w:color w:val="000000"/>
                <w:lang w:val="lt-LT"/>
              </w:rPr>
            </w:pPr>
          </w:p>
          <w:p w14:paraId="7CD9A672" w14:textId="77777777" w:rsidR="00243024" w:rsidRDefault="00243024" w:rsidP="00740FA3">
            <w:pPr>
              <w:jc w:val="center"/>
              <w:rPr>
                <w:color w:val="000000"/>
                <w:lang w:val="lt-LT"/>
              </w:rPr>
            </w:pPr>
          </w:p>
          <w:p w14:paraId="44D35A53" w14:textId="77777777" w:rsidR="00243024" w:rsidRDefault="00243024" w:rsidP="00740FA3">
            <w:pPr>
              <w:jc w:val="center"/>
              <w:rPr>
                <w:color w:val="000000"/>
                <w:lang w:val="lt-LT"/>
              </w:rPr>
            </w:pPr>
          </w:p>
          <w:p w14:paraId="7B3D062E" w14:textId="77777777" w:rsidR="001A1439" w:rsidRPr="00420815" w:rsidRDefault="001A1439" w:rsidP="00740FA3">
            <w:pPr>
              <w:jc w:val="center"/>
              <w:rPr>
                <w:color w:val="000000"/>
                <w:lang w:val="lt-LT"/>
              </w:rPr>
            </w:pPr>
            <w:r w:rsidRPr="00420815">
              <w:rPr>
                <w:color w:val="000000"/>
                <w:lang w:val="lt-LT"/>
              </w:rPr>
              <w:t>1606,50</w:t>
            </w:r>
          </w:p>
        </w:tc>
      </w:tr>
      <w:tr w:rsidR="00243024" w:rsidRPr="00420815" w14:paraId="6C7855E9" w14:textId="77777777" w:rsidTr="00384B22">
        <w:trPr>
          <w:trHeight w:val="262"/>
          <w:jc w:val="center"/>
        </w:trPr>
        <w:tc>
          <w:tcPr>
            <w:tcW w:w="3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B2E96" w14:textId="77777777" w:rsidR="001A1439" w:rsidRPr="00420815" w:rsidRDefault="001A1439" w:rsidP="00740FA3">
            <w:pPr>
              <w:rPr>
                <w:color w:val="000000"/>
                <w:lang w:val="lt-LT"/>
              </w:rPr>
            </w:pPr>
          </w:p>
        </w:tc>
        <w:tc>
          <w:tcPr>
            <w:tcW w:w="856" w:type="dxa"/>
            <w:tcBorders>
              <w:top w:val="single" w:sz="4" w:space="0" w:color="auto"/>
              <w:left w:val="nil"/>
              <w:bottom w:val="single" w:sz="4" w:space="0" w:color="auto"/>
              <w:right w:val="single" w:sz="4" w:space="0" w:color="auto"/>
            </w:tcBorders>
            <w:shd w:val="clear" w:color="auto" w:fill="auto"/>
            <w:noWrap/>
            <w:vAlign w:val="center"/>
          </w:tcPr>
          <w:p w14:paraId="3E26F2F4" w14:textId="77777777" w:rsidR="001A1439" w:rsidRPr="00420815" w:rsidRDefault="001A1439" w:rsidP="00740FA3">
            <w:pPr>
              <w:rPr>
                <w:color w:val="000000"/>
                <w:lang w:val="lt-LT"/>
              </w:rPr>
            </w:pPr>
          </w:p>
        </w:tc>
        <w:tc>
          <w:tcPr>
            <w:tcW w:w="981" w:type="dxa"/>
            <w:tcBorders>
              <w:top w:val="single" w:sz="4" w:space="0" w:color="auto"/>
              <w:left w:val="nil"/>
              <w:bottom w:val="single" w:sz="4" w:space="0" w:color="auto"/>
              <w:right w:val="single" w:sz="4" w:space="0" w:color="auto"/>
            </w:tcBorders>
            <w:shd w:val="clear" w:color="auto" w:fill="auto"/>
            <w:vAlign w:val="center"/>
          </w:tcPr>
          <w:p w14:paraId="774358E6" w14:textId="77777777" w:rsidR="001A1439" w:rsidRPr="00420815" w:rsidRDefault="001A1439" w:rsidP="00740FA3">
            <w:pPr>
              <w:jc w:val="center"/>
              <w:rPr>
                <w:color w:val="000000"/>
                <w:lang w:val="en-US"/>
              </w:rPr>
            </w:pPr>
          </w:p>
        </w:tc>
        <w:tc>
          <w:tcPr>
            <w:tcW w:w="1563" w:type="dxa"/>
            <w:tcBorders>
              <w:top w:val="single" w:sz="4" w:space="0" w:color="auto"/>
              <w:left w:val="nil"/>
              <w:bottom w:val="single" w:sz="4" w:space="0" w:color="auto"/>
              <w:right w:val="single" w:sz="4" w:space="0" w:color="auto"/>
            </w:tcBorders>
            <w:shd w:val="clear" w:color="auto" w:fill="auto"/>
          </w:tcPr>
          <w:p w14:paraId="6DB65CB9" w14:textId="77777777" w:rsidR="001A1439" w:rsidRPr="00243024" w:rsidRDefault="001A1439" w:rsidP="00740FA3">
            <w:pPr>
              <w:jc w:val="center"/>
              <w:rPr>
                <w:b/>
                <w:color w:val="000000"/>
                <w:lang w:val="lt-LT"/>
              </w:rPr>
            </w:pPr>
            <w:r w:rsidRPr="00243024">
              <w:rPr>
                <w:b/>
                <w:color w:val="000000"/>
                <w:lang w:val="lt-LT"/>
              </w:rPr>
              <w:t>Su PVM</w:t>
            </w:r>
          </w:p>
        </w:tc>
        <w:tc>
          <w:tcPr>
            <w:tcW w:w="1722" w:type="dxa"/>
            <w:tcBorders>
              <w:top w:val="single" w:sz="4" w:space="0" w:color="auto"/>
              <w:left w:val="nil"/>
              <w:bottom w:val="single" w:sz="4" w:space="0" w:color="auto"/>
              <w:right w:val="single" w:sz="4" w:space="0" w:color="auto"/>
            </w:tcBorders>
            <w:shd w:val="clear" w:color="auto" w:fill="auto"/>
          </w:tcPr>
          <w:p w14:paraId="08101813" w14:textId="77777777" w:rsidR="001A1439" w:rsidRPr="00420815" w:rsidRDefault="001A1439" w:rsidP="00740FA3">
            <w:pPr>
              <w:jc w:val="center"/>
              <w:rPr>
                <w:color w:val="000000"/>
                <w:lang w:val="lt-LT"/>
              </w:rPr>
            </w:pPr>
            <w:r w:rsidRPr="00420815">
              <w:rPr>
                <w:color w:val="000000"/>
                <w:lang w:val="lt-LT"/>
              </w:rPr>
              <w:t>1943,87</w:t>
            </w:r>
          </w:p>
        </w:tc>
      </w:tr>
    </w:tbl>
    <w:p w14:paraId="5F84B0A5" w14:textId="73A40D3B" w:rsidR="001A1439" w:rsidRPr="002B407B" w:rsidRDefault="00D8395E" w:rsidP="002C7583">
      <w:pPr>
        <w:autoSpaceDE w:val="0"/>
        <w:autoSpaceDN w:val="0"/>
        <w:adjustRightInd w:val="0"/>
        <w:rPr>
          <w:b/>
        </w:rPr>
      </w:pPr>
      <w:r>
        <w:rPr>
          <w:b/>
        </w:rPr>
        <w:t>Preliminarios sąmatos maksimali vertė negali būti viršyta vis</w:t>
      </w:r>
      <w:r w:rsidR="008C4F34">
        <w:rPr>
          <w:b/>
        </w:rPr>
        <w:t>ą</w:t>
      </w:r>
      <w:r>
        <w:rPr>
          <w:b/>
        </w:rPr>
        <w:t xml:space="preserve"> Sutarties vykdymo laikotarpį.</w:t>
      </w:r>
    </w:p>
    <w:sectPr w:rsidR="001A1439" w:rsidRPr="002B407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6202"/>
    <w:multiLevelType w:val="multilevel"/>
    <w:tmpl w:val="21D8CDDE"/>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285" w:hanging="360"/>
      </w:pPr>
      <w:rPr>
        <w:rFonts w:ascii="Arial" w:hAnsi="Arial" w:cs="Arial" w:hint="default"/>
        <w:sz w:val="16"/>
        <w:szCs w:val="16"/>
        <w:lang w:val="en-CA"/>
      </w:rPr>
    </w:lvl>
    <w:lvl w:ilvl="2">
      <w:start w:val="1"/>
      <w:numFmt w:val="decimal"/>
      <w:lvlText w:val="%1.%2.%3."/>
      <w:lvlJc w:val="left"/>
      <w:pPr>
        <w:ind w:left="570" w:hanging="720"/>
      </w:pPr>
      <w:rPr>
        <w:rFonts w:ascii="Arial" w:hAnsi="Arial" w:cs="Arial" w:hint="default"/>
        <w:sz w:val="20"/>
      </w:rPr>
    </w:lvl>
    <w:lvl w:ilvl="3">
      <w:start w:val="1"/>
      <w:numFmt w:val="decimal"/>
      <w:lvlText w:val="%1.%2.%3.%4."/>
      <w:lvlJc w:val="left"/>
      <w:pPr>
        <w:ind w:left="495" w:hanging="720"/>
      </w:pPr>
      <w:rPr>
        <w:rFonts w:ascii="Arial" w:hAnsi="Arial" w:cs="Arial" w:hint="default"/>
        <w:sz w:val="20"/>
      </w:rPr>
    </w:lvl>
    <w:lvl w:ilvl="4">
      <w:start w:val="1"/>
      <w:numFmt w:val="decimal"/>
      <w:lvlText w:val="%1.%2.%3.%4.%5."/>
      <w:lvlJc w:val="left"/>
      <w:pPr>
        <w:ind w:left="780" w:hanging="1080"/>
      </w:pPr>
      <w:rPr>
        <w:rFonts w:ascii="Arial" w:hAnsi="Arial" w:cs="Arial" w:hint="default"/>
        <w:sz w:val="20"/>
      </w:rPr>
    </w:lvl>
    <w:lvl w:ilvl="5">
      <w:start w:val="1"/>
      <w:numFmt w:val="decimal"/>
      <w:lvlText w:val="%1.%2.%3.%4.%5.%6."/>
      <w:lvlJc w:val="left"/>
      <w:pPr>
        <w:ind w:left="705" w:hanging="1080"/>
      </w:pPr>
      <w:rPr>
        <w:rFonts w:ascii="Arial" w:hAnsi="Arial" w:cs="Arial" w:hint="default"/>
        <w:sz w:val="20"/>
      </w:rPr>
    </w:lvl>
    <w:lvl w:ilvl="6">
      <w:start w:val="1"/>
      <w:numFmt w:val="decimal"/>
      <w:lvlText w:val="%1.%2.%3.%4.%5.%6.%7."/>
      <w:lvlJc w:val="left"/>
      <w:pPr>
        <w:ind w:left="990" w:hanging="1440"/>
      </w:pPr>
      <w:rPr>
        <w:rFonts w:ascii="Arial" w:hAnsi="Arial" w:cs="Arial" w:hint="default"/>
        <w:sz w:val="20"/>
      </w:rPr>
    </w:lvl>
    <w:lvl w:ilvl="7">
      <w:start w:val="1"/>
      <w:numFmt w:val="decimal"/>
      <w:lvlText w:val="%1.%2.%3.%4.%5.%6.%7.%8."/>
      <w:lvlJc w:val="left"/>
      <w:pPr>
        <w:ind w:left="915" w:hanging="1440"/>
      </w:pPr>
      <w:rPr>
        <w:rFonts w:ascii="Arial" w:hAnsi="Arial" w:cs="Arial" w:hint="default"/>
        <w:sz w:val="20"/>
      </w:rPr>
    </w:lvl>
    <w:lvl w:ilvl="8">
      <w:start w:val="1"/>
      <w:numFmt w:val="decimal"/>
      <w:lvlText w:val="%1.%2.%3.%4.%5.%6.%7.%8.%9."/>
      <w:lvlJc w:val="left"/>
      <w:pPr>
        <w:ind w:left="1200" w:hanging="1800"/>
      </w:pPr>
      <w:rPr>
        <w:rFonts w:ascii="Arial" w:hAnsi="Arial" w:cs="Arial" w:hint="default"/>
        <w:sz w:val="20"/>
      </w:rPr>
    </w:lvl>
  </w:abstractNum>
  <w:abstractNum w:abstractNumId="1" w15:restartNumberingAfterBreak="0">
    <w:nsid w:val="0FF020F5"/>
    <w:multiLevelType w:val="hybridMultilevel"/>
    <w:tmpl w:val="C1C64630"/>
    <w:lvl w:ilvl="0" w:tplc="0D166AE2">
      <w:start w:val="1"/>
      <w:numFmt w:val="decimal"/>
      <w:lvlText w:val="%1."/>
      <w:lvlJc w:val="left"/>
      <w:pPr>
        <w:ind w:left="720" w:hanging="360"/>
      </w:pPr>
      <w:rPr>
        <w:rFonts w:ascii="Arial" w:hAnsi="Arial" w:cs="Arial" w:hint="default"/>
        <w:i w:val="0"/>
        <w:sz w:val="16"/>
        <w:szCs w:val="16"/>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3A757AF"/>
    <w:multiLevelType w:val="multilevel"/>
    <w:tmpl w:val="713C6D3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A8A56AD"/>
    <w:multiLevelType w:val="hybridMultilevel"/>
    <w:tmpl w:val="C60C68F2"/>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064290"/>
    <w:multiLevelType w:val="hybridMultilevel"/>
    <w:tmpl w:val="BA5E2C9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77695547">
    <w:abstractNumId w:val="1"/>
  </w:num>
  <w:num w:numId="2" w16cid:durableId="1476485484">
    <w:abstractNumId w:val="0"/>
  </w:num>
  <w:num w:numId="3" w16cid:durableId="979042946">
    <w:abstractNumId w:val="4"/>
  </w:num>
  <w:num w:numId="4" w16cid:durableId="71584526">
    <w:abstractNumId w:val="3"/>
  </w:num>
  <w:num w:numId="5" w16cid:durableId="259803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3"/>
    <w:rsid w:val="000A0817"/>
    <w:rsid w:val="001A1439"/>
    <w:rsid w:val="00243024"/>
    <w:rsid w:val="002A133B"/>
    <w:rsid w:val="002B407B"/>
    <w:rsid w:val="002C7583"/>
    <w:rsid w:val="0032134D"/>
    <w:rsid w:val="00366E7C"/>
    <w:rsid w:val="00370A94"/>
    <w:rsid w:val="00384B22"/>
    <w:rsid w:val="005728F2"/>
    <w:rsid w:val="00603271"/>
    <w:rsid w:val="006351D8"/>
    <w:rsid w:val="006C7CF7"/>
    <w:rsid w:val="00716355"/>
    <w:rsid w:val="0077395D"/>
    <w:rsid w:val="007C3478"/>
    <w:rsid w:val="00861B3C"/>
    <w:rsid w:val="008C4F34"/>
    <w:rsid w:val="00A24B60"/>
    <w:rsid w:val="00B65D02"/>
    <w:rsid w:val="00B87153"/>
    <w:rsid w:val="00BC4B4B"/>
    <w:rsid w:val="00D8395E"/>
    <w:rsid w:val="00DC5E98"/>
    <w:rsid w:val="00E1545B"/>
    <w:rsid w:val="00E91057"/>
    <w:rsid w:val="00F34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A8F1"/>
  <w15:chartTrackingRefBased/>
  <w15:docId w15:val="{360193FB-5BCF-4021-A4C6-7E13A9DA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C7583"/>
    <w:pPr>
      <w:spacing w:after="240"/>
    </w:pPr>
  </w:style>
  <w:style w:type="character" w:customStyle="1" w:styleId="BodyTextChar">
    <w:name w:val="Body Text Char"/>
    <w:basedOn w:val="DefaultParagraphFont"/>
    <w:link w:val="BodyText"/>
    <w:rsid w:val="002C7583"/>
    <w:rPr>
      <w:rFonts w:ascii="Times New Roman" w:eastAsia="Times New Roman" w:hAnsi="Times New Roman" w:cs="Times New Roman"/>
      <w:sz w:val="24"/>
      <w:szCs w:val="24"/>
    </w:rPr>
  </w:style>
  <w:style w:type="paragraph" w:styleId="Title">
    <w:name w:val="Title"/>
    <w:basedOn w:val="Normal"/>
    <w:next w:val="BodyText"/>
    <w:link w:val="TitleChar"/>
    <w:qFormat/>
    <w:rsid w:val="002C7583"/>
    <w:pPr>
      <w:spacing w:after="240"/>
      <w:jc w:val="center"/>
      <w:outlineLvl w:val="0"/>
    </w:pPr>
    <w:rPr>
      <w:rFonts w:cs="Arial"/>
      <w:b/>
      <w:bCs/>
      <w:kern w:val="28"/>
      <w:szCs w:val="32"/>
    </w:rPr>
  </w:style>
  <w:style w:type="character" w:customStyle="1" w:styleId="TitleChar">
    <w:name w:val="Title Char"/>
    <w:basedOn w:val="DefaultParagraphFont"/>
    <w:link w:val="Title"/>
    <w:rsid w:val="002C7583"/>
    <w:rPr>
      <w:rFonts w:ascii="Times New Roman" w:eastAsia="Times New Roman" w:hAnsi="Times New Roman" w:cs="Arial"/>
      <w:b/>
      <w:bCs/>
      <w:kern w:val="28"/>
      <w:sz w:val="24"/>
      <w:szCs w:val="32"/>
    </w:rPr>
  </w:style>
  <w:style w:type="paragraph" w:customStyle="1" w:styleId="Char">
    <w:name w:val="Char"/>
    <w:basedOn w:val="Normal"/>
    <w:rsid w:val="002C7583"/>
    <w:pPr>
      <w:spacing w:after="160" w:line="240" w:lineRule="exact"/>
    </w:pPr>
    <w:rPr>
      <w:rFonts w:ascii="Verdana" w:hAnsi="Verdana"/>
      <w:sz w:val="20"/>
      <w:szCs w:val="20"/>
      <w:lang w:val="en-US"/>
    </w:rPr>
  </w:style>
  <w:style w:type="character" w:styleId="Hyperlink">
    <w:name w:val="Hyperlink"/>
    <w:rsid w:val="002C7583"/>
    <w:rPr>
      <w:color w:val="0000FF"/>
      <w:u w:val="single"/>
    </w:rPr>
  </w:style>
  <w:style w:type="paragraph" w:styleId="Revision">
    <w:name w:val="Revision"/>
    <w:hidden/>
    <w:uiPriority w:val="99"/>
    <w:semiHidden/>
    <w:rsid w:val="00D8395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8395E"/>
    <w:rPr>
      <w:sz w:val="16"/>
      <w:szCs w:val="16"/>
    </w:rPr>
  </w:style>
  <w:style w:type="paragraph" w:styleId="CommentText">
    <w:name w:val="annotation text"/>
    <w:basedOn w:val="Normal"/>
    <w:link w:val="CommentTextChar"/>
    <w:uiPriority w:val="99"/>
    <w:unhideWhenUsed/>
    <w:rsid w:val="00D8395E"/>
    <w:rPr>
      <w:sz w:val="20"/>
      <w:szCs w:val="20"/>
    </w:rPr>
  </w:style>
  <w:style w:type="character" w:customStyle="1" w:styleId="CommentTextChar">
    <w:name w:val="Comment Text Char"/>
    <w:basedOn w:val="DefaultParagraphFont"/>
    <w:link w:val="CommentText"/>
    <w:uiPriority w:val="99"/>
    <w:rsid w:val="00D839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395E"/>
    <w:rPr>
      <w:b/>
      <w:bCs/>
    </w:rPr>
  </w:style>
  <w:style w:type="character" w:customStyle="1" w:styleId="CommentSubjectChar">
    <w:name w:val="Comment Subject Char"/>
    <w:basedOn w:val="CommentTextChar"/>
    <w:link w:val="CommentSubject"/>
    <w:uiPriority w:val="99"/>
    <w:semiHidden/>
    <w:rsid w:val="00D8395E"/>
    <w:rPr>
      <w:rFonts w:ascii="Times New Roman" w:eastAsia="Times New Roman" w:hAnsi="Times New Roman" w:cs="Times New Roman"/>
      <w:b/>
      <w:bCs/>
      <w:sz w:val="20"/>
      <w:szCs w:val="20"/>
    </w:rPr>
  </w:style>
  <w:style w:type="character" w:customStyle="1" w:styleId="cf01">
    <w:name w:val="cf01"/>
    <w:basedOn w:val="DefaultParagraphFont"/>
    <w:rsid w:val="00F345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9641">
      <w:bodyDiv w:val="1"/>
      <w:marLeft w:val="0"/>
      <w:marRight w:val="0"/>
      <w:marTop w:val="0"/>
      <w:marBottom w:val="0"/>
      <w:divBdr>
        <w:top w:val="none" w:sz="0" w:space="0" w:color="auto"/>
        <w:left w:val="none" w:sz="0" w:space="0" w:color="auto"/>
        <w:bottom w:val="none" w:sz="0" w:space="0" w:color="auto"/>
        <w:right w:val="none" w:sz="0" w:space="0" w:color="auto"/>
      </w:divBdr>
    </w:div>
    <w:div w:id="1833524161">
      <w:bodyDiv w:val="1"/>
      <w:marLeft w:val="0"/>
      <w:marRight w:val="0"/>
      <w:marTop w:val="0"/>
      <w:marBottom w:val="0"/>
      <w:divBdr>
        <w:top w:val="none" w:sz="0" w:space="0" w:color="auto"/>
        <w:left w:val="none" w:sz="0" w:space="0" w:color="auto"/>
        <w:bottom w:val="none" w:sz="0" w:space="0" w:color="auto"/>
        <w:right w:val="none" w:sz="0" w:space="0" w:color="auto"/>
      </w:divBdr>
    </w:div>
    <w:div w:id="204763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ironmountain.lt/utility/legal/legal-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msDocFormNumber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96E0B7BFAF95448F60ACD3127580E7" ma:contentTypeVersion="15" ma:contentTypeDescription="Kurkite naują dokumentą." ma:contentTypeScope="" ma:versionID="55bb11d019621ab232bcb8de1e5c422e">
  <xsd:schema xmlns:xsd="http://www.w3.org/2001/XMLSchema" xmlns:xs="http://www.w3.org/2001/XMLSchema" xmlns:p="http://schemas.microsoft.com/office/2006/metadata/properties" xmlns:ns2="4b2e9d09-07c5-42d4-ad0a-92e216c40b99" xmlns:ns3="http://schemas.microsoft.com/sharepoint/v4" targetNamespace="http://schemas.microsoft.com/office/2006/metadata/properties" ma:root="true" ma:fieldsID="6a7732fd97a83e2349d611fb47d0ecf0" ns2:_="" ns3:_="">
    <xsd:import namespace="4b2e9d09-07c5-42d4-ad0a-92e216c40b99"/>
    <xsd:import namespace="http://schemas.microsoft.com/sharepoint/v4"/>
    <xsd:element name="properties">
      <xsd:complexType>
        <xsd:sequence>
          <xsd:element name="documentManagement">
            <xsd:complexType>
              <xsd:all>
                <xsd:element ref="ns2:DmsDocFormNumb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FormNumber" ma:index="8" nillable="true" ma:displayName="Formos numeris" ma:description="" ma:internalName="DmsDocForm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A679-7DA3-4361-A600-CA0D6ACA4962}">
  <ds:schemaRefs>
    <ds:schemaRef ds:uri="http://schemas.microsoft.com/office/2006/metadata/properties"/>
    <ds:schemaRef ds:uri="http://schemas.microsoft.com/office/infopath/2007/PartnerControls"/>
    <ds:schemaRef ds:uri="http://schemas.microsoft.com/sharepoint/v4"/>
    <ds:schemaRef ds:uri="4b2e9d09-07c5-42d4-ad0a-92e216c40b99"/>
  </ds:schemaRefs>
</ds:datastoreItem>
</file>

<file path=customXml/itemProps2.xml><?xml version="1.0" encoding="utf-8"?>
<ds:datastoreItem xmlns:ds="http://schemas.openxmlformats.org/officeDocument/2006/customXml" ds:itemID="{ACAC4F02-1B46-4D2A-9421-18411D47756A}">
  <ds:schemaRefs>
    <ds:schemaRef ds:uri="http://schemas.microsoft.com/sharepoint/v3/contenttype/forms"/>
  </ds:schemaRefs>
</ds:datastoreItem>
</file>

<file path=customXml/itemProps3.xml><?xml version="1.0" encoding="utf-8"?>
<ds:datastoreItem xmlns:ds="http://schemas.openxmlformats.org/officeDocument/2006/customXml" ds:itemID="{7235E475-B3E0-4496-BA62-E2119467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0D44F-508E-41E2-822B-6E8B0619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3038</Words>
  <Characters>1733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Iron Mountain Europe</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ARCHYVARO PASLAUGA</dc:title>
  <dc:subject/>
  <dc:creator>Ruškytė, Florentina</dc:creator>
  <cp:keywords/>
  <dc:description/>
  <cp:lastModifiedBy>Laura Puciataitė</cp:lastModifiedBy>
  <cp:revision>2</cp:revision>
  <cp:lastPrinted>2023-10-18T06:43:00Z</cp:lastPrinted>
  <dcterms:created xsi:type="dcterms:W3CDTF">2023-12-04T12:27:00Z</dcterms:created>
  <dcterms:modified xsi:type="dcterms:W3CDTF">2023-12-04T12:27:00Z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0x0101009696E0B7BFAF95448F60ACD3127580E7</vt:lpwstr>
  </property>
  <property fmtid="{D5CDD505-2E9C-101B-9397-08002B2CF9AE}" pid="3" name="DmsWaitingForSign">
    <vt:bool>true</vt:bool>
  </property>
</Properties>
</file>