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F59" w14:textId="77777777" w:rsidR="001B67F1" w:rsidRPr="00EA5D65" w:rsidRDefault="001B67F1" w:rsidP="001B67F1">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 xml:space="preserve">VIEŠOJO PIRKIMO-PARDAVIMO SUTARTIS </w:t>
      </w:r>
      <w:r w:rsidRPr="00EA5D65">
        <w:rPr>
          <w:rFonts w:ascii="Times New Roman" w:hAnsi="Times New Roman"/>
          <w:b/>
          <w:color w:val="000000"/>
          <w:sz w:val="24"/>
          <w:szCs w:val="24"/>
        </w:rPr>
        <w:tab/>
      </w:r>
    </w:p>
    <w:p w14:paraId="7FF38109" w14:textId="3180F595" w:rsidR="001B67F1" w:rsidRPr="00EA5D65" w:rsidRDefault="001B67F1" w:rsidP="001B67F1">
      <w:pPr>
        <w:snapToGri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Nr.</w:t>
      </w:r>
      <w:r w:rsidRPr="00EA5D65">
        <w:rPr>
          <w:rFonts w:ascii="Times New Roman" w:hAnsi="Times New Roman"/>
          <w:b/>
          <w:color w:val="000000"/>
          <w:sz w:val="24"/>
          <w:szCs w:val="24"/>
        </w:rPr>
        <w:t xml:space="preserve">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520</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Pr>
          <w:rFonts w:ascii="Times New Roman" w:hAnsi="Times New Roman"/>
          <w:b/>
          <w:color w:val="000000"/>
          <w:sz w:val="24"/>
          <w:szCs w:val="24"/>
        </w:rPr>
        <w:t xml:space="preserve">    </w:t>
      </w:r>
    </w:p>
    <w:p w14:paraId="3BAA2FF4" w14:textId="77777777" w:rsidR="001B67F1" w:rsidRPr="00EA5D65" w:rsidRDefault="001B67F1" w:rsidP="001B67F1">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PIRKIMO Nr</w:t>
      </w:r>
      <w:r>
        <w:rPr>
          <w:rFonts w:ascii="Times New Roman" w:hAnsi="Times New Roman"/>
          <w:b/>
          <w:bCs/>
          <w:color w:val="000000"/>
          <w:sz w:val="24"/>
          <w:szCs w:val="24"/>
        </w:rPr>
        <w:t>.</w:t>
      </w:r>
      <w:r w:rsidRPr="00921E74">
        <w:rPr>
          <w:rFonts w:ascii="Times New Roman" w:hAnsi="Times New Roman"/>
          <w:b/>
          <w:bCs/>
          <w:color w:val="000000"/>
          <w:sz w:val="24"/>
          <w:szCs w:val="24"/>
        </w:rPr>
        <w:t xml:space="preserve"> 682930</w:t>
      </w:r>
    </w:p>
    <w:p w14:paraId="0AFE7CE2" w14:textId="41FC0D06" w:rsidR="001B67F1" w:rsidRPr="00EA5D65" w:rsidRDefault="001B67F1" w:rsidP="001B67F1">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lapkričio 2</w:t>
      </w:r>
      <w:r>
        <w:rPr>
          <w:rFonts w:ascii="Times New Roman" w:hAnsi="Times New Roman"/>
          <w:b/>
          <w:color w:val="000000"/>
          <w:sz w:val="24"/>
          <w:szCs w:val="24"/>
        </w:rPr>
        <w:t>4</w:t>
      </w:r>
      <w:r>
        <w:rPr>
          <w:rFonts w:ascii="Times New Roman" w:hAnsi="Times New Roman"/>
          <w:b/>
          <w:color w:val="000000"/>
          <w:sz w:val="24"/>
          <w:szCs w:val="24"/>
        </w:rPr>
        <w:t xml:space="preserve"> d.</w:t>
      </w:r>
    </w:p>
    <w:p w14:paraId="6009AA63" w14:textId="77777777" w:rsidR="001B67F1" w:rsidRPr="00EA5D65" w:rsidRDefault="001B67F1" w:rsidP="001B67F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1E74">
        <w:rPr>
          <w:b/>
          <w:sz w:val="24"/>
          <w:szCs w:val="24"/>
          <w:lang w:val="lt-LT"/>
        </w:rPr>
        <w:t>VšĮ Respublikinė Klaipėdos ligoninė (toliau – Pirkėjas)</w:t>
      </w:r>
      <w:r w:rsidRPr="00921E74">
        <w:rPr>
          <w:sz w:val="24"/>
          <w:szCs w:val="24"/>
          <w:lang w:val="lt-LT"/>
        </w:rPr>
        <w:t xml:space="preserve">, juridinio asmens kodas 191340088, adresas: S. Nėries g. 3, LT-92231 Klaipėda, tel. </w:t>
      </w:r>
      <w:r>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sidRPr="00EA5D65">
        <w:rPr>
          <w:sz w:val="24"/>
          <w:szCs w:val="24"/>
        </w:rPr>
        <w:t xml:space="preserve">, </w:t>
      </w:r>
      <w:proofErr w:type="spellStart"/>
      <w:proofErr w:type="gramStart"/>
      <w:r w:rsidRPr="00EA5D65">
        <w:rPr>
          <w:sz w:val="24"/>
          <w:szCs w:val="24"/>
        </w:rPr>
        <w:t>veikiančio</w:t>
      </w:r>
      <w:proofErr w:type="spellEnd"/>
      <w:r w:rsidRPr="00EA5D65">
        <w:rPr>
          <w:sz w:val="24"/>
          <w:szCs w:val="24"/>
        </w:rPr>
        <w:t xml:space="preserve">  </w:t>
      </w:r>
      <w:proofErr w:type="spellStart"/>
      <w:r w:rsidRPr="00EA5D65">
        <w:rPr>
          <w:sz w:val="24"/>
          <w:szCs w:val="24"/>
        </w:rPr>
        <w:t>pagal</w:t>
      </w:r>
      <w:proofErr w:type="spellEnd"/>
      <w:proofErr w:type="gramEnd"/>
      <w:r w:rsidRPr="00EA5D65">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EA5D65">
        <w:rPr>
          <w:sz w:val="24"/>
          <w:szCs w:val="24"/>
        </w:rPr>
        <w:t xml:space="preserve">,  </w:t>
      </w:r>
    </w:p>
    <w:p w14:paraId="55C16734" w14:textId="28107103" w:rsidR="001B66A9" w:rsidRPr="00F341D4" w:rsidRDefault="001B66A9" w:rsidP="00F341D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CE7726" w14:textId="1DEB93BD" w:rsidR="001B66A9" w:rsidRPr="00F341D4" w:rsidRDefault="00F341D4" w:rsidP="00F341D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Pr>
          <w:sz w:val="24"/>
          <w:szCs w:val="24"/>
        </w:rPr>
        <w:t>UAB Mundia</w:t>
      </w:r>
      <w:r w:rsidR="001B66A9" w:rsidRPr="00EA5D65">
        <w:rPr>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Pr>
          <w:sz w:val="24"/>
          <w:szCs w:val="24"/>
        </w:rPr>
        <w:t xml:space="preserve"> 300503702</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r>
        <w:rPr>
          <w:sz w:val="24"/>
          <w:szCs w:val="24"/>
        </w:rPr>
        <w:t xml:space="preserve"> </w:t>
      </w:r>
      <w:proofErr w:type="spellStart"/>
      <w:proofErr w:type="gramStart"/>
      <w:r>
        <w:rPr>
          <w:sz w:val="24"/>
          <w:szCs w:val="24"/>
        </w:rPr>
        <w:t>K.Petrausko</w:t>
      </w:r>
      <w:proofErr w:type="spellEnd"/>
      <w:proofErr w:type="gramEnd"/>
      <w:r>
        <w:rPr>
          <w:sz w:val="24"/>
          <w:szCs w:val="24"/>
        </w:rPr>
        <w:t xml:space="preserve"> </w:t>
      </w:r>
      <w:r w:rsidR="001B67F1">
        <w:rPr>
          <w:sz w:val="24"/>
          <w:szCs w:val="24"/>
        </w:rPr>
        <w:t xml:space="preserve">g. </w:t>
      </w:r>
      <w:r>
        <w:rPr>
          <w:sz w:val="24"/>
          <w:szCs w:val="24"/>
        </w:rPr>
        <w:t>26-112</w:t>
      </w:r>
      <w:r w:rsidR="001B67F1">
        <w:rPr>
          <w:sz w:val="24"/>
          <w:szCs w:val="24"/>
        </w:rPr>
        <w:t>, K</w:t>
      </w:r>
      <w:r>
        <w:rPr>
          <w:sz w:val="24"/>
          <w:szCs w:val="24"/>
        </w:rPr>
        <w:t xml:space="preserve">aunas </w:t>
      </w:r>
      <w:r w:rsidR="001B67F1">
        <w:rPr>
          <w:sz w:val="24"/>
          <w:szCs w:val="24"/>
        </w:rPr>
        <w:t>L</w:t>
      </w:r>
      <w:r>
        <w:rPr>
          <w:sz w:val="24"/>
          <w:szCs w:val="24"/>
        </w:rPr>
        <w:t>t-44156</w:t>
      </w:r>
      <w:r w:rsidR="001B66A9" w:rsidRPr="00EA5D65">
        <w:rPr>
          <w:sz w:val="24"/>
          <w:szCs w:val="24"/>
        </w:rPr>
        <w:t xml:space="preserve">, tel. </w:t>
      </w:r>
      <w:r w:rsidR="001B67F1">
        <w:rPr>
          <w:sz w:val="24"/>
          <w:szCs w:val="24"/>
        </w:rPr>
        <w:t xml:space="preserve">+370 </w:t>
      </w:r>
      <w:r>
        <w:rPr>
          <w:sz w:val="24"/>
          <w:szCs w:val="24"/>
        </w:rPr>
        <w:t>68532123</w:t>
      </w:r>
      <w:r w:rsidR="001B66A9" w:rsidRPr="00EA5D65">
        <w:rPr>
          <w:sz w:val="24"/>
          <w:szCs w:val="24"/>
        </w:rPr>
        <w:t xml:space="preserve">,  el.  </w:t>
      </w:r>
      <w:proofErr w:type="spellStart"/>
      <w:r w:rsidR="001B66A9" w:rsidRPr="00EA5D65">
        <w:rPr>
          <w:sz w:val="24"/>
          <w:szCs w:val="24"/>
        </w:rPr>
        <w:t>paštas</w:t>
      </w:r>
      <w:proofErr w:type="spellEnd"/>
      <w:r w:rsidR="001B66A9" w:rsidRPr="00EA5D65">
        <w:rPr>
          <w:sz w:val="24"/>
          <w:szCs w:val="24"/>
        </w:rPr>
        <w:t xml:space="preserve"> </w:t>
      </w:r>
      <w:proofErr w:type="spellStart"/>
      <w:r>
        <w:rPr>
          <w:sz w:val="24"/>
          <w:szCs w:val="24"/>
        </w:rPr>
        <w:t>info@mundia.lt</w:t>
      </w:r>
      <w:proofErr w:type="spellEnd"/>
      <w:r w:rsidR="001B66A9" w:rsidRPr="00EA5D65">
        <w:rPr>
          <w:sz w:val="24"/>
          <w:szCs w:val="24"/>
        </w:rPr>
        <w:t xml:space="preserve">, </w:t>
      </w:r>
      <w:proofErr w:type="spellStart"/>
      <w:proofErr w:type="gramStart"/>
      <w:r w:rsidR="001B66A9" w:rsidRPr="00EA5D65">
        <w:rPr>
          <w:sz w:val="24"/>
          <w:szCs w:val="24"/>
        </w:rPr>
        <w:t>a.s</w:t>
      </w:r>
      <w:proofErr w:type="spellEnd"/>
      <w:r w:rsidR="001B66A9" w:rsidRPr="00EA5D65">
        <w:rPr>
          <w:sz w:val="24"/>
          <w:szCs w:val="24"/>
        </w:rPr>
        <w:t xml:space="preserve"> </w:t>
      </w:r>
      <w:r w:rsidRPr="00F341D4">
        <w:rPr>
          <w:sz w:val="24"/>
          <w:szCs w:val="24"/>
          <w:lang w:eastAsia="lt-LT"/>
        </w:rPr>
        <w:t xml:space="preserve"> </w:t>
      </w:r>
      <w:bookmarkStart w:id="0" w:name="_Hlk152159714"/>
      <w:r w:rsidRPr="00F341D4">
        <w:rPr>
          <w:sz w:val="24"/>
          <w:szCs w:val="24"/>
          <w:lang w:eastAsia="lt-LT"/>
        </w:rPr>
        <w:t>LT</w:t>
      </w:r>
      <w:proofErr w:type="gramEnd"/>
      <w:r w:rsidRPr="00F341D4">
        <w:rPr>
          <w:sz w:val="24"/>
          <w:szCs w:val="24"/>
          <w:lang w:eastAsia="lt-LT"/>
        </w:rPr>
        <w:t>577044060005267724</w:t>
      </w:r>
      <w:r w:rsidR="001B66A9" w:rsidRPr="00EA5D65">
        <w:rPr>
          <w:sz w:val="24"/>
          <w:szCs w:val="24"/>
        </w:rPr>
        <w:t xml:space="preserve">, </w:t>
      </w:r>
      <w:r>
        <w:rPr>
          <w:sz w:val="24"/>
          <w:szCs w:val="24"/>
        </w:rPr>
        <w:t>SEB</w:t>
      </w:r>
      <w:r w:rsidR="001B66A9" w:rsidRPr="00EA5D65">
        <w:rPr>
          <w:sz w:val="24"/>
          <w:szCs w:val="24"/>
        </w:rPr>
        <w:t xml:space="preserve"> </w:t>
      </w:r>
      <w:proofErr w:type="spellStart"/>
      <w:r w:rsidR="001B66A9" w:rsidRPr="00EA5D65">
        <w:rPr>
          <w:sz w:val="24"/>
          <w:szCs w:val="24"/>
        </w:rPr>
        <w:t>bankas</w:t>
      </w:r>
      <w:bookmarkEnd w:id="0"/>
      <w:proofErr w:type="spellEnd"/>
      <w:r w:rsidR="001B66A9" w:rsidRPr="00EA5D65">
        <w:rPr>
          <w:sz w:val="24"/>
          <w:szCs w:val="24"/>
        </w:rPr>
        <w:t xml:space="preserve">, </w:t>
      </w:r>
      <w:proofErr w:type="spellStart"/>
      <w:r w:rsidR="001B66A9" w:rsidRPr="00EA5D65">
        <w:rPr>
          <w:sz w:val="24"/>
          <w:szCs w:val="24"/>
        </w:rPr>
        <w:t>atstovaujam</w:t>
      </w:r>
      <w:r w:rsidR="001B67F1">
        <w:rPr>
          <w:sz w:val="24"/>
          <w:szCs w:val="24"/>
        </w:rPr>
        <w:t>a</w:t>
      </w:r>
      <w:proofErr w:type="spellEnd"/>
      <w:r w:rsidR="001B67F1">
        <w:rPr>
          <w:sz w:val="24"/>
          <w:szCs w:val="24"/>
        </w:rPr>
        <w:t xml:space="preserve"> </w:t>
      </w:r>
      <w:proofErr w:type="spellStart"/>
      <w:r w:rsidR="001B67F1">
        <w:rPr>
          <w:sz w:val="24"/>
          <w:szCs w:val="24"/>
        </w:rPr>
        <w:t>direktoraisu</w:t>
      </w:r>
      <w:proofErr w:type="spellEnd"/>
      <w:r w:rsidR="001B67F1">
        <w:rPr>
          <w:sz w:val="24"/>
          <w:szCs w:val="24"/>
        </w:rPr>
        <w:t xml:space="preserve"> </w:t>
      </w:r>
      <w:proofErr w:type="spellStart"/>
      <w:r w:rsidR="001B67F1">
        <w:rPr>
          <w:sz w:val="24"/>
          <w:szCs w:val="24"/>
        </w:rPr>
        <w:t>Mindaugo</w:t>
      </w:r>
      <w:proofErr w:type="spellEnd"/>
      <w:r w:rsidR="001B67F1">
        <w:rPr>
          <w:sz w:val="24"/>
          <w:szCs w:val="24"/>
        </w:rPr>
        <w:t xml:space="preserve"> </w:t>
      </w:r>
      <w:proofErr w:type="spellStart"/>
      <w:r w:rsidR="001B67F1">
        <w:rPr>
          <w:sz w:val="24"/>
          <w:szCs w:val="24"/>
        </w:rPr>
        <w:t>Mikalausko</w:t>
      </w:r>
      <w:proofErr w:type="spellEnd"/>
      <w:r w:rsidR="001B66A9" w:rsidRPr="00EA5D65">
        <w:rPr>
          <w:sz w:val="24"/>
          <w:szCs w:val="24"/>
        </w:rPr>
        <w:t xml:space="preserve">, </w:t>
      </w:r>
      <w:proofErr w:type="spellStart"/>
      <w:r w:rsidR="001B66A9" w:rsidRPr="00EA5D65">
        <w:rPr>
          <w:sz w:val="24"/>
          <w:szCs w:val="24"/>
        </w:rPr>
        <w:t>veikiančio</w:t>
      </w:r>
      <w:proofErr w:type="spellEnd"/>
      <w:r w:rsidR="001B66A9" w:rsidRPr="00EA5D65">
        <w:rPr>
          <w:sz w:val="24"/>
          <w:szCs w:val="24"/>
        </w:rPr>
        <w:t xml:space="preserve"> </w:t>
      </w:r>
      <w:proofErr w:type="spellStart"/>
      <w:r w:rsidR="001B66A9" w:rsidRPr="00EA5D65">
        <w:rPr>
          <w:sz w:val="24"/>
          <w:szCs w:val="24"/>
        </w:rPr>
        <w:t>pagal</w:t>
      </w:r>
      <w:proofErr w:type="spellEnd"/>
      <w:r w:rsidR="001B66A9" w:rsidRPr="00EA5D65">
        <w:rPr>
          <w:sz w:val="24"/>
          <w:szCs w:val="24"/>
        </w:rPr>
        <w:t xml:space="preserve"> </w:t>
      </w:r>
      <w:proofErr w:type="spellStart"/>
      <w:r w:rsidR="001B67F1">
        <w:rPr>
          <w:sz w:val="24"/>
          <w:szCs w:val="24"/>
        </w:rPr>
        <w:t>bendrovės</w:t>
      </w:r>
      <w:proofErr w:type="spellEnd"/>
      <w:r w:rsidR="001B67F1">
        <w:rPr>
          <w:sz w:val="24"/>
          <w:szCs w:val="24"/>
        </w:rPr>
        <w:t xml:space="preserve"> </w:t>
      </w:r>
      <w:proofErr w:type="spellStart"/>
      <w:r w:rsidR="001B67F1">
        <w:rPr>
          <w:sz w:val="24"/>
          <w:szCs w:val="24"/>
        </w:rPr>
        <w:t>įstatus</w:t>
      </w:r>
      <w:proofErr w:type="spellEnd"/>
      <w:r w:rsidR="001B66A9" w:rsidRPr="00EA5D65">
        <w:rPr>
          <w:sz w:val="24"/>
          <w:szCs w:val="24"/>
        </w:rPr>
        <w:t xml:space="preserve">, </w:t>
      </w:r>
    </w:p>
    <w:p w14:paraId="1626C5CB" w14:textId="77777777" w:rsidR="001B67F1" w:rsidRPr="00EA5D65" w:rsidRDefault="001B67F1" w:rsidP="001B67F1">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Šalimis,</w:t>
      </w:r>
    </w:p>
    <w:p w14:paraId="687ECA12" w14:textId="268125E2" w:rsidR="001B67F1" w:rsidRPr="00C403B2" w:rsidRDefault="001B67F1" w:rsidP="001B67F1">
      <w:pPr>
        <w:spacing w:after="0" w:line="240" w:lineRule="auto"/>
        <w:ind w:firstLine="567"/>
        <w:jc w:val="both"/>
        <w:rPr>
          <w:rFonts w:ascii="Times New Roman" w:hAnsi="Times New Roman"/>
          <w:color w:val="000000"/>
          <w:sz w:val="24"/>
          <w:szCs w:val="24"/>
        </w:rPr>
      </w:pPr>
      <w:r w:rsidRPr="00EA5D65">
        <w:rPr>
          <w:rFonts w:ascii="Times New Roman" w:hAnsi="Times New Roman"/>
          <w:color w:val="000000"/>
          <w:sz w:val="24"/>
          <w:szCs w:val="24"/>
        </w:rPr>
        <w:t>atsižvelgdami į tai, kad 2</w:t>
      </w:r>
      <w:r>
        <w:rPr>
          <w:rFonts w:ascii="Times New Roman" w:hAnsi="Times New Roman"/>
          <w:color w:val="000000"/>
          <w:sz w:val="24"/>
          <w:szCs w:val="24"/>
        </w:rPr>
        <w:t>023</w:t>
      </w:r>
      <w:r w:rsidRPr="00EA5D65">
        <w:rPr>
          <w:rFonts w:ascii="Times New Roman" w:hAnsi="Times New Roman"/>
          <w:color w:val="000000"/>
          <w:sz w:val="24"/>
          <w:szCs w:val="24"/>
        </w:rPr>
        <w:t xml:space="preserve"> m. </w:t>
      </w:r>
      <w:r w:rsidRPr="004964D2">
        <w:rPr>
          <w:rFonts w:ascii="Times New Roman" w:hAnsi="Times New Roman"/>
          <w:color w:val="000000"/>
          <w:sz w:val="24"/>
          <w:szCs w:val="24"/>
        </w:rPr>
        <w:t xml:space="preserve">rugpjūčio 10 d. paskelbė atvirą (tarptautinį) konkursą „Medicinos priemonės operacinei“ (pirkimo numeris 682930) </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Pr>
          <w:rFonts w:ascii="Times New Roman" w:hAnsi="Times New Roman"/>
          <w:color w:val="000000"/>
          <w:sz w:val="24"/>
          <w:szCs w:val="24"/>
        </w:rPr>
        <w:t>23</w:t>
      </w:r>
      <w:r w:rsidRPr="00EA5D65">
        <w:rPr>
          <w:rFonts w:ascii="Times New Roman" w:hAnsi="Times New Roman"/>
          <w:color w:val="000000"/>
          <w:sz w:val="24"/>
          <w:szCs w:val="24"/>
        </w:rPr>
        <w:t xml:space="preserve"> m. </w:t>
      </w:r>
      <w:r>
        <w:rPr>
          <w:rFonts w:ascii="Times New Roman" w:hAnsi="Times New Roman"/>
          <w:color w:val="000000"/>
          <w:sz w:val="24"/>
          <w:szCs w:val="24"/>
        </w:rPr>
        <w:t xml:space="preserve">rugsėjo </w:t>
      </w:r>
      <w:r>
        <w:rPr>
          <w:rFonts w:ascii="Times New Roman" w:hAnsi="Times New Roman"/>
          <w:color w:val="000000"/>
          <w:sz w:val="24"/>
          <w:szCs w:val="24"/>
        </w:rPr>
        <w:t>7</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631AFFC2" w14:textId="77777777" w:rsidR="001B67F1" w:rsidRPr="00EA5D65" w:rsidRDefault="001B67F1" w:rsidP="001B67F1">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1B6949EA"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1B67F1" w:rsidRDefault="001B66A9" w:rsidP="0055263D">
      <w:pPr>
        <w:pStyle w:val="Pagrindinistekstas5"/>
        <w:ind w:firstLine="0"/>
        <w:rPr>
          <w:rFonts w:ascii="Times New Roman" w:hAnsi="Times New Roman"/>
          <w:strike/>
          <w:color w:val="000000"/>
          <w:sz w:val="12"/>
          <w:szCs w:val="12"/>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0CF8370B"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F341D4">
        <w:rPr>
          <w:rFonts w:ascii="Times New Roman" w:hAnsi="Times New Roman"/>
          <w:bCs/>
          <w:color w:val="000000"/>
          <w:szCs w:val="24"/>
        </w:rPr>
        <w:t>Marius Mikalauskas</w:t>
      </w:r>
      <w:r w:rsidRPr="00EA5D65">
        <w:rPr>
          <w:rFonts w:ascii="Times New Roman" w:hAnsi="Times New Roman"/>
          <w:bCs/>
          <w:color w:val="000000"/>
          <w:szCs w:val="24"/>
        </w:rPr>
        <w:t>, tel.</w:t>
      </w:r>
      <w:r w:rsidR="001B67F1">
        <w:rPr>
          <w:rFonts w:ascii="Times New Roman" w:hAnsi="Times New Roman"/>
          <w:bCs/>
          <w:color w:val="000000"/>
          <w:szCs w:val="24"/>
        </w:rPr>
        <w:t xml:space="preserve">+370 </w:t>
      </w:r>
      <w:r w:rsidR="00F341D4">
        <w:rPr>
          <w:rFonts w:ascii="Times New Roman" w:hAnsi="Times New Roman"/>
          <w:bCs/>
          <w:color w:val="000000"/>
          <w:szCs w:val="24"/>
        </w:rPr>
        <w:t>68532123</w:t>
      </w:r>
      <w:r w:rsidRPr="00EA5D65">
        <w:rPr>
          <w:rFonts w:ascii="Times New Roman" w:hAnsi="Times New Roman"/>
          <w:color w:val="000000"/>
          <w:szCs w:val="24"/>
        </w:rPr>
        <w:t>, el. paštas</w:t>
      </w:r>
      <w:r w:rsidR="00F341D4">
        <w:rPr>
          <w:rFonts w:ascii="Times New Roman" w:hAnsi="Times New Roman"/>
          <w:color w:val="000000"/>
          <w:szCs w:val="24"/>
        </w:rPr>
        <w:t xml:space="preserve"> </w:t>
      </w:r>
      <w:hyperlink r:id="rId9" w:history="1">
        <w:r w:rsidR="001B67F1" w:rsidRPr="00950064">
          <w:rPr>
            <w:rStyle w:val="Hipersaitas"/>
            <w:rFonts w:ascii="Times New Roman" w:hAnsi="Times New Roman"/>
            <w:szCs w:val="24"/>
          </w:rPr>
          <w:t>info@mundia.lt</w:t>
        </w:r>
      </w:hyperlink>
      <w:r w:rsidR="00F341D4">
        <w:rPr>
          <w:rFonts w:ascii="Times New Roman" w:hAnsi="Times New Roman"/>
          <w:color w:val="000000"/>
          <w:szCs w:val="24"/>
        </w:rPr>
        <w:t xml:space="preserve"> </w:t>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628CB62D" w14:textId="77777777" w:rsidR="001B67F1" w:rsidRPr="004613DB" w:rsidRDefault="001B67F1" w:rsidP="001B67F1">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4B35C339" w14:textId="77777777" w:rsidR="001B67F1" w:rsidRPr="004613DB" w:rsidRDefault="001B67F1" w:rsidP="001B67F1">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688F4A9B" w14:textId="77777777" w:rsidR="001B67F1" w:rsidRPr="004613DB" w:rsidRDefault="001B67F1" w:rsidP="001B67F1">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5C2E0189" w14:textId="77777777" w:rsidR="001B67F1" w:rsidRPr="004613DB" w:rsidRDefault="001B67F1" w:rsidP="001B67F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77946926"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1B67F1">
        <w:rPr>
          <w:rFonts w:ascii="Times New Roman" w:hAnsi="Times New Roman"/>
          <w:color w:val="000000"/>
          <w:sz w:val="24"/>
          <w:szCs w:val="24"/>
        </w:rPr>
        <w:t>info@mundia.lt</w:t>
      </w:r>
      <w:proofErr w:type="spellEnd"/>
      <w:r w:rsidRPr="00EA5D65">
        <w:rPr>
          <w:rFonts w:ascii="Times New Roman" w:hAnsi="Times New Roman"/>
          <w:color w:val="000000"/>
          <w:sz w:val="24"/>
          <w:szCs w:val="24"/>
        </w:rPr>
        <w:t xml:space="preserve">. </w:t>
      </w:r>
    </w:p>
    <w:p w14:paraId="46A066F6" w14:textId="6B2121B0"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el. pašt</w:t>
      </w:r>
      <w:r w:rsidR="001B67F1">
        <w:rPr>
          <w:rFonts w:ascii="Times New Roman" w:hAnsi="Times New Roman"/>
          <w:color w:val="000000"/>
          <w:sz w:val="24"/>
          <w:szCs w:val="24"/>
        </w:rPr>
        <w:t>u</w:t>
      </w:r>
      <w:r w:rsidRPr="00EA5D65">
        <w:rPr>
          <w:rFonts w:ascii="Times New Roman" w:hAnsi="Times New Roman"/>
          <w:color w:val="000000"/>
          <w:sz w:val="24"/>
          <w:szCs w:val="24"/>
        </w:rPr>
        <w:t xml:space="preserve"> </w:t>
      </w:r>
      <w:r w:rsidR="00F341D4">
        <w:rPr>
          <w:rFonts w:ascii="Times New Roman" w:hAnsi="Times New Roman"/>
          <w:color w:val="000000"/>
          <w:sz w:val="24"/>
          <w:szCs w:val="24"/>
        </w:rPr>
        <w:fldChar w:fldCharType="begin"/>
      </w:r>
      <w:r w:rsidR="00F341D4">
        <w:rPr>
          <w:rFonts w:ascii="Times New Roman" w:hAnsi="Times New Roman"/>
          <w:color w:val="000000"/>
          <w:sz w:val="24"/>
          <w:szCs w:val="24"/>
        </w:rPr>
        <w:instrText xml:space="preserve"> HYPERLINK "mailto:info@mundia.lt" </w:instrText>
      </w:r>
      <w:r w:rsidR="00F341D4">
        <w:rPr>
          <w:rFonts w:ascii="Times New Roman" w:hAnsi="Times New Roman"/>
          <w:color w:val="000000"/>
          <w:sz w:val="24"/>
          <w:szCs w:val="24"/>
        </w:rPr>
      </w:r>
      <w:r w:rsidR="00F341D4">
        <w:rPr>
          <w:rFonts w:ascii="Times New Roman" w:hAnsi="Times New Roman"/>
          <w:color w:val="000000"/>
          <w:sz w:val="24"/>
          <w:szCs w:val="24"/>
        </w:rPr>
        <w:fldChar w:fldCharType="separate"/>
      </w:r>
      <w:r w:rsidR="00F341D4" w:rsidRPr="00D85960">
        <w:rPr>
          <w:rStyle w:val="Hipersaitas"/>
          <w:rFonts w:ascii="Times New Roman" w:hAnsi="Times New Roman"/>
          <w:sz w:val="24"/>
          <w:szCs w:val="24"/>
        </w:rPr>
        <w:t>info@mundia.lt</w:t>
      </w:r>
      <w:r w:rsidR="00F341D4">
        <w:rPr>
          <w:rFonts w:ascii="Times New Roman" w:hAnsi="Times New Roman"/>
          <w:color w:val="000000"/>
          <w:sz w:val="24"/>
          <w:szCs w:val="24"/>
        </w:rPr>
        <w:fldChar w:fldCharType="end"/>
      </w:r>
      <w:r w:rsidR="00F341D4">
        <w:rPr>
          <w:rFonts w:ascii="Times New Roman" w:hAnsi="Times New Roman"/>
          <w:color w:val="000000"/>
          <w:sz w:val="24"/>
          <w:szCs w:val="24"/>
        </w:rPr>
        <w:t xml:space="preserve"> </w:t>
      </w:r>
      <w:r w:rsidRPr="00EA5D65">
        <w:rPr>
          <w:rFonts w:ascii="Times New Roman" w:hAnsi="Times New Roman"/>
          <w:color w:val="000000"/>
          <w:sz w:val="24"/>
          <w:szCs w:val="24"/>
        </w:rPr>
        <w:t>, tel.</w:t>
      </w:r>
      <w:r w:rsidR="001B67F1">
        <w:rPr>
          <w:rFonts w:ascii="Times New Roman" w:hAnsi="Times New Roman"/>
          <w:color w:val="000000"/>
          <w:sz w:val="24"/>
          <w:szCs w:val="24"/>
        </w:rPr>
        <w:t xml:space="preserve">+370 </w:t>
      </w:r>
      <w:r w:rsidR="00F341D4">
        <w:rPr>
          <w:rFonts w:ascii="Times New Roman" w:hAnsi="Times New Roman"/>
          <w:color w:val="000000"/>
          <w:sz w:val="24"/>
          <w:szCs w:val="24"/>
        </w:rPr>
        <w:t>68532123</w:t>
      </w:r>
      <w:r w:rsidRPr="00EA5D65">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1B67F1" w:rsidRDefault="001B66A9" w:rsidP="0055263D">
      <w:pPr>
        <w:pStyle w:val="Pagrindinistekstas5"/>
        <w:ind w:firstLine="0"/>
        <w:rPr>
          <w:rFonts w:ascii="Times New Roman" w:hAnsi="Times New Roman"/>
          <w:strike/>
          <w:color w:val="000000"/>
          <w:sz w:val="12"/>
          <w:szCs w:val="12"/>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1B67F1" w:rsidRDefault="00C1685B" w:rsidP="00C1685B">
      <w:pPr>
        <w:widowControl w:val="0"/>
        <w:spacing w:after="0" w:line="240" w:lineRule="auto"/>
        <w:jc w:val="both"/>
        <w:rPr>
          <w:rFonts w:ascii="Times New Roman" w:hAnsi="Times New Roman"/>
          <w:color w:val="000000" w:themeColor="text1"/>
          <w:sz w:val="24"/>
          <w:szCs w:val="24"/>
          <w:lang w:eastAsia="lt-LT"/>
        </w:rPr>
      </w:pPr>
      <w:r w:rsidRPr="001B67F1">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65A2A985" w:rsidR="00C1685B" w:rsidRPr="001B67F1"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1B67F1">
        <w:rPr>
          <w:color w:val="000000" w:themeColor="text1"/>
          <w:sz w:val="24"/>
          <w:szCs w:val="24"/>
        </w:rPr>
        <w:t xml:space="preserve">3.2. </w:t>
      </w:r>
      <w:proofErr w:type="spellStart"/>
      <w:r w:rsidRPr="001B67F1">
        <w:rPr>
          <w:color w:val="000000" w:themeColor="text1"/>
          <w:sz w:val="24"/>
          <w:szCs w:val="24"/>
        </w:rPr>
        <w:t>Pradinė</w:t>
      </w:r>
      <w:proofErr w:type="spellEnd"/>
      <w:r w:rsidRPr="001B67F1">
        <w:rPr>
          <w:color w:val="000000" w:themeColor="text1"/>
          <w:sz w:val="24"/>
          <w:szCs w:val="24"/>
        </w:rPr>
        <w:t xml:space="preserve"> </w:t>
      </w:r>
      <w:proofErr w:type="spellStart"/>
      <w:r w:rsidRPr="001B67F1">
        <w:rPr>
          <w:color w:val="000000" w:themeColor="text1"/>
          <w:sz w:val="24"/>
          <w:szCs w:val="24"/>
        </w:rPr>
        <w:t>sutarties</w:t>
      </w:r>
      <w:proofErr w:type="spellEnd"/>
      <w:r w:rsidRPr="001B67F1">
        <w:rPr>
          <w:color w:val="000000" w:themeColor="text1"/>
          <w:sz w:val="24"/>
          <w:szCs w:val="24"/>
        </w:rPr>
        <w:t xml:space="preserve"> </w:t>
      </w:r>
      <w:proofErr w:type="spellStart"/>
      <w:r w:rsidRPr="001B67F1">
        <w:rPr>
          <w:color w:val="000000" w:themeColor="text1"/>
          <w:sz w:val="24"/>
          <w:szCs w:val="24"/>
        </w:rPr>
        <w:t>vertė</w:t>
      </w:r>
      <w:proofErr w:type="spellEnd"/>
      <w:r w:rsidRPr="001B67F1">
        <w:rPr>
          <w:color w:val="000000" w:themeColor="text1"/>
          <w:sz w:val="24"/>
          <w:szCs w:val="24"/>
        </w:rPr>
        <w:t xml:space="preserve"> </w:t>
      </w:r>
      <w:proofErr w:type="spellStart"/>
      <w:r w:rsidRPr="001B67F1">
        <w:rPr>
          <w:color w:val="000000" w:themeColor="text1"/>
          <w:sz w:val="24"/>
          <w:szCs w:val="24"/>
        </w:rPr>
        <w:t>yra</w:t>
      </w:r>
      <w:proofErr w:type="spellEnd"/>
      <w:r w:rsidR="00F341D4" w:rsidRPr="001B67F1">
        <w:rPr>
          <w:color w:val="000000" w:themeColor="text1"/>
          <w:sz w:val="24"/>
          <w:szCs w:val="24"/>
        </w:rPr>
        <w:t xml:space="preserve"> 4531,</w:t>
      </w:r>
      <w:proofErr w:type="gramStart"/>
      <w:r w:rsidR="00F341D4" w:rsidRPr="001B67F1">
        <w:rPr>
          <w:color w:val="000000" w:themeColor="text1"/>
          <w:sz w:val="24"/>
          <w:szCs w:val="24"/>
        </w:rPr>
        <w:t xml:space="preserve">43 </w:t>
      </w:r>
      <w:r w:rsidR="001B67F1">
        <w:rPr>
          <w:color w:val="000000" w:themeColor="text1"/>
          <w:sz w:val="24"/>
          <w:szCs w:val="24"/>
        </w:rPr>
        <w:t xml:space="preserve"> </w:t>
      </w:r>
      <w:r w:rsidR="00F341D4" w:rsidRPr="001B67F1">
        <w:rPr>
          <w:color w:val="000000" w:themeColor="text1"/>
          <w:sz w:val="24"/>
          <w:szCs w:val="24"/>
        </w:rPr>
        <w:t>(</w:t>
      </w:r>
      <w:proofErr w:type="spellStart"/>
      <w:proofErr w:type="gramEnd"/>
      <w:r w:rsidR="00F341D4" w:rsidRPr="001B67F1">
        <w:rPr>
          <w:color w:val="000000" w:themeColor="text1"/>
          <w:sz w:val="24"/>
          <w:szCs w:val="24"/>
        </w:rPr>
        <w:t>keturi</w:t>
      </w:r>
      <w:proofErr w:type="spellEnd"/>
      <w:r w:rsidR="00F341D4" w:rsidRPr="001B67F1">
        <w:rPr>
          <w:color w:val="000000" w:themeColor="text1"/>
          <w:sz w:val="24"/>
          <w:szCs w:val="24"/>
        </w:rPr>
        <w:t xml:space="preserve"> t</w:t>
      </w:r>
      <w:r w:rsidR="00F341D4" w:rsidRPr="001B67F1">
        <w:rPr>
          <w:color w:val="000000" w:themeColor="text1"/>
          <w:sz w:val="24"/>
          <w:szCs w:val="24"/>
          <w:lang w:val="lt-LT"/>
        </w:rPr>
        <w:t xml:space="preserve">ūkstančiai penki šimtai trisdešimt vienas euras  </w:t>
      </w:r>
      <w:r w:rsidR="00F341D4" w:rsidRPr="001B67F1">
        <w:rPr>
          <w:color w:val="000000" w:themeColor="text1"/>
          <w:sz w:val="24"/>
          <w:szCs w:val="24"/>
        </w:rPr>
        <w:t>43ct)</w:t>
      </w:r>
      <w:r w:rsidRPr="001B67F1">
        <w:rPr>
          <w:color w:val="000000" w:themeColor="text1"/>
          <w:sz w:val="24"/>
          <w:szCs w:val="24"/>
        </w:rPr>
        <w:t xml:space="preserve"> </w:t>
      </w:r>
      <w:proofErr w:type="spellStart"/>
      <w:r w:rsidRPr="001B67F1">
        <w:rPr>
          <w:color w:val="000000" w:themeColor="text1"/>
          <w:sz w:val="24"/>
          <w:szCs w:val="24"/>
        </w:rPr>
        <w:t>Eur</w:t>
      </w:r>
      <w:proofErr w:type="spellEnd"/>
      <w:r w:rsidRPr="001B67F1">
        <w:rPr>
          <w:color w:val="000000" w:themeColor="text1"/>
          <w:sz w:val="24"/>
          <w:szCs w:val="24"/>
        </w:rPr>
        <w:t xml:space="preserve"> be </w:t>
      </w:r>
      <w:proofErr w:type="spellStart"/>
      <w:r w:rsidRPr="001B67F1">
        <w:rPr>
          <w:color w:val="000000" w:themeColor="text1"/>
          <w:sz w:val="24"/>
          <w:szCs w:val="24"/>
        </w:rPr>
        <w:t>pridėtinės</w:t>
      </w:r>
      <w:proofErr w:type="spellEnd"/>
      <w:r w:rsidRPr="001B67F1">
        <w:rPr>
          <w:color w:val="000000" w:themeColor="text1"/>
          <w:sz w:val="24"/>
          <w:szCs w:val="24"/>
        </w:rPr>
        <w:t xml:space="preserve"> </w:t>
      </w:r>
      <w:proofErr w:type="spellStart"/>
      <w:r w:rsidRPr="001B67F1">
        <w:rPr>
          <w:color w:val="000000" w:themeColor="text1"/>
          <w:sz w:val="24"/>
          <w:szCs w:val="24"/>
        </w:rPr>
        <w:t>vertės</w:t>
      </w:r>
      <w:proofErr w:type="spellEnd"/>
      <w:r w:rsidRPr="001B67F1">
        <w:rPr>
          <w:color w:val="000000" w:themeColor="text1"/>
          <w:sz w:val="24"/>
          <w:szCs w:val="24"/>
        </w:rPr>
        <w:t xml:space="preserve"> </w:t>
      </w:r>
      <w:proofErr w:type="spellStart"/>
      <w:r w:rsidRPr="001B67F1">
        <w:rPr>
          <w:color w:val="000000" w:themeColor="text1"/>
          <w:sz w:val="24"/>
          <w:szCs w:val="24"/>
        </w:rPr>
        <w:t>mokesčio</w:t>
      </w:r>
      <w:proofErr w:type="spellEnd"/>
      <w:r w:rsidRPr="001B67F1">
        <w:rPr>
          <w:color w:val="000000" w:themeColor="text1"/>
          <w:sz w:val="24"/>
          <w:szCs w:val="24"/>
        </w:rPr>
        <w:t xml:space="preserve"> (</w:t>
      </w:r>
      <w:proofErr w:type="spellStart"/>
      <w:r w:rsidRPr="001B67F1">
        <w:rPr>
          <w:color w:val="000000" w:themeColor="text1"/>
          <w:sz w:val="24"/>
          <w:szCs w:val="24"/>
        </w:rPr>
        <w:t>toliau</w:t>
      </w:r>
      <w:proofErr w:type="spellEnd"/>
      <w:r w:rsidRPr="001B67F1">
        <w:rPr>
          <w:color w:val="000000" w:themeColor="text1"/>
          <w:sz w:val="24"/>
          <w:szCs w:val="24"/>
        </w:rPr>
        <w:t xml:space="preserve"> – PVM).</w:t>
      </w:r>
    </w:p>
    <w:p w14:paraId="691726C5" w14:textId="7767D6A7" w:rsidR="007447B4" w:rsidRPr="001B67F1"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1B67F1">
        <w:rPr>
          <w:rFonts w:ascii="Times New Roman" w:hAnsi="Times New Roman"/>
          <w:b/>
          <w:bCs/>
          <w:color w:val="000000" w:themeColor="text1"/>
          <w:sz w:val="24"/>
          <w:szCs w:val="24"/>
        </w:rPr>
        <w:t xml:space="preserve">           </w:t>
      </w:r>
      <w:bookmarkStart w:id="4" w:name="_Hlk89421329"/>
      <w:r w:rsidR="00464696" w:rsidRPr="001B67F1">
        <w:rPr>
          <w:rFonts w:ascii="Times New Roman" w:hAnsi="Times New Roman"/>
          <w:b/>
          <w:bCs/>
          <w:color w:val="000000" w:themeColor="text1"/>
          <w:sz w:val="24"/>
          <w:szCs w:val="24"/>
        </w:rPr>
        <w:t>S</w:t>
      </w:r>
      <w:r w:rsidRPr="001B67F1">
        <w:rPr>
          <w:rFonts w:ascii="Times New Roman" w:hAnsi="Times New Roman"/>
          <w:b/>
          <w:bCs/>
          <w:color w:val="000000" w:themeColor="text1"/>
          <w:sz w:val="24"/>
          <w:szCs w:val="24"/>
        </w:rPr>
        <w:t>utarties vertė</w:t>
      </w:r>
      <w:r w:rsidRPr="001B67F1">
        <w:rPr>
          <w:rFonts w:ascii="Times New Roman" w:hAnsi="Times New Roman"/>
          <w:color w:val="000000" w:themeColor="text1"/>
          <w:sz w:val="24"/>
          <w:szCs w:val="24"/>
        </w:rPr>
        <w:t xml:space="preserve"> </w:t>
      </w:r>
      <w:r w:rsidRPr="001B67F1">
        <w:rPr>
          <w:rFonts w:ascii="Times New Roman" w:eastAsia="Arial Unicode MS" w:hAnsi="Times New Roman"/>
          <w:color w:val="000000" w:themeColor="text1"/>
          <w:sz w:val="24"/>
          <w:szCs w:val="24"/>
        </w:rPr>
        <w:t>yra</w:t>
      </w:r>
      <w:r w:rsidR="00D20D95" w:rsidRPr="001B67F1">
        <w:rPr>
          <w:rFonts w:ascii="Times New Roman" w:eastAsia="Arial Unicode MS" w:hAnsi="Times New Roman"/>
          <w:color w:val="000000" w:themeColor="text1"/>
          <w:sz w:val="24"/>
          <w:szCs w:val="24"/>
        </w:rPr>
        <w:t xml:space="preserve"> </w:t>
      </w:r>
      <w:r w:rsidR="00D20D95" w:rsidRPr="001B67F1">
        <w:rPr>
          <w:rFonts w:ascii="Times New Roman" w:hAnsi="Times New Roman"/>
          <w:color w:val="000000" w:themeColor="text1"/>
          <w:sz w:val="24"/>
          <w:szCs w:val="24"/>
        </w:rPr>
        <w:t>4531,43</w:t>
      </w:r>
      <w:r w:rsidRPr="001B67F1">
        <w:rPr>
          <w:rFonts w:ascii="Times New Roman" w:eastAsia="Arial Unicode MS" w:hAnsi="Times New Roman"/>
          <w:color w:val="000000" w:themeColor="text1"/>
          <w:sz w:val="24"/>
          <w:szCs w:val="24"/>
        </w:rPr>
        <w:t xml:space="preserve"> Eur (</w:t>
      </w:r>
      <w:r w:rsidR="00D20D95" w:rsidRPr="001B67F1">
        <w:rPr>
          <w:rFonts w:ascii="Times New Roman" w:hAnsi="Times New Roman"/>
          <w:color w:val="000000" w:themeColor="text1"/>
          <w:sz w:val="24"/>
          <w:szCs w:val="24"/>
        </w:rPr>
        <w:t>keturi tūkstančiai penki šimtai trisdešimt vienas euras  43</w:t>
      </w:r>
      <w:r w:rsidR="001B67F1">
        <w:rPr>
          <w:rFonts w:ascii="Times New Roman" w:hAnsi="Times New Roman"/>
          <w:color w:val="000000" w:themeColor="text1"/>
          <w:sz w:val="24"/>
          <w:szCs w:val="24"/>
        </w:rPr>
        <w:t xml:space="preserve"> </w:t>
      </w:r>
      <w:r w:rsidR="00D20D95" w:rsidRPr="001B67F1">
        <w:rPr>
          <w:rFonts w:ascii="Times New Roman" w:hAnsi="Times New Roman"/>
          <w:color w:val="000000" w:themeColor="text1"/>
          <w:sz w:val="24"/>
          <w:szCs w:val="24"/>
        </w:rPr>
        <w:t>ct</w:t>
      </w:r>
      <w:r w:rsidRPr="001B67F1">
        <w:rPr>
          <w:rFonts w:ascii="Times New Roman" w:eastAsia="Arial Unicode MS" w:hAnsi="Times New Roman"/>
          <w:color w:val="000000" w:themeColor="text1"/>
          <w:sz w:val="24"/>
          <w:szCs w:val="24"/>
        </w:rPr>
        <w:t xml:space="preserve">) be PVM, </w:t>
      </w:r>
    </w:p>
    <w:p w14:paraId="3837398B" w14:textId="0F42BD73" w:rsidR="007447B4" w:rsidRPr="001B67F1"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1B67F1">
        <w:rPr>
          <w:rFonts w:ascii="Times New Roman" w:eastAsia="Arial Unicode MS" w:hAnsi="Times New Roman"/>
          <w:color w:val="000000" w:themeColor="text1"/>
          <w:sz w:val="24"/>
          <w:szCs w:val="24"/>
        </w:rPr>
        <w:t xml:space="preserve">            ir PVM </w:t>
      </w:r>
      <w:r w:rsidR="00D20D95" w:rsidRPr="001B67F1">
        <w:rPr>
          <w:rFonts w:ascii="Times New Roman" w:eastAsia="Arial Unicode MS" w:hAnsi="Times New Roman"/>
          <w:color w:val="000000" w:themeColor="text1"/>
          <w:sz w:val="24"/>
          <w:szCs w:val="24"/>
        </w:rPr>
        <w:t>226.57</w:t>
      </w:r>
      <w:r w:rsidRPr="001B67F1">
        <w:rPr>
          <w:rFonts w:ascii="Times New Roman" w:eastAsia="Arial Unicode MS" w:hAnsi="Times New Roman"/>
          <w:color w:val="000000" w:themeColor="text1"/>
          <w:sz w:val="24"/>
          <w:szCs w:val="24"/>
        </w:rPr>
        <w:t xml:space="preserve"> Eur ([PVM </w:t>
      </w:r>
      <w:r w:rsidR="00D20D95" w:rsidRPr="001B67F1">
        <w:rPr>
          <w:rFonts w:ascii="Times New Roman" w:eastAsia="Arial Unicode MS" w:hAnsi="Times New Roman"/>
          <w:color w:val="000000" w:themeColor="text1"/>
          <w:sz w:val="24"/>
          <w:szCs w:val="24"/>
        </w:rPr>
        <w:t xml:space="preserve"> du šimtai dvidešimt šeši eurai</w:t>
      </w:r>
      <w:r w:rsidR="00D20D95" w:rsidRPr="001B67F1">
        <w:rPr>
          <w:rFonts w:ascii="Times New Roman" w:eastAsia="Arial Unicode MS" w:hAnsi="Times New Roman"/>
          <w:color w:val="000000" w:themeColor="text1"/>
          <w:sz w:val="24"/>
          <w:szCs w:val="24"/>
          <w:lang w:val="en-US"/>
        </w:rPr>
        <w:t xml:space="preserve"> 57ct.</w:t>
      </w:r>
      <w:r w:rsidRPr="001B67F1">
        <w:rPr>
          <w:rFonts w:ascii="Times New Roman" w:eastAsia="Arial Unicode MS" w:hAnsi="Times New Roman"/>
          <w:color w:val="000000" w:themeColor="text1"/>
          <w:sz w:val="24"/>
          <w:szCs w:val="24"/>
        </w:rPr>
        <w:t>]),</w:t>
      </w:r>
    </w:p>
    <w:p w14:paraId="39A76B81" w14:textId="2C4E400A" w:rsidR="007447B4" w:rsidRPr="001B67F1"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1B67F1">
        <w:rPr>
          <w:rFonts w:ascii="Times New Roman" w:eastAsia="Arial Unicode MS" w:hAnsi="Times New Roman"/>
          <w:color w:val="000000" w:themeColor="text1"/>
          <w:sz w:val="24"/>
          <w:szCs w:val="24"/>
        </w:rPr>
        <w:t xml:space="preserve">            </w:t>
      </w:r>
      <w:r w:rsidRPr="001B67F1">
        <w:rPr>
          <w:rFonts w:ascii="Times New Roman" w:eastAsia="Arial Unicode MS" w:hAnsi="Times New Roman"/>
          <w:b/>
          <w:bCs/>
          <w:color w:val="000000" w:themeColor="text1"/>
          <w:sz w:val="24"/>
          <w:szCs w:val="24"/>
        </w:rPr>
        <w:t>iš viso:</w:t>
      </w:r>
      <w:r w:rsidRPr="001B67F1">
        <w:rPr>
          <w:rFonts w:ascii="Times New Roman" w:eastAsia="Arial Unicode MS" w:hAnsi="Times New Roman"/>
          <w:color w:val="000000" w:themeColor="text1"/>
          <w:sz w:val="24"/>
          <w:szCs w:val="24"/>
        </w:rPr>
        <w:t xml:space="preserve"> </w:t>
      </w:r>
      <w:r w:rsidR="00F341D4" w:rsidRPr="001B67F1">
        <w:rPr>
          <w:rFonts w:ascii="Times New Roman" w:eastAsia="Arial Unicode MS" w:hAnsi="Times New Roman"/>
          <w:color w:val="000000" w:themeColor="text1"/>
          <w:sz w:val="24"/>
          <w:szCs w:val="24"/>
        </w:rPr>
        <w:t>4758.00</w:t>
      </w:r>
      <w:r w:rsidRPr="001B67F1">
        <w:rPr>
          <w:rFonts w:ascii="Times New Roman" w:eastAsia="Arial Unicode MS" w:hAnsi="Times New Roman"/>
          <w:color w:val="000000" w:themeColor="text1"/>
          <w:sz w:val="24"/>
          <w:szCs w:val="24"/>
        </w:rPr>
        <w:t xml:space="preserve"> Eur su PVM</w:t>
      </w:r>
      <w:r w:rsidR="001B67F1">
        <w:rPr>
          <w:rFonts w:ascii="Times New Roman" w:eastAsia="Arial Unicode MS" w:hAnsi="Times New Roman"/>
          <w:color w:val="000000" w:themeColor="text1"/>
          <w:sz w:val="24"/>
          <w:szCs w:val="24"/>
        </w:rPr>
        <w:t xml:space="preserve"> </w:t>
      </w:r>
      <w:r w:rsidRPr="001B67F1">
        <w:rPr>
          <w:rFonts w:ascii="Times New Roman" w:eastAsia="Arial Unicode MS" w:hAnsi="Times New Roman"/>
          <w:color w:val="000000" w:themeColor="text1"/>
          <w:sz w:val="24"/>
          <w:szCs w:val="24"/>
        </w:rPr>
        <w:t>(</w:t>
      </w:r>
      <w:r w:rsidR="00F341D4" w:rsidRPr="001B67F1">
        <w:rPr>
          <w:rFonts w:ascii="Times New Roman" w:eastAsia="Arial Unicode MS" w:hAnsi="Times New Roman"/>
          <w:color w:val="000000" w:themeColor="text1"/>
          <w:sz w:val="24"/>
          <w:szCs w:val="24"/>
        </w:rPr>
        <w:t>keturi tūkstančiai septyni šimtai penkiasdešimt aštuoni eurai</w:t>
      </w:r>
      <w:r w:rsidRPr="001B67F1">
        <w:rPr>
          <w:rFonts w:ascii="Times New Roman" w:eastAsia="Arial Unicode MS" w:hAnsi="Times New Roman"/>
          <w:color w:val="000000" w:themeColor="text1"/>
          <w:sz w:val="24"/>
          <w:szCs w:val="24"/>
        </w:rPr>
        <w: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1B67F1">
        <w:rPr>
          <w:rFonts w:ascii="Times New Roman" w:hAnsi="Times New Roman"/>
          <w:color w:val="000000"/>
          <w:sz w:val="24"/>
          <w:szCs w:val="24"/>
          <w:lang w:eastAsia="lt-LT"/>
        </w:rPr>
        <w:t xml:space="preserve">3.3. Prekių įkainiai ir maksimalūs Prekių kiekiai nurodyti Sutarties 1 priede </w:t>
      </w:r>
      <w:r w:rsidRPr="001B67F1">
        <w:rPr>
          <w:rFonts w:ascii="Times New Roman" w:hAnsi="Times New Roman"/>
          <w:color w:val="000000"/>
          <w:sz w:val="24"/>
          <w:szCs w:val="24"/>
        </w:rPr>
        <w:t>„Prekių sąrašas ir</w:t>
      </w:r>
      <w:r w:rsidRPr="00EA5D65">
        <w:rPr>
          <w:rFonts w:ascii="Times New Roman" w:hAnsi="Times New Roman"/>
          <w:color w:val="000000"/>
          <w:sz w:val="24"/>
          <w:szCs w:val="24"/>
        </w:rPr>
        <w:t xml:space="preserve">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3.4.1. transportavimo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 xml:space="preserve">s; </w:t>
      </w:r>
    </w:p>
    <w:p w14:paraId="641DAC1C" w14:textId="6F1CC79B"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6160A6F4" w14:textId="488EFC3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53F1D759" w14:textId="11A0417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486A0163" w14:textId="505294B2" w:rsidR="0022748F" w:rsidRPr="003A2DB6"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67F1">
        <w:rPr>
          <w:rFonts w:ascii="Times New Roman" w:hAnsi="Times New Roman"/>
          <w:color w:val="000000" w:themeColor="text1"/>
          <w:sz w:val="24"/>
          <w:szCs w:val="24"/>
        </w:rPr>
        <w:t>3.4.6</w:t>
      </w:r>
      <w:r w:rsidR="003A2DB6" w:rsidRPr="001B67F1">
        <w:rPr>
          <w:rFonts w:ascii="Times New Roman" w:hAnsi="Times New Roman"/>
          <w:color w:val="000000" w:themeColor="text1"/>
          <w:sz w:val="24"/>
          <w:szCs w:val="24"/>
        </w:rPr>
        <w:t xml:space="preserve">. </w:t>
      </w:r>
      <w:r w:rsidR="001B1985" w:rsidRPr="001B67F1">
        <w:rPr>
          <w:rFonts w:ascii="Times New Roman" w:hAnsi="Times New Roman"/>
          <w:color w:val="000000" w:themeColor="text1"/>
          <w:sz w:val="24"/>
          <w:szCs w:val="24"/>
        </w:rPr>
        <w:t>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1B67F1" w:rsidRDefault="00037B72" w:rsidP="00037B72">
      <w:pPr>
        <w:tabs>
          <w:tab w:val="num" w:pos="780"/>
        </w:tabs>
        <w:spacing w:after="0" w:line="240" w:lineRule="auto"/>
        <w:jc w:val="both"/>
        <w:rPr>
          <w:rFonts w:ascii="Times New Roman" w:hAnsi="Times New Roman"/>
          <w:color w:val="000000"/>
          <w:sz w:val="12"/>
          <w:szCs w:val="12"/>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1B67F1" w:rsidRDefault="00072D05" w:rsidP="0055263D">
      <w:pPr>
        <w:spacing w:after="0" w:line="240" w:lineRule="auto"/>
        <w:jc w:val="both"/>
        <w:rPr>
          <w:rFonts w:ascii="Times New Roman" w:hAnsi="Times New Roman"/>
          <w:color w:val="000000"/>
          <w:sz w:val="12"/>
          <w:szCs w:val="12"/>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C54B498" w:rsidR="001B66A9" w:rsidRPr="001B67F1" w:rsidRDefault="001B66A9" w:rsidP="0005688E">
      <w:pPr>
        <w:spacing w:after="0" w:line="240" w:lineRule="auto"/>
        <w:jc w:val="both"/>
        <w:rPr>
          <w:rFonts w:ascii="Times New Roman" w:hAnsi="Times New Roman"/>
          <w:color w:val="000000"/>
          <w:sz w:val="24"/>
          <w:szCs w:val="24"/>
        </w:rPr>
      </w:pPr>
      <w:r w:rsidRPr="001B67F1">
        <w:rPr>
          <w:rFonts w:ascii="Times New Roman" w:hAnsi="Times New Roman"/>
          <w:color w:val="000000"/>
          <w:sz w:val="24"/>
          <w:szCs w:val="24"/>
        </w:rPr>
        <w:t xml:space="preserve">           Sąskaitos  Nr.  </w:t>
      </w:r>
      <w:r w:rsidR="001B67F1" w:rsidRPr="001B67F1">
        <w:rPr>
          <w:rFonts w:ascii="Times New Roman" w:hAnsi="Times New Roman"/>
          <w:sz w:val="24"/>
          <w:szCs w:val="24"/>
          <w:lang w:eastAsia="lt-LT"/>
        </w:rPr>
        <w:t>LT577044060005267724</w:t>
      </w:r>
      <w:r w:rsidR="001B67F1" w:rsidRPr="001B67F1">
        <w:rPr>
          <w:rFonts w:ascii="Times New Roman" w:hAnsi="Times New Roman"/>
          <w:sz w:val="24"/>
          <w:szCs w:val="24"/>
        </w:rPr>
        <w:t xml:space="preserve">, </w:t>
      </w:r>
    </w:p>
    <w:p w14:paraId="37132194" w14:textId="78A0F937" w:rsidR="001B66A9" w:rsidRPr="001B67F1" w:rsidRDefault="001B66A9" w:rsidP="0005688E">
      <w:pPr>
        <w:spacing w:after="0" w:line="240" w:lineRule="auto"/>
        <w:jc w:val="both"/>
        <w:rPr>
          <w:rFonts w:ascii="Times New Roman" w:hAnsi="Times New Roman"/>
          <w:color w:val="000000"/>
          <w:sz w:val="24"/>
          <w:szCs w:val="24"/>
        </w:rPr>
      </w:pPr>
      <w:r w:rsidRPr="001B67F1">
        <w:rPr>
          <w:rFonts w:ascii="Times New Roman" w:hAnsi="Times New Roman"/>
          <w:color w:val="000000"/>
          <w:sz w:val="24"/>
          <w:szCs w:val="24"/>
        </w:rPr>
        <w:t xml:space="preserve">           Bankas  </w:t>
      </w:r>
      <w:r w:rsidR="001B67F1" w:rsidRPr="001B67F1">
        <w:rPr>
          <w:rFonts w:ascii="Times New Roman" w:hAnsi="Times New Roman"/>
          <w:color w:val="000000"/>
          <w:sz w:val="24"/>
          <w:szCs w:val="24"/>
        </w:rPr>
        <w:t>SEB.</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lastRenderedPageBreak/>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423B5251"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1B67F1">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1B67F1" w:rsidRDefault="001B66A9" w:rsidP="0055263D">
      <w:pPr>
        <w:spacing w:after="0" w:line="240" w:lineRule="auto"/>
        <w:jc w:val="both"/>
        <w:rPr>
          <w:rFonts w:ascii="Times New Roman" w:hAnsi="Times New Roman"/>
          <w:color w:val="000000"/>
          <w:sz w:val="12"/>
          <w:szCs w:val="12"/>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lastRenderedPageBreak/>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w:t>
      </w:r>
      <w:r w:rsidRPr="00564125">
        <w:rPr>
          <w:rFonts w:ascii="Times New Roman" w:hAnsi="Times New Roman"/>
          <w:color w:val="000000" w:themeColor="text1"/>
          <w:sz w:val="24"/>
          <w:szCs w:val="24"/>
          <w:shd w:val="clear" w:color="auto" w:fill="FFFFFF"/>
        </w:rPr>
        <w:lastRenderedPageBreak/>
        <w:t xml:space="preserve">polivinilchlorido (PVC), polipropileno (PP), polistireno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6" w:name="_Hlk50983308"/>
    </w:p>
    <w:p w14:paraId="1ECB6F36" w14:textId="1F5810C2"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742CA52A"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w:t>
      </w:r>
      <w:r w:rsidR="002C001C">
        <w:rPr>
          <w:rFonts w:ascii="Times New Roman" w:hAnsi="Times New Roman"/>
          <w:color w:val="000000" w:themeColor="text1"/>
          <w:sz w:val="24"/>
          <w:szCs w:val="24"/>
          <w:lang w:eastAsia="lt-LT"/>
        </w:rPr>
        <w:t>0</w:t>
      </w:r>
      <w:r w:rsidR="00564125" w:rsidRPr="00564125">
        <w:rPr>
          <w:rFonts w:ascii="Times New Roman" w:hAnsi="Times New Roman"/>
          <w:color w:val="000000" w:themeColor="text1"/>
          <w:sz w:val="24"/>
          <w:szCs w:val="24"/>
          <w:lang w:eastAsia="lt-LT"/>
        </w:rPr>
        <w:t xml:space="preserve"> </w:t>
      </w:r>
      <w:r w:rsidR="002C001C">
        <w:rPr>
          <w:rFonts w:ascii="Times New Roman" w:hAnsi="Times New Roman"/>
          <w:color w:val="000000" w:themeColor="text1"/>
          <w:sz w:val="24"/>
          <w:szCs w:val="24"/>
          <w:lang w:eastAsia="lt-LT"/>
        </w:rPr>
        <w:t>darbo</w:t>
      </w:r>
      <w:r w:rsidR="00564125" w:rsidRPr="00564125">
        <w:rPr>
          <w:rFonts w:ascii="Times New Roman" w:hAnsi="Times New Roman"/>
          <w:color w:val="000000" w:themeColor="text1"/>
          <w:sz w:val="24"/>
          <w:szCs w:val="24"/>
          <w:lang w:eastAsia="lt-LT"/>
        </w:rPr>
        <w:t xml:space="preserve">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lastRenderedPageBreak/>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r w:rsidRPr="00564125">
        <w:rPr>
          <w:rFonts w:ascii="Times New Roman" w:hAnsi="Times New Roman"/>
          <w:color w:val="000000" w:themeColor="text1"/>
          <w:sz w:val="24"/>
          <w:szCs w:val="24"/>
        </w:rPr>
        <w:t>Subtiekimas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7"/>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w:t>
      </w:r>
      <w:r w:rsidRPr="00564125">
        <w:rPr>
          <w:rFonts w:ascii="Times New Roman" w:hAnsi="Times New Roman"/>
          <w:color w:val="000000" w:themeColor="text1"/>
          <w:sz w:val="24"/>
          <w:szCs w:val="24"/>
        </w:rPr>
        <w:lastRenderedPageBreak/>
        <w:t>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 xml:space="preserve">11.4. Pardavėjui jokios papildomos išlaidos neatlyginamos, jei Sutarties vykdymo sustabdymas yra būtinas: dėl Pardavėjo kokių nors prievolių nevykdymo, dėl nuo Pirkėjo nepriklausančių aplinkybių, </w:t>
      </w:r>
      <w:r w:rsidRPr="00621FEC">
        <w:rPr>
          <w:sz w:val="24"/>
          <w:szCs w:val="24"/>
          <w:lang w:val="lt-LT"/>
        </w:rPr>
        <w:lastRenderedPageBreak/>
        <w:t>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0"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 xml:space="preserve">Šalis, inicijuojanti Sutarties pakeitimą, pateikia kitai Šaliai raštišką prašymą keisti Sutarties sąlygas bei dokumentus, pagrindžiančius prašyme nurodytas aplinkybes, argumentus ir paaiškinimus, </w:t>
      </w:r>
      <w:r w:rsidRPr="00FE3B51">
        <w:rPr>
          <w:sz w:val="24"/>
          <w:szCs w:val="24"/>
          <w:lang w:val="lt-LT"/>
        </w:rPr>
        <w:lastRenderedPageBreak/>
        <w:t>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1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w:t>
      </w:r>
      <w:r w:rsidR="001B66A9" w:rsidRPr="00587AEE">
        <w:rPr>
          <w:rFonts w:ascii="Times New Roman" w:hAnsi="Times New Roman"/>
          <w:color w:val="000000" w:themeColor="text1"/>
          <w:sz w:val="24"/>
          <w:szCs w:val="24"/>
        </w:rPr>
        <w:lastRenderedPageBreak/>
        <w:t xml:space="preserve">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1C81989" w14:textId="77777777" w:rsidR="001B67F1" w:rsidRPr="00587AEE" w:rsidRDefault="001B67F1"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11725A00"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Techninė specifikacija</w:t>
      </w:r>
      <w:r w:rsidR="001B67F1">
        <w:rPr>
          <w:rFonts w:ascii="Times New Roman" w:hAnsi="Times New Roman"/>
          <w:color w:val="000000" w:themeColor="text1"/>
          <w:sz w:val="24"/>
          <w:szCs w:val="24"/>
        </w:rPr>
        <w:t>“;</w:t>
      </w:r>
    </w:p>
    <w:p w14:paraId="1778C201" w14:textId="1A3D6051"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r w:rsidR="001B67F1">
        <w:rPr>
          <w:rFonts w:ascii="Times New Roman" w:hAnsi="Times New Roman"/>
          <w:sz w:val="24"/>
          <w:szCs w:val="24"/>
        </w:rPr>
        <w:t>.</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587AEE" w14:paraId="2A491E38" w14:textId="77777777" w:rsidTr="001B67F1">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bookmarkStart w:id="11" w:name="_Hlk152159978"/>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1B67F1">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6DB662E6" w:rsidR="001B66A9" w:rsidRPr="00587AEE" w:rsidRDefault="00D20D95"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UAB Mundia </w:t>
            </w:r>
          </w:p>
        </w:tc>
      </w:tr>
      <w:tr w:rsidR="00587AEE" w:rsidRPr="00587AEE" w14:paraId="7AFF7417" w14:textId="77777777" w:rsidTr="001B67F1">
        <w:tc>
          <w:tcPr>
            <w:tcW w:w="4927" w:type="dxa"/>
          </w:tcPr>
          <w:p w14:paraId="05BE2AC7" w14:textId="2BD9A147" w:rsidR="001B66A9" w:rsidRDefault="001B67F1" w:rsidP="00245004">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246013E9" w14:textId="77777777" w:rsidR="001B67F1" w:rsidRPr="00587AEE" w:rsidRDefault="001B67F1" w:rsidP="00245004">
            <w:pPr>
              <w:pStyle w:val="Pagrindinistekstas3"/>
              <w:ind w:firstLine="0"/>
              <w:rPr>
                <w:rFonts w:ascii="Times New Roman" w:hAnsi="Times New Roman"/>
                <w:color w:val="000000" w:themeColor="text1"/>
                <w:sz w:val="24"/>
                <w:szCs w:val="24"/>
                <w:lang w:val="lt-LT"/>
              </w:rPr>
            </w:pP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395E6FE1" w14:textId="77777777" w:rsidR="001B67F1" w:rsidRDefault="00D20D95" w:rsidP="00245004">
            <w:pPr>
              <w:pStyle w:val="Pagrindinistekstas3"/>
              <w:ind w:firstLine="0"/>
              <w:jc w:val="lef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Direktorius</w:t>
            </w:r>
            <w:proofErr w:type="spellEnd"/>
            <w:r>
              <w:rPr>
                <w:rFonts w:ascii="Times New Roman" w:hAnsi="Times New Roman"/>
                <w:bCs/>
                <w:color w:val="000000" w:themeColor="text1"/>
                <w:sz w:val="24"/>
                <w:szCs w:val="24"/>
              </w:rPr>
              <w:t xml:space="preserve"> Marius Mikalauskas</w:t>
            </w:r>
          </w:p>
          <w:p w14:paraId="701F98C2" w14:textId="14E8930F" w:rsidR="001B66A9" w:rsidRPr="001B67F1" w:rsidRDefault="00D20D95" w:rsidP="00245004">
            <w:pPr>
              <w:pStyle w:val="Pagrindinistekstas3"/>
              <w:ind w:firstLine="0"/>
              <w:jc w:val="lef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bl>
    <w:p w14:paraId="6FA6AF91" w14:textId="3125AD8D" w:rsidR="00564125" w:rsidRDefault="00316CC9" w:rsidP="003E275A">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A.V.                                                                  A.V.</w:t>
      </w:r>
    </w:p>
    <w:bookmarkEnd w:id="11"/>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6AE9CE2B" w:rsidR="001B66A9" w:rsidRPr="00EA5D65" w:rsidRDefault="001B66A9" w:rsidP="0055263D">
      <w:pPr>
        <w:spacing w:after="0" w:line="240" w:lineRule="auto"/>
        <w:jc w:val="right"/>
        <w:rPr>
          <w:rFonts w:ascii="Times New Roman" w:hAnsi="Times New Roman"/>
          <w:color w:val="000000"/>
          <w:sz w:val="24"/>
          <w:szCs w:val="24"/>
          <w:lang w:eastAsia="lt-LT"/>
        </w:rPr>
      </w:pPr>
      <w:bookmarkStart w:id="12" w:name="_Hlk152160049"/>
      <w:r w:rsidRPr="00EA5D65">
        <w:rPr>
          <w:rFonts w:ascii="Times New Roman" w:hAnsi="Times New Roman"/>
          <w:color w:val="000000"/>
          <w:sz w:val="24"/>
          <w:szCs w:val="24"/>
          <w:lang w:eastAsia="lt-LT"/>
        </w:rPr>
        <w:t>prie 20</w:t>
      </w:r>
      <w:r w:rsidR="00316CC9">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316CC9">
        <w:rPr>
          <w:rFonts w:ascii="Times New Roman" w:hAnsi="Times New Roman"/>
          <w:color w:val="000000"/>
          <w:sz w:val="24"/>
          <w:szCs w:val="24"/>
          <w:lang w:eastAsia="lt-LT"/>
        </w:rPr>
        <w:t>lapkričio 24</w:t>
      </w:r>
      <w:r w:rsidRPr="00EA5D65">
        <w:rPr>
          <w:rFonts w:ascii="Times New Roman" w:hAnsi="Times New Roman"/>
          <w:color w:val="000000"/>
          <w:sz w:val="24"/>
          <w:szCs w:val="24"/>
          <w:lang w:eastAsia="lt-LT"/>
        </w:rPr>
        <w:t xml:space="preserve"> d. viešojo pirkimo–pardavimo </w:t>
      </w:r>
    </w:p>
    <w:p w14:paraId="35FAE407" w14:textId="4CB4FEA6"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316CC9">
        <w:rPr>
          <w:rFonts w:ascii="Times New Roman" w:hAnsi="Times New Roman"/>
          <w:color w:val="000000"/>
          <w:sz w:val="24"/>
          <w:szCs w:val="24"/>
          <w:lang w:eastAsia="lt-LT"/>
        </w:rPr>
        <w:t>520</w:t>
      </w:r>
      <w:r w:rsidRPr="00EA5D65">
        <w:rPr>
          <w:rFonts w:ascii="Times New Roman" w:hAnsi="Times New Roman"/>
          <w:color w:val="000000"/>
          <w:sz w:val="24"/>
          <w:szCs w:val="24"/>
          <w:lang w:eastAsia="lt-LT"/>
        </w:rPr>
        <w:t>/20</w:t>
      </w:r>
      <w:r w:rsidR="00316CC9">
        <w:rPr>
          <w:rFonts w:ascii="Times New Roman" w:hAnsi="Times New Roman"/>
          <w:color w:val="000000"/>
          <w:sz w:val="24"/>
          <w:szCs w:val="24"/>
          <w:lang w:eastAsia="lt-LT"/>
        </w:rPr>
        <w:t>23</w:t>
      </w:r>
    </w:p>
    <w:bookmarkEnd w:id="12"/>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590"/>
        <w:gridCol w:w="718"/>
        <w:gridCol w:w="1294"/>
        <w:gridCol w:w="863"/>
        <w:gridCol w:w="1150"/>
        <w:gridCol w:w="1150"/>
        <w:gridCol w:w="1150"/>
      </w:tblGrid>
      <w:tr w:rsidR="00D20D95" w:rsidRPr="00494314" w14:paraId="4159D77A" w14:textId="77777777" w:rsidTr="00D20D95">
        <w:trPr>
          <w:trHeight w:val="20"/>
        </w:trPr>
        <w:tc>
          <w:tcPr>
            <w:tcW w:w="1008" w:type="dxa"/>
            <w:vAlign w:val="center"/>
          </w:tcPr>
          <w:p w14:paraId="04D73AEF"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90" w:type="dxa"/>
            <w:vAlign w:val="center"/>
          </w:tcPr>
          <w:p w14:paraId="4FFC8CB5" w14:textId="77777777" w:rsidR="00D20D95" w:rsidRPr="00494314" w:rsidRDefault="00D20D95" w:rsidP="00843FA9">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718" w:type="dxa"/>
            <w:vAlign w:val="center"/>
          </w:tcPr>
          <w:p w14:paraId="26AEEA33"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94" w:type="dxa"/>
            <w:vAlign w:val="center"/>
          </w:tcPr>
          <w:p w14:paraId="1F5B7654"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2D73927"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863" w:type="dxa"/>
            <w:vAlign w:val="center"/>
          </w:tcPr>
          <w:p w14:paraId="65B84F54" w14:textId="7706A73E"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bCs/>
                <w:color w:val="FF0000"/>
                <w:sz w:val="20"/>
                <w:szCs w:val="20"/>
              </w:rPr>
              <w:t xml:space="preserve"> </w:t>
            </w:r>
          </w:p>
        </w:tc>
        <w:tc>
          <w:tcPr>
            <w:tcW w:w="1150" w:type="dxa"/>
          </w:tcPr>
          <w:p w14:paraId="6AC83243" w14:textId="37B632D6" w:rsidR="00D20D95" w:rsidRPr="00494314" w:rsidRDefault="00D20D95" w:rsidP="00843FA9">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D3D31FF" w14:textId="77777777" w:rsidR="00D20D95" w:rsidRPr="00494314" w:rsidRDefault="00D20D95" w:rsidP="00843FA9">
            <w:pPr>
              <w:spacing w:after="0" w:line="240" w:lineRule="auto"/>
              <w:jc w:val="center"/>
              <w:rPr>
                <w:rFonts w:ascii="Times New Roman" w:hAnsi="Times New Roman"/>
                <w:b/>
                <w:sz w:val="20"/>
                <w:szCs w:val="20"/>
              </w:rPr>
            </w:pPr>
          </w:p>
        </w:tc>
        <w:tc>
          <w:tcPr>
            <w:tcW w:w="1150" w:type="dxa"/>
            <w:vAlign w:val="center"/>
          </w:tcPr>
          <w:p w14:paraId="4FB3CEA4"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00B3C99" w14:textId="258169B3"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_</w:t>
            </w:r>
            <w:r>
              <w:rPr>
                <w:rFonts w:ascii="Times New Roman" w:hAnsi="Times New Roman"/>
                <w:b/>
                <w:sz w:val="20"/>
                <w:szCs w:val="20"/>
              </w:rPr>
              <w:t>5</w:t>
            </w:r>
            <w:r w:rsidRPr="00494314">
              <w:rPr>
                <w:rFonts w:ascii="Times New Roman" w:hAnsi="Times New Roman"/>
                <w:b/>
                <w:sz w:val="20"/>
                <w:szCs w:val="20"/>
              </w:rPr>
              <w:t>_% ir suma</w:t>
            </w:r>
          </w:p>
        </w:tc>
        <w:tc>
          <w:tcPr>
            <w:tcW w:w="1150" w:type="dxa"/>
            <w:vAlign w:val="center"/>
          </w:tcPr>
          <w:p w14:paraId="0A209D51" w14:textId="77777777" w:rsidR="00D20D95" w:rsidRPr="00494314" w:rsidRDefault="00D20D95" w:rsidP="00843FA9">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03FD6D6" w14:textId="03A9D5F2" w:rsidR="00D20D95" w:rsidRPr="00494314" w:rsidRDefault="00D20D95" w:rsidP="00843FA9">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4C21A23D" w14:textId="77777777" w:rsidR="00D20D95" w:rsidRPr="00494314" w:rsidRDefault="00D20D95" w:rsidP="00843FA9">
            <w:pPr>
              <w:spacing w:after="0" w:line="240" w:lineRule="auto"/>
              <w:jc w:val="center"/>
              <w:rPr>
                <w:rFonts w:ascii="Times New Roman" w:hAnsi="Times New Roman"/>
                <w:i/>
                <w:iCs/>
                <w:sz w:val="20"/>
                <w:szCs w:val="20"/>
              </w:rPr>
            </w:pPr>
          </w:p>
        </w:tc>
      </w:tr>
      <w:tr w:rsidR="00D20D95" w:rsidRPr="00494314" w14:paraId="3F86858D" w14:textId="77777777" w:rsidTr="00D20D95">
        <w:trPr>
          <w:trHeight w:val="20"/>
        </w:trPr>
        <w:tc>
          <w:tcPr>
            <w:tcW w:w="1008" w:type="dxa"/>
            <w:shd w:val="clear" w:color="auto" w:fill="auto"/>
            <w:vAlign w:val="center"/>
          </w:tcPr>
          <w:p w14:paraId="2EAC2A94"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2590" w:type="dxa"/>
            <w:shd w:val="clear" w:color="auto" w:fill="auto"/>
            <w:vAlign w:val="center"/>
          </w:tcPr>
          <w:p w14:paraId="1DEA3FA4"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718" w:type="dxa"/>
            <w:shd w:val="clear" w:color="auto" w:fill="auto"/>
            <w:vAlign w:val="center"/>
          </w:tcPr>
          <w:p w14:paraId="3E98422E"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94" w:type="dxa"/>
            <w:shd w:val="clear" w:color="auto" w:fill="auto"/>
            <w:vAlign w:val="center"/>
          </w:tcPr>
          <w:p w14:paraId="722FC31D"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863" w:type="dxa"/>
            <w:shd w:val="clear" w:color="auto" w:fill="auto"/>
            <w:vAlign w:val="center"/>
          </w:tcPr>
          <w:p w14:paraId="2D5D18A9"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150" w:type="dxa"/>
            <w:shd w:val="clear" w:color="auto" w:fill="auto"/>
          </w:tcPr>
          <w:p w14:paraId="6787DF3D"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50" w:type="dxa"/>
            <w:shd w:val="clear" w:color="auto" w:fill="auto"/>
            <w:vAlign w:val="center"/>
          </w:tcPr>
          <w:p w14:paraId="628C0AD0"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150" w:type="dxa"/>
            <w:shd w:val="clear" w:color="auto" w:fill="auto"/>
            <w:vAlign w:val="center"/>
          </w:tcPr>
          <w:p w14:paraId="3187BDBB" w14:textId="77777777" w:rsidR="00D20D95" w:rsidRPr="00494314" w:rsidRDefault="00D20D95" w:rsidP="00843FA9">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D20D95" w:rsidRPr="00494314" w14:paraId="618197D1" w14:textId="77777777" w:rsidTr="00D20D95">
        <w:trPr>
          <w:trHeight w:val="282"/>
        </w:trPr>
        <w:tc>
          <w:tcPr>
            <w:tcW w:w="1008" w:type="dxa"/>
            <w:tcBorders>
              <w:top w:val="single" w:sz="6" w:space="0" w:color="000000"/>
              <w:left w:val="single" w:sz="6" w:space="0" w:color="000000"/>
              <w:bottom w:val="single" w:sz="6" w:space="0" w:color="000000"/>
              <w:right w:val="single" w:sz="6" w:space="0" w:color="000000"/>
            </w:tcBorders>
          </w:tcPr>
          <w:p w14:paraId="26BE4B2A" w14:textId="77777777" w:rsidR="00D20D95" w:rsidRPr="00494314" w:rsidRDefault="00D20D95" w:rsidP="00843FA9">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16.</w:t>
            </w:r>
          </w:p>
        </w:tc>
        <w:tc>
          <w:tcPr>
            <w:tcW w:w="2590" w:type="dxa"/>
            <w:tcBorders>
              <w:top w:val="single" w:sz="6" w:space="0" w:color="000000"/>
              <w:left w:val="single" w:sz="6" w:space="0" w:color="000000"/>
              <w:bottom w:val="single" w:sz="6" w:space="0" w:color="000000"/>
              <w:right w:val="single" w:sz="6" w:space="0" w:color="000000"/>
            </w:tcBorders>
          </w:tcPr>
          <w:p w14:paraId="6D565509" w14:textId="77777777" w:rsidR="00D20D95" w:rsidRPr="00494314" w:rsidRDefault="00D20D95" w:rsidP="00843FA9">
            <w:pPr>
              <w:widowControl w:val="0"/>
              <w:snapToGrid w:val="0"/>
              <w:spacing w:after="0" w:line="240" w:lineRule="auto"/>
              <w:rPr>
                <w:rFonts w:ascii="Times New Roman" w:hAnsi="Times New Roman"/>
                <w:bCs/>
                <w:kern w:val="2"/>
                <w:lang w:eastAsia="lt-LT"/>
                <w14:ligatures w14:val="standardContextual"/>
              </w:rPr>
            </w:pPr>
            <w:r w:rsidRPr="0069210A">
              <w:rPr>
                <w:rFonts w:ascii="Times New Roman" w:hAnsi="Times New Roman"/>
                <w:bCs/>
                <w:kern w:val="2"/>
                <w:lang w:eastAsia="lt-LT"/>
                <w14:ligatures w14:val="standardContextual"/>
              </w:rPr>
              <w:t>Aliumininis išorinis splintas</w:t>
            </w:r>
          </w:p>
        </w:tc>
        <w:tc>
          <w:tcPr>
            <w:tcW w:w="718" w:type="dxa"/>
            <w:tcBorders>
              <w:top w:val="single" w:sz="6" w:space="0" w:color="000000"/>
              <w:left w:val="single" w:sz="6" w:space="0" w:color="000000"/>
              <w:bottom w:val="single" w:sz="6" w:space="0" w:color="000000"/>
              <w:right w:val="single" w:sz="6" w:space="0" w:color="000000"/>
            </w:tcBorders>
          </w:tcPr>
          <w:p w14:paraId="24091EC0" w14:textId="77777777" w:rsidR="00D20D95" w:rsidRPr="00494314" w:rsidRDefault="00D20D95" w:rsidP="00843FA9">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9210A">
              <w:rPr>
                <w:rFonts w:ascii="Times New Roman" w:eastAsia="Tahoma" w:hAnsi="Times New Roman"/>
                <w:color w:val="000000"/>
              </w:rPr>
              <w:t>vnt.</w:t>
            </w:r>
          </w:p>
        </w:tc>
        <w:tc>
          <w:tcPr>
            <w:tcW w:w="1294" w:type="dxa"/>
            <w:tcBorders>
              <w:top w:val="single" w:sz="6" w:space="0" w:color="000000"/>
              <w:left w:val="single" w:sz="6" w:space="0" w:color="000000"/>
              <w:bottom w:val="single" w:sz="6" w:space="0" w:color="000000"/>
              <w:right w:val="single" w:sz="6" w:space="0" w:color="000000"/>
            </w:tcBorders>
          </w:tcPr>
          <w:p w14:paraId="0CED758F" w14:textId="77777777" w:rsidR="00D20D95" w:rsidRPr="00494314" w:rsidRDefault="00D20D95" w:rsidP="00843FA9">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100</w:t>
            </w:r>
          </w:p>
        </w:tc>
        <w:tc>
          <w:tcPr>
            <w:tcW w:w="863" w:type="dxa"/>
          </w:tcPr>
          <w:p w14:paraId="0CC39F35" w14:textId="6FDCD31C" w:rsidR="00D20D95" w:rsidRPr="00494314" w:rsidRDefault="00D20D95" w:rsidP="00843FA9">
            <w:pPr>
              <w:spacing w:after="0" w:line="240" w:lineRule="auto"/>
              <w:jc w:val="center"/>
              <w:rPr>
                <w:rFonts w:ascii="Times New Roman" w:hAnsi="Times New Roman"/>
              </w:rPr>
            </w:pPr>
            <w:r>
              <w:rPr>
                <w:rFonts w:ascii="Times New Roman" w:hAnsi="Times New Roman"/>
              </w:rPr>
              <w:t>7.8</w:t>
            </w:r>
            <w:r w:rsidR="00316CC9">
              <w:rPr>
                <w:rFonts w:ascii="Times New Roman" w:hAnsi="Times New Roman"/>
              </w:rPr>
              <w:t>0</w:t>
            </w:r>
          </w:p>
        </w:tc>
        <w:tc>
          <w:tcPr>
            <w:tcW w:w="1150" w:type="dxa"/>
          </w:tcPr>
          <w:p w14:paraId="47BF66D5" w14:textId="77777777" w:rsidR="00D20D95" w:rsidRPr="00494314" w:rsidRDefault="00D20D95" w:rsidP="00843FA9">
            <w:pPr>
              <w:spacing w:after="0" w:line="240" w:lineRule="auto"/>
              <w:jc w:val="center"/>
              <w:rPr>
                <w:rFonts w:ascii="Times New Roman" w:hAnsi="Times New Roman"/>
              </w:rPr>
            </w:pPr>
            <w:r>
              <w:rPr>
                <w:rFonts w:ascii="Times New Roman" w:hAnsi="Times New Roman"/>
              </w:rPr>
              <w:t>780.00</w:t>
            </w:r>
          </w:p>
        </w:tc>
        <w:tc>
          <w:tcPr>
            <w:tcW w:w="1150" w:type="dxa"/>
          </w:tcPr>
          <w:p w14:paraId="14D8C429" w14:textId="77777777" w:rsidR="00D20D95" w:rsidRPr="00494314" w:rsidRDefault="00D20D95" w:rsidP="00843FA9">
            <w:pPr>
              <w:spacing w:after="0" w:line="240" w:lineRule="auto"/>
              <w:jc w:val="center"/>
              <w:rPr>
                <w:rFonts w:ascii="Times New Roman" w:hAnsi="Times New Roman"/>
              </w:rPr>
            </w:pPr>
            <w:r>
              <w:rPr>
                <w:rFonts w:ascii="Times New Roman" w:hAnsi="Times New Roman"/>
              </w:rPr>
              <w:t>39.00</w:t>
            </w:r>
          </w:p>
        </w:tc>
        <w:tc>
          <w:tcPr>
            <w:tcW w:w="1150" w:type="dxa"/>
          </w:tcPr>
          <w:p w14:paraId="5AEA1702" w14:textId="77777777" w:rsidR="00D20D95" w:rsidRPr="00494314" w:rsidRDefault="00D20D95" w:rsidP="00843FA9">
            <w:pPr>
              <w:spacing w:after="0" w:line="240" w:lineRule="auto"/>
              <w:jc w:val="center"/>
              <w:rPr>
                <w:rFonts w:ascii="Times New Roman" w:hAnsi="Times New Roman"/>
              </w:rPr>
            </w:pPr>
            <w:r>
              <w:rPr>
                <w:rFonts w:ascii="Times New Roman" w:hAnsi="Times New Roman"/>
              </w:rPr>
              <w:t>819.00</w:t>
            </w:r>
          </w:p>
        </w:tc>
      </w:tr>
      <w:tr w:rsidR="00D20D95" w:rsidRPr="00494314" w14:paraId="44DF1A1F" w14:textId="77777777" w:rsidTr="00D20D95">
        <w:trPr>
          <w:trHeight w:val="282"/>
        </w:trPr>
        <w:tc>
          <w:tcPr>
            <w:tcW w:w="1008" w:type="dxa"/>
            <w:tcBorders>
              <w:top w:val="single" w:sz="6" w:space="0" w:color="000000"/>
              <w:left w:val="single" w:sz="6" w:space="0" w:color="000000"/>
              <w:bottom w:val="single" w:sz="6" w:space="0" w:color="000000"/>
              <w:right w:val="single" w:sz="6" w:space="0" w:color="000000"/>
            </w:tcBorders>
          </w:tcPr>
          <w:p w14:paraId="7C0F46C2" w14:textId="77777777" w:rsidR="00D20D95" w:rsidRPr="00494314" w:rsidRDefault="00D20D95" w:rsidP="00843FA9">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17.</w:t>
            </w:r>
          </w:p>
        </w:tc>
        <w:tc>
          <w:tcPr>
            <w:tcW w:w="2590" w:type="dxa"/>
            <w:tcBorders>
              <w:top w:val="single" w:sz="6" w:space="0" w:color="000000"/>
              <w:left w:val="single" w:sz="6" w:space="0" w:color="000000"/>
              <w:bottom w:val="single" w:sz="6" w:space="0" w:color="000000"/>
              <w:right w:val="single" w:sz="6" w:space="0" w:color="000000"/>
            </w:tcBorders>
          </w:tcPr>
          <w:p w14:paraId="711A6EEB" w14:textId="77777777" w:rsidR="00D20D95" w:rsidRPr="00494314" w:rsidRDefault="00D20D95" w:rsidP="00843FA9">
            <w:pPr>
              <w:widowControl w:val="0"/>
              <w:snapToGrid w:val="0"/>
              <w:spacing w:after="0" w:line="240" w:lineRule="auto"/>
              <w:rPr>
                <w:rFonts w:ascii="Times New Roman" w:hAnsi="Times New Roman"/>
                <w:bCs/>
                <w:kern w:val="2"/>
                <w:lang w:eastAsia="lt-LT"/>
                <w14:ligatures w14:val="standardContextual"/>
              </w:rPr>
            </w:pPr>
            <w:r w:rsidRPr="0069210A">
              <w:rPr>
                <w:rFonts w:ascii="Times New Roman" w:hAnsi="Times New Roman"/>
                <w:bCs/>
                <w:kern w:val="2"/>
                <w:lang w:eastAsia="lt-LT"/>
                <w14:ligatures w14:val="standardContextual"/>
              </w:rPr>
              <w:t>Vidinis nosies splintas su vamzdeliu</w:t>
            </w:r>
          </w:p>
        </w:tc>
        <w:tc>
          <w:tcPr>
            <w:tcW w:w="718" w:type="dxa"/>
            <w:tcBorders>
              <w:top w:val="single" w:sz="6" w:space="0" w:color="000000"/>
              <w:left w:val="single" w:sz="6" w:space="0" w:color="000000"/>
              <w:bottom w:val="single" w:sz="6" w:space="0" w:color="000000"/>
              <w:right w:val="single" w:sz="6" w:space="0" w:color="000000"/>
            </w:tcBorders>
          </w:tcPr>
          <w:p w14:paraId="1E1E23AF" w14:textId="77777777" w:rsidR="00D20D95" w:rsidRPr="00494314" w:rsidRDefault="00D20D95" w:rsidP="00843FA9">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9210A">
              <w:rPr>
                <w:rFonts w:ascii="Times New Roman" w:eastAsia="Tahoma" w:hAnsi="Times New Roman"/>
                <w:color w:val="000000"/>
              </w:rPr>
              <w:t>vnt.</w:t>
            </w:r>
          </w:p>
        </w:tc>
        <w:tc>
          <w:tcPr>
            <w:tcW w:w="1294" w:type="dxa"/>
            <w:tcBorders>
              <w:top w:val="single" w:sz="6" w:space="0" w:color="000000"/>
              <w:left w:val="single" w:sz="6" w:space="0" w:color="000000"/>
              <w:bottom w:val="single" w:sz="6" w:space="0" w:color="000000"/>
              <w:right w:val="single" w:sz="6" w:space="0" w:color="000000"/>
            </w:tcBorders>
          </w:tcPr>
          <w:p w14:paraId="054BC339" w14:textId="77777777" w:rsidR="00D20D95" w:rsidRPr="00494314" w:rsidRDefault="00D20D95" w:rsidP="00843FA9">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360</w:t>
            </w:r>
          </w:p>
        </w:tc>
        <w:tc>
          <w:tcPr>
            <w:tcW w:w="863" w:type="dxa"/>
            <w:tcBorders>
              <w:top w:val="single" w:sz="4" w:space="0" w:color="auto"/>
              <w:left w:val="single" w:sz="4" w:space="0" w:color="auto"/>
              <w:bottom w:val="single" w:sz="4" w:space="0" w:color="auto"/>
              <w:right w:val="single" w:sz="4" w:space="0" w:color="auto"/>
            </w:tcBorders>
          </w:tcPr>
          <w:p w14:paraId="468D2298" w14:textId="059BDBC7" w:rsidR="00D20D95" w:rsidRPr="00494314" w:rsidRDefault="00D20D95" w:rsidP="00843FA9">
            <w:pPr>
              <w:spacing w:after="0" w:line="240" w:lineRule="auto"/>
              <w:jc w:val="center"/>
              <w:rPr>
                <w:rFonts w:ascii="Times New Roman" w:hAnsi="Times New Roman"/>
              </w:rPr>
            </w:pPr>
            <w:r>
              <w:rPr>
                <w:rFonts w:ascii="Times New Roman" w:hAnsi="Times New Roman"/>
              </w:rPr>
              <w:t>8.2</w:t>
            </w:r>
            <w:r w:rsidR="00316CC9">
              <w:rPr>
                <w:rFonts w:ascii="Times New Roman" w:hAnsi="Times New Roman"/>
              </w:rPr>
              <w:t>0</w:t>
            </w:r>
          </w:p>
        </w:tc>
        <w:tc>
          <w:tcPr>
            <w:tcW w:w="1150" w:type="dxa"/>
            <w:tcBorders>
              <w:top w:val="single" w:sz="4" w:space="0" w:color="auto"/>
              <w:left w:val="single" w:sz="4" w:space="0" w:color="auto"/>
              <w:bottom w:val="single" w:sz="4" w:space="0" w:color="auto"/>
              <w:right w:val="single" w:sz="4" w:space="0" w:color="auto"/>
            </w:tcBorders>
          </w:tcPr>
          <w:p w14:paraId="2F750699" w14:textId="77777777" w:rsidR="00D20D95" w:rsidRPr="00494314" w:rsidRDefault="00D20D95" w:rsidP="00843FA9">
            <w:pPr>
              <w:spacing w:after="0" w:line="240" w:lineRule="auto"/>
              <w:jc w:val="center"/>
              <w:rPr>
                <w:rFonts w:ascii="Times New Roman" w:hAnsi="Times New Roman"/>
              </w:rPr>
            </w:pPr>
            <w:r>
              <w:rPr>
                <w:rFonts w:ascii="Times New Roman" w:hAnsi="Times New Roman"/>
              </w:rPr>
              <w:t>2952.00</w:t>
            </w:r>
          </w:p>
        </w:tc>
        <w:tc>
          <w:tcPr>
            <w:tcW w:w="1150" w:type="dxa"/>
            <w:tcBorders>
              <w:top w:val="single" w:sz="4" w:space="0" w:color="auto"/>
              <w:left w:val="single" w:sz="4" w:space="0" w:color="auto"/>
              <w:bottom w:val="single" w:sz="4" w:space="0" w:color="auto"/>
              <w:right w:val="single" w:sz="4" w:space="0" w:color="auto"/>
            </w:tcBorders>
          </w:tcPr>
          <w:p w14:paraId="378AEC35" w14:textId="77777777" w:rsidR="00D20D95" w:rsidRPr="00494314" w:rsidRDefault="00D20D95" w:rsidP="00843FA9">
            <w:pPr>
              <w:spacing w:after="0" w:line="240" w:lineRule="auto"/>
              <w:jc w:val="center"/>
              <w:rPr>
                <w:rFonts w:ascii="Times New Roman" w:hAnsi="Times New Roman"/>
              </w:rPr>
            </w:pPr>
            <w:r>
              <w:rPr>
                <w:rFonts w:ascii="Times New Roman" w:hAnsi="Times New Roman"/>
              </w:rPr>
              <w:t>147.60</w:t>
            </w:r>
          </w:p>
        </w:tc>
        <w:tc>
          <w:tcPr>
            <w:tcW w:w="1150" w:type="dxa"/>
            <w:tcBorders>
              <w:top w:val="single" w:sz="4" w:space="0" w:color="auto"/>
              <w:left w:val="single" w:sz="4" w:space="0" w:color="auto"/>
              <w:bottom w:val="single" w:sz="4" w:space="0" w:color="auto"/>
              <w:right w:val="single" w:sz="4" w:space="0" w:color="auto"/>
            </w:tcBorders>
          </w:tcPr>
          <w:p w14:paraId="679471D0" w14:textId="7D83E053" w:rsidR="00D20D95" w:rsidRPr="00494314" w:rsidRDefault="00D20D95" w:rsidP="00843FA9">
            <w:pPr>
              <w:spacing w:after="0" w:line="240" w:lineRule="auto"/>
              <w:jc w:val="center"/>
              <w:rPr>
                <w:rFonts w:ascii="Times New Roman" w:hAnsi="Times New Roman"/>
              </w:rPr>
            </w:pPr>
            <w:r>
              <w:rPr>
                <w:rFonts w:ascii="Times New Roman" w:hAnsi="Times New Roman"/>
              </w:rPr>
              <w:t>3099</w:t>
            </w:r>
            <w:r w:rsidR="00316CC9">
              <w:rPr>
                <w:rFonts w:ascii="Times New Roman" w:hAnsi="Times New Roman"/>
              </w:rPr>
              <w:t>.</w:t>
            </w:r>
            <w:r>
              <w:rPr>
                <w:rFonts w:ascii="Times New Roman" w:hAnsi="Times New Roman"/>
              </w:rPr>
              <w:t>60</w:t>
            </w:r>
          </w:p>
        </w:tc>
      </w:tr>
      <w:tr w:rsidR="00316CC9" w:rsidRPr="00494314" w14:paraId="5E377A81" w14:textId="77777777" w:rsidTr="00434132">
        <w:trPr>
          <w:trHeight w:val="282"/>
        </w:trPr>
        <w:tc>
          <w:tcPr>
            <w:tcW w:w="1008" w:type="dxa"/>
            <w:tcBorders>
              <w:top w:val="single" w:sz="6" w:space="0" w:color="000000"/>
              <w:left w:val="single" w:sz="6" w:space="0" w:color="000000"/>
              <w:bottom w:val="single" w:sz="6" w:space="0" w:color="000000"/>
              <w:right w:val="single" w:sz="6" w:space="0" w:color="000000"/>
            </w:tcBorders>
          </w:tcPr>
          <w:p w14:paraId="072B279B" w14:textId="51AF15CF" w:rsidR="00316CC9" w:rsidRDefault="00316CC9" w:rsidP="00316CC9">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18.</w:t>
            </w:r>
          </w:p>
        </w:tc>
        <w:tc>
          <w:tcPr>
            <w:tcW w:w="2590" w:type="dxa"/>
            <w:tcBorders>
              <w:top w:val="single" w:sz="6" w:space="0" w:color="000000"/>
              <w:left w:val="single" w:sz="6" w:space="0" w:color="000000"/>
              <w:bottom w:val="single" w:sz="6" w:space="0" w:color="000000"/>
              <w:right w:val="single" w:sz="6" w:space="0" w:color="000000"/>
            </w:tcBorders>
          </w:tcPr>
          <w:p w14:paraId="1D9B0F7F" w14:textId="44E4844F" w:rsidR="00316CC9" w:rsidRPr="0069210A" w:rsidRDefault="00316CC9" w:rsidP="00316CC9">
            <w:pPr>
              <w:widowControl w:val="0"/>
              <w:snapToGrid w:val="0"/>
              <w:spacing w:after="0" w:line="240" w:lineRule="auto"/>
              <w:rPr>
                <w:rFonts w:ascii="Times New Roman" w:hAnsi="Times New Roman"/>
                <w:bCs/>
                <w:kern w:val="2"/>
                <w:lang w:eastAsia="lt-LT"/>
                <w14:ligatures w14:val="standardContextual"/>
              </w:rPr>
            </w:pPr>
            <w:proofErr w:type="spellStart"/>
            <w:r w:rsidRPr="0069210A">
              <w:rPr>
                <w:rFonts w:ascii="Times New Roman" w:hAnsi="Times New Roman"/>
                <w:bCs/>
                <w:kern w:val="2"/>
                <w:lang w:eastAsia="lt-LT"/>
                <w14:ligatures w14:val="standardContextual"/>
              </w:rPr>
              <w:t>Termoplastinis</w:t>
            </w:r>
            <w:proofErr w:type="spellEnd"/>
            <w:r w:rsidRPr="0069210A">
              <w:rPr>
                <w:rFonts w:ascii="Times New Roman" w:hAnsi="Times New Roman"/>
                <w:bCs/>
                <w:kern w:val="2"/>
                <w:lang w:eastAsia="lt-LT"/>
                <w14:ligatures w14:val="standardContextual"/>
              </w:rPr>
              <w:t xml:space="preserve"> išorinis </w:t>
            </w:r>
            <w:proofErr w:type="spellStart"/>
            <w:r w:rsidRPr="0069210A">
              <w:rPr>
                <w:rFonts w:ascii="Times New Roman" w:hAnsi="Times New Roman"/>
                <w:bCs/>
                <w:kern w:val="2"/>
                <w:lang w:eastAsia="lt-LT"/>
                <w14:ligatures w14:val="standardContextual"/>
              </w:rPr>
              <w:t>splintas</w:t>
            </w:r>
            <w:proofErr w:type="spellEnd"/>
          </w:p>
        </w:tc>
        <w:tc>
          <w:tcPr>
            <w:tcW w:w="718" w:type="dxa"/>
            <w:tcBorders>
              <w:top w:val="single" w:sz="6" w:space="0" w:color="000000"/>
              <w:left w:val="single" w:sz="6" w:space="0" w:color="000000"/>
              <w:bottom w:val="single" w:sz="6" w:space="0" w:color="000000"/>
              <w:right w:val="single" w:sz="6" w:space="0" w:color="000000"/>
            </w:tcBorders>
          </w:tcPr>
          <w:p w14:paraId="60AE38BA" w14:textId="0DB4A9F0" w:rsidR="00316CC9" w:rsidRPr="0069210A" w:rsidRDefault="00316CC9" w:rsidP="00316CC9">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9210A">
              <w:rPr>
                <w:rFonts w:ascii="Times New Roman" w:eastAsia="Tahoma" w:hAnsi="Times New Roman"/>
                <w:color w:val="000000"/>
              </w:rPr>
              <w:t>vnt.</w:t>
            </w:r>
          </w:p>
        </w:tc>
        <w:tc>
          <w:tcPr>
            <w:tcW w:w="1294" w:type="dxa"/>
            <w:tcBorders>
              <w:top w:val="single" w:sz="6" w:space="0" w:color="000000"/>
              <w:left w:val="single" w:sz="6" w:space="0" w:color="000000"/>
              <w:bottom w:val="single" w:sz="6" w:space="0" w:color="000000"/>
              <w:right w:val="single" w:sz="6" w:space="0" w:color="000000"/>
            </w:tcBorders>
          </w:tcPr>
          <w:p w14:paraId="16C31D40" w14:textId="66E80A7E" w:rsidR="00316CC9" w:rsidRDefault="00316CC9" w:rsidP="00316CC9">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100</w:t>
            </w:r>
          </w:p>
        </w:tc>
        <w:tc>
          <w:tcPr>
            <w:tcW w:w="863" w:type="dxa"/>
          </w:tcPr>
          <w:p w14:paraId="5645E662" w14:textId="35FBEADB" w:rsidR="00316CC9" w:rsidRDefault="00316CC9" w:rsidP="00316CC9">
            <w:pPr>
              <w:spacing w:after="0" w:line="240" w:lineRule="auto"/>
              <w:jc w:val="center"/>
              <w:rPr>
                <w:rFonts w:ascii="Times New Roman" w:hAnsi="Times New Roman"/>
              </w:rPr>
            </w:pPr>
            <w:r>
              <w:rPr>
                <w:rFonts w:ascii="Times New Roman" w:hAnsi="Times New Roman"/>
              </w:rPr>
              <w:t>8</w:t>
            </w:r>
            <w:r>
              <w:rPr>
                <w:rFonts w:ascii="Times New Roman" w:hAnsi="Times New Roman"/>
              </w:rPr>
              <w:t>.00</w:t>
            </w:r>
          </w:p>
        </w:tc>
        <w:tc>
          <w:tcPr>
            <w:tcW w:w="1150" w:type="dxa"/>
          </w:tcPr>
          <w:p w14:paraId="52A4180A" w14:textId="72878A78" w:rsidR="00316CC9" w:rsidRDefault="00316CC9" w:rsidP="00316CC9">
            <w:pPr>
              <w:spacing w:after="0" w:line="240" w:lineRule="auto"/>
              <w:jc w:val="center"/>
              <w:rPr>
                <w:rFonts w:ascii="Times New Roman" w:hAnsi="Times New Roman"/>
              </w:rPr>
            </w:pPr>
            <w:r>
              <w:rPr>
                <w:rFonts w:ascii="Times New Roman" w:hAnsi="Times New Roman"/>
              </w:rPr>
              <w:t>800</w:t>
            </w:r>
            <w:r>
              <w:rPr>
                <w:rFonts w:ascii="Times New Roman" w:hAnsi="Times New Roman"/>
              </w:rPr>
              <w:t>.00</w:t>
            </w:r>
          </w:p>
        </w:tc>
        <w:tc>
          <w:tcPr>
            <w:tcW w:w="1150" w:type="dxa"/>
          </w:tcPr>
          <w:p w14:paraId="7C3B1AAF" w14:textId="227EBBEF" w:rsidR="00316CC9" w:rsidRDefault="00316CC9" w:rsidP="00316CC9">
            <w:pPr>
              <w:spacing w:after="0" w:line="240" w:lineRule="auto"/>
              <w:jc w:val="center"/>
              <w:rPr>
                <w:rFonts w:ascii="Times New Roman" w:hAnsi="Times New Roman"/>
              </w:rPr>
            </w:pPr>
            <w:r>
              <w:rPr>
                <w:rFonts w:ascii="Times New Roman" w:hAnsi="Times New Roman"/>
              </w:rPr>
              <w:t>40.00</w:t>
            </w:r>
          </w:p>
        </w:tc>
        <w:tc>
          <w:tcPr>
            <w:tcW w:w="1150" w:type="dxa"/>
          </w:tcPr>
          <w:p w14:paraId="027BB0BA" w14:textId="72FC7206" w:rsidR="00316CC9" w:rsidRDefault="00316CC9" w:rsidP="00316CC9">
            <w:pPr>
              <w:spacing w:after="0" w:line="240" w:lineRule="auto"/>
              <w:jc w:val="center"/>
              <w:rPr>
                <w:rFonts w:ascii="Times New Roman" w:hAnsi="Times New Roman"/>
              </w:rPr>
            </w:pPr>
            <w:r>
              <w:rPr>
                <w:rFonts w:ascii="Times New Roman" w:hAnsi="Times New Roman"/>
              </w:rPr>
              <w:t>840.00</w:t>
            </w:r>
          </w:p>
        </w:tc>
      </w:tr>
    </w:tbl>
    <w:p w14:paraId="6D1603D0" w14:textId="77777777" w:rsidR="001B66A9" w:rsidRPr="00EA5D65" w:rsidRDefault="001B66A9" w:rsidP="0055263D">
      <w:pPr>
        <w:rPr>
          <w:rFonts w:ascii="Times New Roman" w:hAnsi="Times New Roman"/>
          <w:color w:val="000000"/>
          <w:sz w:val="24"/>
          <w:szCs w:val="24"/>
        </w:rPr>
      </w:pPr>
    </w:p>
    <w:p w14:paraId="009D46BD" w14:textId="77777777" w:rsidR="001B66A9" w:rsidRPr="00EA5D65" w:rsidRDefault="001B66A9"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316CC9" w:rsidRPr="00587AEE" w14:paraId="6FBFA481" w14:textId="77777777" w:rsidTr="00B74ECF">
        <w:tc>
          <w:tcPr>
            <w:tcW w:w="4927" w:type="dxa"/>
          </w:tcPr>
          <w:p w14:paraId="53E9F029" w14:textId="77777777" w:rsidR="00316CC9" w:rsidRPr="00587AEE" w:rsidRDefault="00316CC9" w:rsidP="00B74ECF">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50AF4A3B" w14:textId="77777777" w:rsidR="00316CC9" w:rsidRPr="00587AEE" w:rsidRDefault="00316CC9" w:rsidP="00B74ECF">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316CC9" w:rsidRPr="00587AEE" w14:paraId="513BDA9A" w14:textId="77777777" w:rsidTr="00B74ECF">
        <w:tc>
          <w:tcPr>
            <w:tcW w:w="4927" w:type="dxa"/>
          </w:tcPr>
          <w:p w14:paraId="2616D85C"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5576FFB0" w14:textId="77777777" w:rsidR="00316CC9" w:rsidRPr="00587AEE" w:rsidRDefault="00316CC9" w:rsidP="00B74ECF">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r>
              <w:rPr>
                <w:rFonts w:ascii="Times New Roman" w:hAnsi="Times New Roman"/>
                <w:color w:val="000000" w:themeColor="text1"/>
                <w:sz w:val="24"/>
                <w:szCs w:val="24"/>
              </w:rPr>
              <w:t xml:space="preserve"> </w:t>
            </w:r>
          </w:p>
        </w:tc>
      </w:tr>
      <w:tr w:rsidR="00316CC9" w:rsidRPr="00587AEE" w14:paraId="3B4252E9" w14:textId="77777777" w:rsidTr="00B74ECF">
        <w:tc>
          <w:tcPr>
            <w:tcW w:w="4927" w:type="dxa"/>
          </w:tcPr>
          <w:p w14:paraId="003E33B8" w14:textId="77777777" w:rsidR="00316CC9" w:rsidRDefault="00316CC9" w:rsidP="00B74ECF">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6D52D14A"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p>
          <w:p w14:paraId="1D33ED9C"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6C2F46EC" w14:textId="77777777" w:rsidR="00316CC9" w:rsidRDefault="00316CC9" w:rsidP="00B74ECF">
            <w:pPr>
              <w:pStyle w:val="Pagrindinistekstas3"/>
              <w:ind w:firstLine="0"/>
              <w:jc w:val="lef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Direktorius</w:t>
            </w:r>
            <w:proofErr w:type="spellEnd"/>
            <w:r>
              <w:rPr>
                <w:rFonts w:ascii="Times New Roman" w:hAnsi="Times New Roman"/>
                <w:bCs/>
                <w:color w:val="000000" w:themeColor="text1"/>
                <w:sz w:val="24"/>
                <w:szCs w:val="24"/>
              </w:rPr>
              <w:t xml:space="preserve"> Marius Mikalauskas</w:t>
            </w:r>
          </w:p>
          <w:p w14:paraId="6CC0AFFC" w14:textId="77777777" w:rsidR="00316CC9" w:rsidRPr="001B67F1" w:rsidRDefault="00316CC9" w:rsidP="00B74ECF">
            <w:pPr>
              <w:pStyle w:val="Pagrindinistekstas3"/>
              <w:ind w:firstLine="0"/>
              <w:jc w:val="lef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372C5840" w14:textId="77777777" w:rsidR="00316CC9" w:rsidRPr="00587AEE" w:rsidRDefault="00316CC9" w:rsidP="00B74EC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bl>
    <w:p w14:paraId="7A738F4E" w14:textId="77777777" w:rsidR="00316CC9" w:rsidRDefault="00316CC9" w:rsidP="00316CC9">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A.V.                                                                  A.V.</w:t>
      </w: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5D9762D5" w14:textId="77777777" w:rsidR="00316CC9" w:rsidRDefault="00316CC9" w:rsidP="0055263D">
      <w:pPr>
        <w:rPr>
          <w:rFonts w:ascii="Times New Roman" w:hAnsi="Times New Roman"/>
          <w:color w:val="000000"/>
          <w:sz w:val="24"/>
          <w:szCs w:val="24"/>
        </w:rPr>
      </w:pPr>
    </w:p>
    <w:p w14:paraId="0113E7BF" w14:textId="77777777" w:rsidR="00316CC9" w:rsidRDefault="00316CC9" w:rsidP="0055263D">
      <w:pPr>
        <w:rPr>
          <w:rFonts w:ascii="Times New Roman" w:hAnsi="Times New Roman"/>
          <w:color w:val="000000"/>
          <w:sz w:val="24"/>
          <w:szCs w:val="24"/>
        </w:rPr>
      </w:pPr>
    </w:p>
    <w:p w14:paraId="7EE134F2" w14:textId="77777777" w:rsidR="00316CC9" w:rsidRDefault="00316CC9" w:rsidP="0055263D">
      <w:pPr>
        <w:rPr>
          <w:rFonts w:ascii="Times New Roman" w:hAnsi="Times New Roman"/>
          <w:color w:val="000000"/>
          <w:sz w:val="24"/>
          <w:szCs w:val="24"/>
        </w:rPr>
      </w:pPr>
    </w:p>
    <w:p w14:paraId="7A0B5B3A" w14:textId="77777777" w:rsidR="00316CC9" w:rsidRDefault="00316CC9" w:rsidP="0055263D">
      <w:pPr>
        <w:rPr>
          <w:rFonts w:ascii="Times New Roman" w:hAnsi="Times New Roman"/>
          <w:color w:val="000000"/>
          <w:sz w:val="24"/>
          <w:szCs w:val="24"/>
        </w:rPr>
      </w:pPr>
    </w:p>
    <w:p w14:paraId="38235DC1" w14:textId="77777777" w:rsidR="00316CC9" w:rsidRDefault="00316CC9"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598F410A" w14:textId="77777777" w:rsidR="00316CC9" w:rsidRPr="00EA5D65" w:rsidRDefault="00316CC9" w:rsidP="00316CC9">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lapkričio 24</w:t>
      </w:r>
      <w:r w:rsidRPr="00EA5D65">
        <w:rPr>
          <w:rFonts w:ascii="Times New Roman" w:hAnsi="Times New Roman"/>
          <w:color w:val="000000"/>
          <w:sz w:val="24"/>
          <w:szCs w:val="24"/>
          <w:lang w:eastAsia="lt-LT"/>
        </w:rPr>
        <w:t xml:space="preserve"> d. viešojo pirkimo–pardavimo </w:t>
      </w:r>
    </w:p>
    <w:p w14:paraId="67BEF62C" w14:textId="77777777" w:rsidR="00316CC9" w:rsidRPr="00EA5D65" w:rsidRDefault="00316CC9" w:rsidP="00316CC9">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520</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tbl>
      <w:tblPr>
        <w:tblW w:w="5156" w:type="pct"/>
        <w:tblInd w:w="-292" w:type="dxa"/>
        <w:tblLook w:val="04A0" w:firstRow="1" w:lastRow="0" w:firstColumn="1" w:lastColumn="0" w:noHBand="0" w:noVBand="1"/>
      </w:tblPr>
      <w:tblGrid>
        <w:gridCol w:w="860"/>
        <w:gridCol w:w="2401"/>
        <w:gridCol w:w="3403"/>
        <w:gridCol w:w="3258"/>
      </w:tblGrid>
      <w:tr w:rsidR="00316CC9" w:rsidRPr="00753D89" w14:paraId="55E30CC6" w14:textId="7385B2EC" w:rsidTr="00316CC9">
        <w:tc>
          <w:tcPr>
            <w:tcW w:w="43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38B22" w14:textId="77777777" w:rsidR="00316CC9" w:rsidRPr="00E91379" w:rsidRDefault="00316CC9" w:rsidP="00843FA9">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Pirkimo objekto dalies Nr.</w:t>
            </w:r>
          </w:p>
        </w:tc>
        <w:tc>
          <w:tcPr>
            <w:tcW w:w="12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D6234" w14:textId="77777777" w:rsidR="00316CC9" w:rsidRPr="00E91379" w:rsidRDefault="00316CC9" w:rsidP="00843FA9">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Pavadinimas</w:t>
            </w:r>
          </w:p>
        </w:tc>
        <w:tc>
          <w:tcPr>
            <w:tcW w:w="17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F31115" w14:textId="68B813D7" w:rsidR="00316CC9" w:rsidRPr="00753D89" w:rsidRDefault="00316CC9" w:rsidP="00843FA9">
            <w:pPr>
              <w:spacing w:after="0" w:line="240" w:lineRule="auto"/>
              <w:jc w:val="center"/>
              <w:rPr>
                <w:rFonts w:ascii="Times New Roman" w:eastAsia="Times New Roman" w:hAnsi="Times New Roman"/>
                <w:b/>
                <w:bCs/>
                <w:lang w:eastAsia="lt-LT"/>
              </w:rPr>
            </w:pPr>
            <w:r>
              <w:rPr>
                <w:rFonts w:ascii="Times New Roman" w:hAnsi="Times New Roman"/>
                <w:b/>
              </w:rPr>
              <w:t>Reikalauta t</w:t>
            </w:r>
            <w:r w:rsidRPr="00E91379">
              <w:rPr>
                <w:rFonts w:ascii="Times New Roman" w:hAnsi="Times New Roman"/>
                <w:b/>
              </w:rPr>
              <w:t>echninio parametro reikšmė</w:t>
            </w:r>
          </w:p>
        </w:tc>
        <w:tc>
          <w:tcPr>
            <w:tcW w:w="1642" w:type="pct"/>
            <w:tcBorders>
              <w:top w:val="single" w:sz="6" w:space="0" w:color="000000"/>
              <w:left w:val="single" w:sz="6" w:space="0" w:color="000000"/>
              <w:bottom w:val="single" w:sz="6" w:space="0" w:color="000000"/>
              <w:right w:val="single" w:sz="6" w:space="0" w:color="000000"/>
            </w:tcBorders>
          </w:tcPr>
          <w:p w14:paraId="6B2E0A55" w14:textId="00073F25" w:rsidR="00316CC9" w:rsidRPr="00E91379" w:rsidRDefault="00316CC9" w:rsidP="00843FA9">
            <w:pPr>
              <w:spacing w:after="0" w:line="240" w:lineRule="auto"/>
              <w:jc w:val="center"/>
              <w:rPr>
                <w:rFonts w:ascii="Times New Roman" w:hAnsi="Times New Roman"/>
                <w:b/>
              </w:rPr>
            </w:pPr>
            <w:r>
              <w:rPr>
                <w:rFonts w:ascii="Times New Roman" w:hAnsi="Times New Roman"/>
                <w:b/>
              </w:rPr>
              <w:t>Pasiūlyta techninio parametro reikšmė</w:t>
            </w:r>
          </w:p>
        </w:tc>
      </w:tr>
      <w:tr w:rsidR="00316CC9" w:rsidRPr="00753D89" w14:paraId="1E9DB825" w14:textId="604F4FCB" w:rsidTr="00316CC9">
        <w:trPr>
          <w:trHeight w:val="1707"/>
        </w:trPr>
        <w:tc>
          <w:tcPr>
            <w:tcW w:w="43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6DDFF9" w14:textId="77777777" w:rsidR="00316CC9" w:rsidRPr="00753D89" w:rsidRDefault="00316CC9" w:rsidP="00316CC9">
            <w:pPr>
              <w:spacing w:after="0" w:line="240" w:lineRule="auto"/>
              <w:jc w:val="center"/>
              <w:rPr>
                <w:rFonts w:ascii="Times New Roman" w:eastAsia="Times New Roman" w:hAnsi="Times New Roman"/>
                <w:lang w:eastAsia="lt-LT"/>
              </w:rPr>
            </w:pPr>
            <w:r w:rsidRPr="00753D89">
              <w:rPr>
                <w:rFonts w:ascii="Times New Roman" w:eastAsia="Times New Roman" w:hAnsi="Times New Roman"/>
                <w:lang w:eastAsia="lt-LT"/>
              </w:rPr>
              <w:t>16.</w:t>
            </w:r>
          </w:p>
        </w:tc>
        <w:tc>
          <w:tcPr>
            <w:tcW w:w="12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18F27C" w14:textId="77777777" w:rsidR="00316CC9" w:rsidRDefault="00316CC9" w:rsidP="00316CC9">
            <w:pPr>
              <w:spacing w:after="0" w:line="240" w:lineRule="auto"/>
              <w:rPr>
                <w:rFonts w:ascii="Times New Roman" w:eastAsia="Times New Roman" w:hAnsi="Times New Roman"/>
                <w:lang w:eastAsia="lt-LT"/>
              </w:rPr>
            </w:pPr>
            <w:r w:rsidRPr="00753D89">
              <w:rPr>
                <w:rFonts w:ascii="Times New Roman" w:eastAsia="Times New Roman" w:hAnsi="Times New Roman"/>
                <w:lang w:eastAsia="lt-LT"/>
              </w:rPr>
              <w:t xml:space="preserve">Aliumininis išorinis </w:t>
            </w:r>
            <w:proofErr w:type="spellStart"/>
            <w:r w:rsidRPr="00753D89">
              <w:rPr>
                <w:rFonts w:ascii="Times New Roman" w:eastAsia="Times New Roman" w:hAnsi="Times New Roman"/>
                <w:lang w:eastAsia="lt-LT"/>
              </w:rPr>
              <w:t>splintas</w:t>
            </w:r>
            <w:proofErr w:type="spellEnd"/>
          </w:p>
          <w:p w14:paraId="5A268A9A" w14:textId="77777777" w:rsidR="00316CC9" w:rsidRDefault="00316CC9" w:rsidP="00316CC9">
            <w:pPr>
              <w:spacing w:after="0" w:line="240" w:lineRule="auto"/>
              <w:rPr>
                <w:rFonts w:ascii="Times New Roman" w:eastAsia="Times New Roman" w:hAnsi="Times New Roman"/>
                <w:lang w:eastAsia="lt-LT"/>
              </w:rPr>
            </w:pPr>
          </w:p>
          <w:p w14:paraId="4C361757" w14:textId="51C5CA94" w:rsidR="00316CC9" w:rsidRPr="00753D89" w:rsidRDefault="00316CC9" w:rsidP="00316CC9">
            <w:pPr>
              <w:spacing w:after="0" w:line="240" w:lineRule="auto"/>
              <w:rPr>
                <w:rFonts w:ascii="Times New Roman" w:eastAsia="Times New Roman" w:hAnsi="Times New Roman"/>
                <w:lang w:eastAsia="lt-LT"/>
              </w:rPr>
            </w:pPr>
            <w:r w:rsidRPr="00316CC9">
              <w:rPr>
                <w:rFonts w:ascii="Times New Roman" w:eastAsia="Times New Roman" w:hAnsi="Times New Roman"/>
                <w:lang w:eastAsia="lt-LT"/>
              </w:rPr>
              <w:t xml:space="preserve">Kodas: E6149S, Gamintojas : EON </w:t>
            </w:r>
            <w:proofErr w:type="spellStart"/>
            <w:r>
              <w:rPr>
                <w:rFonts w:ascii="Times New Roman" w:eastAsia="Times New Roman" w:hAnsi="Times New Roman"/>
                <w:lang w:eastAsia="lt-LT"/>
              </w:rPr>
              <w:t>M</w:t>
            </w:r>
            <w:r w:rsidRPr="00316CC9">
              <w:rPr>
                <w:rFonts w:ascii="Times New Roman" w:eastAsia="Times New Roman" w:hAnsi="Times New Roman"/>
                <w:lang w:eastAsia="lt-LT"/>
              </w:rPr>
              <w:t>editech</w:t>
            </w:r>
            <w:proofErr w:type="spellEnd"/>
            <w:r>
              <w:rPr>
                <w:rFonts w:ascii="Times New Roman" w:eastAsia="Times New Roman" w:hAnsi="Times New Roman"/>
                <w:lang w:eastAsia="lt-LT"/>
              </w:rPr>
              <w:t>, Indija</w:t>
            </w:r>
          </w:p>
        </w:tc>
        <w:tc>
          <w:tcPr>
            <w:tcW w:w="17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5E2AF8"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Storis : ≤ 2 mm. </w:t>
            </w:r>
          </w:p>
          <w:p w14:paraId="3CA35B10"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Dydis :  30 x 45 mm. (</w:t>
            </w:r>
            <w:r w:rsidRPr="00753D89">
              <w:rPr>
                <w:rFonts w:ascii="Times New Roman" w:hAnsi="Times New Roman"/>
                <w:color w:val="000000" w:themeColor="text1"/>
                <w:lang w:eastAsia="lt-LT"/>
              </w:rPr>
              <w:t>±2mm).</w:t>
            </w:r>
          </w:p>
          <w:p w14:paraId="61E94F06" w14:textId="77777777" w:rsidR="00316CC9" w:rsidRPr="00753D89" w:rsidRDefault="00316CC9" w:rsidP="00316CC9">
            <w:pPr>
              <w:pStyle w:val="Sraopastraipa"/>
              <w:numPr>
                <w:ilvl w:val="0"/>
                <w:numId w:val="35"/>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Medžiaga silikonas dengtas aliuminiu.</w:t>
            </w:r>
          </w:p>
          <w:p w14:paraId="4E898DB1" w14:textId="77777777" w:rsidR="00316CC9" w:rsidRPr="00753D89" w:rsidRDefault="00316CC9" w:rsidP="00316CC9">
            <w:pPr>
              <w:pStyle w:val="Sraopastraipa"/>
              <w:numPr>
                <w:ilvl w:val="0"/>
                <w:numId w:val="35"/>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Sterilus. </w:t>
            </w:r>
          </w:p>
          <w:p w14:paraId="0E0DAA74" w14:textId="77777777" w:rsidR="00316CC9" w:rsidRPr="00753D89" w:rsidRDefault="00316CC9" w:rsidP="00316CC9">
            <w:pPr>
              <w:pStyle w:val="Sraopastraipa"/>
              <w:numPr>
                <w:ilvl w:val="0"/>
                <w:numId w:val="35"/>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Vienkartinis. </w:t>
            </w:r>
          </w:p>
          <w:p w14:paraId="3D50CDE0" w14:textId="77777777" w:rsidR="00316CC9" w:rsidRPr="00753D89" w:rsidRDefault="00316CC9" w:rsidP="00316CC9">
            <w:pPr>
              <w:pStyle w:val="Sraopastraipa"/>
              <w:numPr>
                <w:ilvl w:val="0"/>
                <w:numId w:val="35"/>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Lengvai formuojamas.</w:t>
            </w:r>
          </w:p>
          <w:p w14:paraId="5FF6EAE2" w14:textId="77777777" w:rsidR="00316CC9" w:rsidRPr="00753D89" w:rsidRDefault="00316CC9" w:rsidP="00316CC9">
            <w:pPr>
              <w:pStyle w:val="Sraopastraipa"/>
              <w:numPr>
                <w:ilvl w:val="0"/>
                <w:numId w:val="35"/>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Pakuotėje 1vnt.</w:t>
            </w:r>
          </w:p>
        </w:tc>
        <w:tc>
          <w:tcPr>
            <w:tcW w:w="1642" w:type="pct"/>
            <w:tcBorders>
              <w:top w:val="single" w:sz="6" w:space="0" w:color="000000"/>
              <w:left w:val="single" w:sz="6" w:space="0" w:color="000000"/>
              <w:bottom w:val="single" w:sz="6" w:space="0" w:color="000000"/>
              <w:right w:val="single" w:sz="6" w:space="0" w:color="000000"/>
            </w:tcBorders>
          </w:tcPr>
          <w:p w14:paraId="6FD3C779" w14:textId="3DD2BBFF" w:rsidR="00316CC9" w:rsidRDefault="00316CC9" w:rsidP="00316CC9">
            <w:pPr>
              <w:pStyle w:val="Sraopastraipa"/>
              <w:numPr>
                <w:ilvl w:val="0"/>
                <w:numId w:val="39"/>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 xml:space="preserve">Storis : 2 mm. </w:t>
            </w:r>
          </w:p>
          <w:p w14:paraId="1606146D" w14:textId="66A52242" w:rsidR="00316CC9" w:rsidRPr="00316CC9" w:rsidRDefault="00316CC9" w:rsidP="00316CC9">
            <w:pPr>
              <w:pStyle w:val="Sraopastraipa"/>
              <w:numPr>
                <w:ilvl w:val="0"/>
                <w:numId w:val="39"/>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Dydis :  30 x 45 mm</w:t>
            </w:r>
            <w:r w:rsidRPr="00316CC9">
              <w:rPr>
                <w:rFonts w:ascii="Times New Roman" w:hAnsi="Times New Roman"/>
                <w:color w:val="000000" w:themeColor="text1"/>
                <w:lang w:eastAsia="lt-LT"/>
              </w:rPr>
              <w:t>.</w:t>
            </w:r>
          </w:p>
          <w:p w14:paraId="024A564C" w14:textId="77777777" w:rsidR="00316CC9" w:rsidRPr="00753D89" w:rsidRDefault="00316CC9" w:rsidP="00316CC9">
            <w:pPr>
              <w:pStyle w:val="Sraopastraipa"/>
              <w:numPr>
                <w:ilvl w:val="0"/>
                <w:numId w:val="39"/>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Medžiaga silikonas dengtas aliuminiu.</w:t>
            </w:r>
          </w:p>
          <w:p w14:paraId="78DD4AAB" w14:textId="77777777" w:rsidR="00316CC9" w:rsidRPr="00753D89" w:rsidRDefault="00316CC9" w:rsidP="00316CC9">
            <w:pPr>
              <w:pStyle w:val="Sraopastraipa"/>
              <w:numPr>
                <w:ilvl w:val="0"/>
                <w:numId w:val="39"/>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Sterilus. </w:t>
            </w:r>
          </w:p>
          <w:p w14:paraId="5C8670A4" w14:textId="77777777" w:rsidR="00316CC9" w:rsidRPr="00753D89" w:rsidRDefault="00316CC9" w:rsidP="00316CC9">
            <w:pPr>
              <w:pStyle w:val="Sraopastraipa"/>
              <w:numPr>
                <w:ilvl w:val="0"/>
                <w:numId w:val="39"/>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Vienkartinis. </w:t>
            </w:r>
          </w:p>
          <w:p w14:paraId="4CE38D9D" w14:textId="77777777" w:rsidR="00316CC9" w:rsidRDefault="00316CC9" w:rsidP="00316CC9">
            <w:pPr>
              <w:pStyle w:val="Sraopastraipa"/>
              <w:numPr>
                <w:ilvl w:val="0"/>
                <w:numId w:val="39"/>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Lengvai formuojamas.</w:t>
            </w:r>
          </w:p>
          <w:p w14:paraId="5DB514C2" w14:textId="2AB71669" w:rsidR="00316CC9" w:rsidRPr="00316CC9" w:rsidRDefault="00316CC9" w:rsidP="00316CC9">
            <w:pPr>
              <w:pStyle w:val="Sraopastraipa"/>
              <w:numPr>
                <w:ilvl w:val="0"/>
                <w:numId w:val="39"/>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Pakuotėje 1vnt.</w:t>
            </w:r>
          </w:p>
        </w:tc>
      </w:tr>
      <w:tr w:rsidR="00316CC9" w:rsidRPr="00753D89" w14:paraId="32285412" w14:textId="06EA338B" w:rsidTr="00316CC9">
        <w:trPr>
          <w:trHeight w:val="1787"/>
        </w:trPr>
        <w:tc>
          <w:tcPr>
            <w:tcW w:w="43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AE2754" w14:textId="77777777" w:rsidR="00316CC9" w:rsidRPr="00753D89" w:rsidRDefault="00316CC9" w:rsidP="00316CC9">
            <w:pPr>
              <w:spacing w:after="0" w:line="240" w:lineRule="auto"/>
              <w:jc w:val="center"/>
              <w:rPr>
                <w:rFonts w:ascii="Times New Roman" w:eastAsia="Times New Roman" w:hAnsi="Times New Roman"/>
                <w:lang w:eastAsia="lt-LT"/>
              </w:rPr>
            </w:pPr>
            <w:r w:rsidRPr="00753D89">
              <w:rPr>
                <w:rFonts w:ascii="Times New Roman" w:eastAsia="Times New Roman" w:hAnsi="Times New Roman"/>
                <w:lang w:eastAsia="lt-LT"/>
              </w:rPr>
              <w:t>17.</w:t>
            </w:r>
          </w:p>
        </w:tc>
        <w:tc>
          <w:tcPr>
            <w:tcW w:w="12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6AAB3" w14:textId="77777777" w:rsidR="00316CC9" w:rsidRDefault="00316CC9" w:rsidP="00316CC9">
            <w:pPr>
              <w:spacing w:after="0"/>
              <w:rPr>
                <w:rFonts w:ascii="Times New Roman" w:eastAsia="Times New Roman" w:hAnsi="Times New Roman"/>
                <w:lang w:eastAsia="lt-LT"/>
              </w:rPr>
            </w:pPr>
            <w:r w:rsidRPr="00753D89">
              <w:rPr>
                <w:rFonts w:ascii="Times New Roman" w:eastAsia="Times New Roman" w:hAnsi="Times New Roman"/>
                <w:lang w:eastAsia="lt-LT"/>
              </w:rPr>
              <w:t xml:space="preserve">Vidinis nosies </w:t>
            </w:r>
            <w:proofErr w:type="spellStart"/>
            <w:r w:rsidRPr="00753D89">
              <w:rPr>
                <w:rFonts w:ascii="Times New Roman" w:eastAsia="Times New Roman" w:hAnsi="Times New Roman"/>
                <w:lang w:eastAsia="lt-LT"/>
              </w:rPr>
              <w:t>splintas</w:t>
            </w:r>
            <w:proofErr w:type="spellEnd"/>
            <w:r w:rsidRPr="00753D89">
              <w:rPr>
                <w:rFonts w:ascii="Times New Roman" w:eastAsia="Times New Roman" w:hAnsi="Times New Roman"/>
                <w:lang w:eastAsia="lt-LT"/>
              </w:rPr>
              <w:t xml:space="preserve"> su vamzdeliu</w:t>
            </w:r>
          </w:p>
          <w:p w14:paraId="5A400009" w14:textId="622F4166" w:rsidR="00316CC9" w:rsidRDefault="00316CC9" w:rsidP="00316CC9">
            <w:pPr>
              <w:spacing w:after="0"/>
              <w:rPr>
                <w:rFonts w:ascii="Times New Roman" w:eastAsia="Times New Roman" w:hAnsi="Times New Roman"/>
                <w:lang w:eastAsia="lt-LT"/>
              </w:rPr>
            </w:pPr>
            <w:r w:rsidRPr="00316CC9">
              <w:rPr>
                <w:rFonts w:ascii="Times New Roman" w:eastAsia="Times New Roman" w:hAnsi="Times New Roman"/>
                <w:lang w:eastAsia="lt-LT"/>
              </w:rPr>
              <w:t xml:space="preserve">Kodas: E3147S. Gamintojas: EON </w:t>
            </w:r>
            <w:proofErr w:type="spellStart"/>
            <w:r>
              <w:rPr>
                <w:rFonts w:ascii="Times New Roman" w:eastAsia="Times New Roman" w:hAnsi="Times New Roman"/>
                <w:lang w:eastAsia="lt-LT"/>
              </w:rPr>
              <w:t>M</w:t>
            </w:r>
            <w:r w:rsidRPr="00316CC9">
              <w:rPr>
                <w:rFonts w:ascii="Times New Roman" w:eastAsia="Times New Roman" w:hAnsi="Times New Roman"/>
                <w:lang w:eastAsia="lt-LT"/>
              </w:rPr>
              <w:t>editech</w:t>
            </w:r>
            <w:proofErr w:type="spellEnd"/>
            <w:r>
              <w:rPr>
                <w:rFonts w:ascii="Times New Roman" w:eastAsia="Times New Roman" w:hAnsi="Times New Roman"/>
                <w:lang w:eastAsia="lt-LT"/>
              </w:rPr>
              <w:t>, Indija</w:t>
            </w:r>
          </w:p>
          <w:p w14:paraId="27469A4A" w14:textId="77777777" w:rsidR="00316CC9" w:rsidRDefault="00316CC9" w:rsidP="00316CC9">
            <w:pPr>
              <w:spacing w:after="0"/>
              <w:rPr>
                <w:rFonts w:ascii="Times New Roman" w:eastAsia="Times New Roman" w:hAnsi="Times New Roman"/>
                <w:lang w:eastAsia="lt-LT"/>
              </w:rPr>
            </w:pPr>
          </w:p>
          <w:p w14:paraId="6701A070" w14:textId="77777777" w:rsidR="00316CC9" w:rsidRPr="00753D89" w:rsidRDefault="00316CC9" w:rsidP="00316CC9">
            <w:pPr>
              <w:spacing w:after="0"/>
              <w:rPr>
                <w:rFonts w:ascii="Times New Roman" w:eastAsia="Times New Roman" w:hAnsi="Times New Roman"/>
                <w:lang w:eastAsia="lt-LT"/>
              </w:rPr>
            </w:pPr>
          </w:p>
        </w:tc>
        <w:tc>
          <w:tcPr>
            <w:tcW w:w="17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90FD12"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Storis : ≤ 0.3 mm</w:t>
            </w:r>
          </w:p>
          <w:p w14:paraId="11499706"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Dydis : 26x 42 mm ( </w:t>
            </w:r>
            <w:r w:rsidRPr="00753D89">
              <w:rPr>
                <w:rFonts w:ascii="Times New Roman" w:hAnsi="Times New Roman"/>
                <w:color w:val="000000" w:themeColor="text1"/>
                <w:lang w:eastAsia="lt-LT"/>
              </w:rPr>
              <w:t>±2mm).</w:t>
            </w:r>
          </w:p>
          <w:p w14:paraId="4F3381D8"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Medžiaga silikonas.</w:t>
            </w:r>
          </w:p>
          <w:p w14:paraId="06090BF2"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Su vamzdeliu orui. </w:t>
            </w:r>
          </w:p>
          <w:p w14:paraId="241BF98A"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Sterilus. </w:t>
            </w:r>
          </w:p>
          <w:p w14:paraId="6040E691"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Vienkartinis.</w:t>
            </w:r>
          </w:p>
          <w:p w14:paraId="34DA34CC" w14:textId="77777777" w:rsidR="00316CC9" w:rsidRPr="00753D89" w:rsidRDefault="00316CC9" w:rsidP="00316CC9">
            <w:pPr>
              <w:pStyle w:val="Sraopastraipa"/>
              <w:numPr>
                <w:ilvl w:val="0"/>
                <w:numId w:val="36"/>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Pakuotėje 2 vnt.</w:t>
            </w:r>
          </w:p>
        </w:tc>
        <w:tc>
          <w:tcPr>
            <w:tcW w:w="1642" w:type="pct"/>
            <w:tcBorders>
              <w:top w:val="single" w:sz="6" w:space="0" w:color="000000"/>
              <w:left w:val="single" w:sz="6" w:space="0" w:color="000000"/>
              <w:bottom w:val="single" w:sz="6" w:space="0" w:color="000000"/>
              <w:right w:val="single" w:sz="6" w:space="0" w:color="000000"/>
            </w:tcBorders>
          </w:tcPr>
          <w:p w14:paraId="4A20E6E0" w14:textId="353B1C33" w:rsidR="00316CC9" w:rsidRDefault="00316CC9" w:rsidP="00316CC9">
            <w:pPr>
              <w:pStyle w:val="Sraopastraipa"/>
              <w:numPr>
                <w:ilvl w:val="0"/>
                <w:numId w:val="40"/>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Storis : 0.3 mm</w:t>
            </w:r>
          </w:p>
          <w:p w14:paraId="5CB1BCB3" w14:textId="420B8430" w:rsidR="00316CC9" w:rsidRPr="00316CC9" w:rsidRDefault="00316CC9" w:rsidP="00316CC9">
            <w:pPr>
              <w:pStyle w:val="Sraopastraipa"/>
              <w:numPr>
                <w:ilvl w:val="0"/>
                <w:numId w:val="40"/>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Dydis : 26x 42 mm</w:t>
            </w:r>
            <w:r w:rsidRPr="00316CC9">
              <w:rPr>
                <w:rFonts w:ascii="Times New Roman" w:hAnsi="Times New Roman"/>
                <w:color w:val="000000" w:themeColor="text1"/>
                <w:lang w:eastAsia="lt-LT"/>
              </w:rPr>
              <w:t>.</w:t>
            </w:r>
          </w:p>
          <w:p w14:paraId="29A10814" w14:textId="77777777" w:rsidR="00316CC9" w:rsidRPr="00753D89" w:rsidRDefault="00316CC9" w:rsidP="00316CC9">
            <w:pPr>
              <w:pStyle w:val="Sraopastraipa"/>
              <w:numPr>
                <w:ilvl w:val="0"/>
                <w:numId w:val="40"/>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Medžiaga silikonas.</w:t>
            </w:r>
          </w:p>
          <w:p w14:paraId="21BFB412" w14:textId="77777777" w:rsidR="00316CC9" w:rsidRPr="00753D89" w:rsidRDefault="00316CC9" w:rsidP="00316CC9">
            <w:pPr>
              <w:pStyle w:val="Sraopastraipa"/>
              <w:numPr>
                <w:ilvl w:val="0"/>
                <w:numId w:val="40"/>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Su vamzdeliu orui. </w:t>
            </w:r>
          </w:p>
          <w:p w14:paraId="526BD0FB" w14:textId="77777777" w:rsidR="00316CC9" w:rsidRPr="00753D89" w:rsidRDefault="00316CC9" w:rsidP="00316CC9">
            <w:pPr>
              <w:pStyle w:val="Sraopastraipa"/>
              <w:numPr>
                <w:ilvl w:val="0"/>
                <w:numId w:val="40"/>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Sterilus. </w:t>
            </w:r>
          </w:p>
          <w:p w14:paraId="4E4FCBB7" w14:textId="77777777" w:rsidR="00316CC9" w:rsidRDefault="00316CC9" w:rsidP="00316CC9">
            <w:pPr>
              <w:pStyle w:val="Sraopastraipa"/>
              <w:numPr>
                <w:ilvl w:val="0"/>
                <w:numId w:val="40"/>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Vienkartinis.</w:t>
            </w:r>
          </w:p>
          <w:p w14:paraId="61C7FF89" w14:textId="5E4D15F2" w:rsidR="00316CC9" w:rsidRPr="00316CC9" w:rsidRDefault="00316CC9" w:rsidP="00316CC9">
            <w:pPr>
              <w:pStyle w:val="Sraopastraipa"/>
              <w:numPr>
                <w:ilvl w:val="0"/>
                <w:numId w:val="40"/>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Pakuotėje 2 vnt.</w:t>
            </w:r>
          </w:p>
        </w:tc>
      </w:tr>
      <w:tr w:rsidR="00316CC9" w:rsidRPr="00753D89" w14:paraId="0903E8FF" w14:textId="50A312C5" w:rsidTr="00316CC9">
        <w:trPr>
          <w:trHeight w:val="228"/>
        </w:trPr>
        <w:tc>
          <w:tcPr>
            <w:tcW w:w="43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2E07D6" w14:textId="77777777" w:rsidR="00316CC9" w:rsidRPr="00753D89" w:rsidRDefault="00316CC9" w:rsidP="00316CC9">
            <w:pPr>
              <w:spacing w:after="0" w:line="240" w:lineRule="auto"/>
              <w:jc w:val="center"/>
              <w:rPr>
                <w:rFonts w:ascii="Times New Roman" w:eastAsia="Times New Roman" w:hAnsi="Times New Roman"/>
                <w:lang w:eastAsia="lt-LT"/>
              </w:rPr>
            </w:pPr>
            <w:r w:rsidRPr="00753D89">
              <w:rPr>
                <w:rFonts w:ascii="Times New Roman" w:eastAsia="Times New Roman" w:hAnsi="Times New Roman"/>
                <w:lang w:eastAsia="lt-LT"/>
              </w:rPr>
              <w:t>18.</w:t>
            </w:r>
          </w:p>
        </w:tc>
        <w:tc>
          <w:tcPr>
            <w:tcW w:w="12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EF79A8" w14:textId="77777777" w:rsidR="00316CC9" w:rsidRDefault="00316CC9" w:rsidP="00316CC9">
            <w:pPr>
              <w:spacing w:after="0" w:line="240" w:lineRule="auto"/>
              <w:rPr>
                <w:rFonts w:ascii="Times New Roman" w:eastAsia="Times New Roman" w:hAnsi="Times New Roman"/>
                <w:lang w:eastAsia="lt-LT"/>
              </w:rPr>
            </w:pPr>
            <w:proofErr w:type="spellStart"/>
            <w:r w:rsidRPr="00753D89">
              <w:rPr>
                <w:rFonts w:ascii="Times New Roman" w:eastAsia="Times New Roman" w:hAnsi="Times New Roman"/>
                <w:lang w:eastAsia="lt-LT"/>
              </w:rPr>
              <w:t>Termoplastinis</w:t>
            </w:r>
            <w:proofErr w:type="spellEnd"/>
            <w:r w:rsidRPr="00753D89">
              <w:rPr>
                <w:rFonts w:ascii="Times New Roman" w:eastAsia="Times New Roman" w:hAnsi="Times New Roman"/>
                <w:lang w:eastAsia="lt-LT"/>
              </w:rPr>
              <w:t xml:space="preserve"> išorinis </w:t>
            </w:r>
            <w:proofErr w:type="spellStart"/>
            <w:r w:rsidRPr="00753D89">
              <w:rPr>
                <w:rFonts w:ascii="Times New Roman" w:eastAsia="Times New Roman" w:hAnsi="Times New Roman"/>
                <w:lang w:eastAsia="lt-LT"/>
              </w:rPr>
              <w:t>splintas</w:t>
            </w:r>
            <w:proofErr w:type="spellEnd"/>
          </w:p>
          <w:p w14:paraId="09A4FA73" w14:textId="77777777" w:rsidR="00316CC9" w:rsidRDefault="00316CC9" w:rsidP="00316CC9">
            <w:pPr>
              <w:spacing w:after="0" w:line="240" w:lineRule="auto"/>
              <w:rPr>
                <w:rFonts w:ascii="Times New Roman" w:eastAsia="Times New Roman" w:hAnsi="Times New Roman"/>
                <w:lang w:eastAsia="lt-LT"/>
              </w:rPr>
            </w:pPr>
          </w:p>
          <w:p w14:paraId="4943268A" w14:textId="5BDAB19E" w:rsidR="00316CC9" w:rsidRPr="00753D89" w:rsidRDefault="00316CC9" w:rsidP="00316CC9">
            <w:pPr>
              <w:spacing w:after="0" w:line="240" w:lineRule="auto"/>
              <w:rPr>
                <w:rFonts w:ascii="Times New Roman" w:eastAsia="Times New Roman" w:hAnsi="Times New Roman"/>
                <w:lang w:eastAsia="lt-LT"/>
              </w:rPr>
            </w:pPr>
            <w:r w:rsidRPr="00316CC9">
              <w:rPr>
                <w:rFonts w:ascii="Times New Roman" w:eastAsia="Times New Roman" w:hAnsi="Times New Roman"/>
              </w:rPr>
              <w:t xml:space="preserve">Kodas: E5150M, Gamintojas : EON </w:t>
            </w:r>
            <w:proofErr w:type="spellStart"/>
            <w:r>
              <w:rPr>
                <w:rFonts w:ascii="Times New Roman" w:eastAsia="Times New Roman" w:hAnsi="Times New Roman"/>
              </w:rPr>
              <w:t>M</w:t>
            </w:r>
            <w:r w:rsidRPr="00316CC9">
              <w:rPr>
                <w:rFonts w:ascii="Times New Roman" w:eastAsia="Times New Roman" w:hAnsi="Times New Roman"/>
              </w:rPr>
              <w:t>editech</w:t>
            </w:r>
            <w:proofErr w:type="spellEnd"/>
            <w:r>
              <w:rPr>
                <w:rFonts w:ascii="Times New Roman" w:eastAsia="Times New Roman" w:hAnsi="Times New Roman"/>
              </w:rPr>
              <w:t>, Indija</w:t>
            </w:r>
          </w:p>
          <w:p w14:paraId="4E1ADE7F" w14:textId="77777777" w:rsidR="00316CC9" w:rsidRPr="00753D89" w:rsidRDefault="00316CC9" w:rsidP="00316CC9">
            <w:pPr>
              <w:spacing w:after="0" w:line="240" w:lineRule="auto"/>
              <w:rPr>
                <w:rFonts w:ascii="Times New Roman" w:eastAsia="Times New Roman" w:hAnsi="Times New Roman"/>
                <w:lang w:eastAsia="lt-LT"/>
              </w:rPr>
            </w:pPr>
          </w:p>
        </w:tc>
        <w:tc>
          <w:tcPr>
            <w:tcW w:w="17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6C8F8B" w14:textId="35FE4F72" w:rsidR="00316CC9" w:rsidRPr="00316CC9" w:rsidRDefault="00316CC9" w:rsidP="00316CC9">
            <w:pPr>
              <w:pStyle w:val="Sraopastraipa"/>
              <w:numPr>
                <w:ilvl w:val="0"/>
                <w:numId w:val="38"/>
              </w:numPr>
              <w:spacing w:after="0" w:line="240" w:lineRule="auto"/>
              <w:ind w:left="360"/>
              <w:rPr>
                <w:rFonts w:ascii="Times New Roman" w:hAnsi="Times New Roman"/>
                <w:color w:val="000000" w:themeColor="text1"/>
              </w:rPr>
            </w:pPr>
            <w:r w:rsidRPr="00316CC9">
              <w:rPr>
                <w:rFonts w:ascii="Times New Roman" w:hAnsi="Times New Roman"/>
                <w:color w:val="000000" w:themeColor="text1"/>
              </w:rPr>
              <w:t>Storis : ≤ 2 mm.</w:t>
            </w:r>
          </w:p>
          <w:p w14:paraId="6CCBC00E"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Dydis : 30x 45 mm (</w:t>
            </w:r>
            <w:r w:rsidRPr="00753D89">
              <w:rPr>
                <w:rFonts w:ascii="Times New Roman" w:hAnsi="Times New Roman"/>
                <w:color w:val="000000" w:themeColor="text1"/>
                <w:lang w:eastAsia="lt-LT"/>
              </w:rPr>
              <w:t>±2mm).</w:t>
            </w:r>
          </w:p>
          <w:p w14:paraId="5F93BCF7"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Medžiaga plastikas.</w:t>
            </w:r>
          </w:p>
          <w:p w14:paraId="41C52E84"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Perforuotas.</w:t>
            </w:r>
          </w:p>
          <w:p w14:paraId="44964F2D"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Sterilus. </w:t>
            </w:r>
          </w:p>
          <w:p w14:paraId="5568474A"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 xml:space="preserve">Vienkartinis.                           </w:t>
            </w:r>
          </w:p>
          <w:p w14:paraId="1C83C8D6"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Lengvai formuojamas.</w:t>
            </w:r>
          </w:p>
          <w:p w14:paraId="06BC8340" w14:textId="77777777" w:rsidR="00316CC9" w:rsidRPr="00753D89" w:rsidRDefault="00316CC9" w:rsidP="00316CC9">
            <w:pPr>
              <w:pStyle w:val="Sraopastraipa"/>
              <w:numPr>
                <w:ilvl w:val="0"/>
                <w:numId w:val="37"/>
              </w:numPr>
              <w:spacing w:after="0" w:line="240" w:lineRule="auto"/>
              <w:ind w:left="360"/>
              <w:rPr>
                <w:rFonts w:ascii="Times New Roman" w:hAnsi="Times New Roman"/>
                <w:color w:val="000000" w:themeColor="text1"/>
              </w:rPr>
            </w:pPr>
            <w:r w:rsidRPr="00753D89">
              <w:rPr>
                <w:rFonts w:ascii="Times New Roman" w:hAnsi="Times New Roman"/>
                <w:color w:val="000000" w:themeColor="text1"/>
              </w:rPr>
              <w:t>Pakuotėje 1vnt.</w:t>
            </w:r>
          </w:p>
        </w:tc>
        <w:tc>
          <w:tcPr>
            <w:tcW w:w="1642" w:type="pct"/>
            <w:tcBorders>
              <w:top w:val="single" w:sz="6" w:space="0" w:color="000000"/>
              <w:left w:val="single" w:sz="6" w:space="0" w:color="000000"/>
              <w:bottom w:val="single" w:sz="6" w:space="0" w:color="000000"/>
              <w:right w:val="single" w:sz="6" w:space="0" w:color="000000"/>
            </w:tcBorders>
          </w:tcPr>
          <w:p w14:paraId="0C20708A" w14:textId="3FF0B5F4" w:rsidR="00316CC9" w:rsidRPr="00316CC9" w:rsidRDefault="00316CC9" w:rsidP="00316CC9">
            <w:pPr>
              <w:pStyle w:val="Sraopastraipa"/>
              <w:numPr>
                <w:ilvl w:val="0"/>
                <w:numId w:val="41"/>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Storis : 2 mm.</w:t>
            </w:r>
          </w:p>
          <w:p w14:paraId="538A155B" w14:textId="4FA861F4" w:rsidR="00316CC9" w:rsidRPr="00753D8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Dydis : 30x 45 mm</w:t>
            </w:r>
            <w:r w:rsidRPr="00753D89">
              <w:rPr>
                <w:rFonts w:ascii="Times New Roman" w:hAnsi="Times New Roman"/>
                <w:color w:val="000000" w:themeColor="text1"/>
                <w:lang w:eastAsia="lt-LT"/>
              </w:rPr>
              <w:t>.</w:t>
            </w:r>
          </w:p>
          <w:p w14:paraId="736218E0" w14:textId="77777777" w:rsidR="00316CC9" w:rsidRPr="00753D8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Medžiaga plastikas.</w:t>
            </w:r>
          </w:p>
          <w:p w14:paraId="15613AE5" w14:textId="77777777" w:rsidR="00316CC9" w:rsidRPr="00753D8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Perforuotas.</w:t>
            </w:r>
          </w:p>
          <w:p w14:paraId="4E1D1DDC" w14:textId="77777777" w:rsidR="00316CC9" w:rsidRPr="00753D8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Sterilus. </w:t>
            </w:r>
          </w:p>
          <w:p w14:paraId="4E0F6361" w14:textId="77777777" w:rsidR="00316CC9" w:rsidRPr="00753D8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 xml:space="preserve">Vienkartinis.                           </w:t>
            </w:r>
          </w:p>
          <w:p w14:paraId="346ED1EA" w14:textId="77777777" w:rsidR="00316CC9" w:rsidRDefault="00316CC9" w:rsidP="00316CC9">
            <w:pPr>
              <w:pStyle w:val="Sraopastraipa"/>
              <w:numPr>
                <w:ilvl w:val="0"/>
                <w:numId w:val="41"/>
              </w:numPr>
              <w:spacing w:after="0" w:line="240" w:lineRule="auto"/>
              <w:ind w:left="340"/>
              <w:rPr>
                <w:rFonts w:ascii="Times New Roman" w:hAnsi="Times New Roman"/>
                <w:color w:val="000000" w:themeColor="text1"/>
              </w:rPr>
            </w:pPr>
            <w:r w:rsidRPr="00753D89">
              <w:rPr>
                <w:rFonts w:ascii="Times New Roman" w:hAnsi="Times New Roman"/>
                <w:color w:val="000000" w:themeColor="text1"/>
              </w:rPr>
              <w:t>Lengvai formuojamas.</w:t>
            </w:r>
          </w:p>
          <w:p w14:paraId="1B13EDE7" w14:textId="4AEB0014" w:rsidR="00316CC9" w:rsidRPr="00316CC9" w:rsidRDefault="00316CC9" w:rsidP="00316CC9">
            <w:pPr>
              <w:pStyle w:val="Sraopastraipa"/>
              <w:numPr>
                <w:ilvl w:val="0"/>
                <w:numId w:val="41"/>
              </w:numPr>
              <w:spacing w:after="0" w:line="240" w:lineRule="auto"/>
              <w:ind w:left="340"/>
              <w:rPr>
                <w:rFonts w:ascii="Times New Roman" w:hAnsi="Times New Roman"/>
                <w:color w:val="000000" w:themeColor="text1"/>
              </w:rPr>
            </w:pPr>
            <w:r w:rsidRPr="00316CC9">
              <w:rPr>
                <w:rFonts w:ascii="Times New Roman" w:hAnsi="Times New Roman"/>
                <w:color w:val="000000" w:themeColor="text1"/>
              </w:rPr>
              <w:t>Pakuotėje 1vnt.</w:t>
            </w:r>
          </w:p>
        </w:tc>
      </w:tr>
    </w:tbl>
    <w:p w14:paraId="4E049F58" w14:textId="77777777" w:rsidR="009412B0" w:rsidRPr="009412B0" w:rsidRDefault="009412B0" w:rsidP="009412B0">
      <w:pPr>
        <w:rPr>
          <w:rFonts w:ascii="Times New Roman" w:hAnsi="Times New Roman"/>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316CC9" w:rsidRPr="00587AEE" w14:paraId="2422A6A0" w14:textId="77777777" w:rsidTr="00B74ECF">
        <w:tc>
          <w:tcPr>
            <w:tcW w:w="4927" w:type="dxa"/>
          </w:tcPr>
          <w:p w14:paraId="3AD21F69" w14:textId="77777777" w:rsidR="00316CC9" w:rsidRPr="00587AEE" w:rsidRDefault="00316CC9" w:rsidP="00B74ECF">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2A0BDCCE" w14:textId="77777777" w:rsidR="00316CC9" w:rsidRPr="00587AEE" w:rsidRDefault="00316CC9" w:rsidP="00B74ECF">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316CC9" w:rsidRPr="00587AEE" w14:paraId="47D8C040" w14:textId="77777777" w:rsidTr="00B74ECF">
        <w:tc>
          <w:tcPr>
            <w:tcW w:w="4927" w:type="dxa"/>
          </w:tcPr>
          <w:p w14:paraId="605F0F28"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39D552DD" w14:textId="77777777" w:rsidR="00316CC9" w:rsidRPr="00587AEE" w:rsidRDefault="00316CC9" w:rsidP="00B74ECF">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r>
              <w:rPr>
                <w:rFonts w:ascii="Times New Roman" w:hAnsi="Times New Roman"/>
                <w:color w:val="000000" w:themeColor="text1"/>
                <w:sz w:val="24"/>
                <w:szCs w:val="24"/>
              </w:rPr>
              <w:t xml:space="preserve"> </w:t>
            </w:r>
          </w:p>
        </w:tc>
      </w:tr>
      <w:tr w:rsidR="00316CC9" w:rsidRPr="00587AEE" w14:paraId="01646729" w14:textId="77777777" w:rsidTr="00B74ECF">
        <w:tc>
          <w:tcPr>
            <w:tcW w:w="4927" w:type="dxa"/>
          </w:tcPr>
          <w:p w14:paraId="61543A87" w14:textId="77777777" w:rsidR="00316CC9" w:rsidRDefault="00316CC9" w:rsidP="00B74ECF">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775640BB"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p>
          <w:p w14:paraId="42FE3128" w14:textId="77777777" w:rsidR="00316CC9" w:rsidRPr="00587AEE" w:rsidRDefault="00316CC9" w:rsidP="00B74ECF">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CB0A2AD" w14:textId="77777777" w:rsidR="00316CC9" w:rsidRDefault="00316CC9" w:rsidP="00B74ECF">
            <w:pPr>
              <w:pStyle w:val="Pagrindinistekstas3"/>
              <w:ind w:firstLine="0"/>
              <w:jc w:val="lef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Direktorius</w:t>
            </w:r>
            <w:proofErr w:type="spellEnd"/>
            <w:r>
              <w:rPr>
                <w:rFonts w:ascii="Times New Roman" w:hAnsi="Times New Roman"/>
                <w:bCs/>
                <w:color w:val="000000" w:themeColor="text1"/>
                <w:sz w:val="24"/>
                <w:szCs w:val="24"/>
              </w:rPr>
              <w:t xml:space="preserve"> Marius Mikalauskas</w:t>
            </w:r>
          </w:p>
          <w:p w14:paraId="0F5D83D8" w14:textId="77777777" w:rsidR="00316CC9" w:rsidRPr="001B67F1" w:rsidRDefault="00316CC9" w:rsidP="00B74ECF">
            <w:pPr>
              <w:pStyle w:val="Pagrindinistekstas3"/>
              <w:ind w:firstLine="0"/>
              <w:jc w:val="lef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1197A367" w14:textId="77777777" w:rsidR="00316CC9" w:rsidRPr="00587AEE" w:rsidRDefault="00316CC9" w:rsidP="00B74ECF">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bl>
    <w:p w14:paraId="03D640FA" w14:textId="77777777" w:rsidR="00316CC9" w:rsidRDefault="00316CC9" w:rsidP="00316CC9">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A.V.                                                                  A.V.</w:t>
      </w:r>
    </w:p>
    <w:p w14:paraId="2743A2C7" w14:textId="77777777" w:rsidR="009412B0" w:rsidRPr="009412B0" w:rsidRDefault="009412B0" w:rsidP="009412B0">
      <w:pPr>
        <w:rPr>
          <w:rFonts w:ascii="Times New Roman" w:hAnsi="Times New Roman"/>
          <w:color w:val="000000"/>
          <w:sz w:val="24"/>
          <w:szCs w:val="24"/>
        </w:rPr>
      </w:pPr>
    </w:p>
    <w:p w14:paraId="68C86B88" w14:textId="77777777" w:rsidR="009412B0" w:rsidRPr="009412B0" w:rsidRDefault="009412B0" w:rsidP="009412B0">
      <w:pPr>
        <w:rPr>
          <w:rFonts w:ascii="Times New Roman" w:hAnsi="Times New Roman"/>
          <w:color w:val="000000"/>
          <w:sz w:val="24"/>
          <w:szCs w:val="24"/>
        </w:rPr>
      </w:pPr>
    </w:p>
    <w:p w14:paraId="3B9EBEAA" w14:textId="5F11ACC1" w:rsidR="009412B0" w:rsidRDefault="009412B0" w:rsidP="0055263D">
      <w:pPr>
        <w:rPr>
          <w:rFonts w:ascii="Times New Roman" w:hAnsi="Times New Roman"/>
          <w:color w:val="000000"/>
          <w:sz w:val="24"/>
          <w:szCs w:val="24"/>
        </w:rPr>
        <w:sectPr w:rsidR="009412B0" w:rsidSect="00CC1C29">
          <w:footerReference w:type="default" r:id="rId11"/>
          <w:pgSz w:w="11906" w:h="16838"/>
          <w:pgMar w:top="1701" w:right="567" w:bottom="1134" w:left="1701" w:header="567" w:footer="567" w:gutter="0"/>
          <w:cols w:space="1296"/>
          <w:rtlGutter/>
          <w:docGrid w:linePitch="360"/>
        </w:sectPr>
      </w:pPr>
    </w:p>
    <w:p w14:paraId="6DBB03B3" w14:textId="3D3B3412" w:rsid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DC6D541" w14:textId="77777777" w:rsidR="00316CC9" w:rsidRPr="00EA5D65" w:rsidRDefault="00316CC9" w:rsidP="00316CC9">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lapkričio 24</w:t>
      </w:r>
      <w:r w:rsidRPr="00EA5D65">
        <w:rPr>
          <w:rFonts w:ascii="Times New Roman" w:hAnsi="Times New Roman"/>
          <w:color w:val="000000"/>
          <w:sz w:val="24"/>
          <w:szCs w:val="24"/>
          <w:lang w:eastAsia="lt-LT"/>
        </w:rPr>
        <w:t xml:space="preserve"> d. viešojo pirkimo–pardavimo </w:t>
      </w:r>
    </w:p>
    <w:p w14:paraId="0FEFF0D0" w14:textId="77777777" w:rsidR="00316CC9" w:rsidRPr="00EA5D65" w:rsidRDefault="00316CC9" w:rsidP="00316CC9">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520</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4EE8BF51" w14:textId="77777777" w:rsidR="00316CC9" w:rsidRPr="00C3077A" w:rsidRDefault="00316CC9" w:rsidP="00C3077A">
      <w:pPr>
        <w:spacing w:after="0" w:line="240" w:lineRule="auto"/>
        <w:jc w:val="right"/>
        <w:rPr>
          <w:rFonts w:ascii="Times New Roman" w:hAnsi="Times New Roman"/>
          <w:color w:val="000000"/>
          <w:sz w:val="24"/>
          <w:szCs w:val="24"/>
          <w:lang w:eastAsia="lt-LT"/>
        </w:rPr>
      </w:pP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sectPr w:rsidR="00C3077A"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19A7" w14:textId="77777777" w:rsidR="00C376F6" w:rsidRDefault="00C376F6" w:rsidP="00934033">
      <w:pPr>
        <w:spacing w:after="0" w:line="240" w:lineRule="auto"/>
      </w:pPr>
      <w:r>
        <w:separator/>
      </w:r>
    </w:p>
  </w:endnote>
  <w:endnote w:type="continuationSeparator" w:id="0">
    <w:p w14:paraId="17F09EB7" w14:textId="77777777" w:rsidR="00C376F6" w:rsidRDefault="00C376F6"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6986" w14:textId="77777777" w:rsidR="00C376F6" w:rsidRDefault="00C376F6" w:rsidP="00934033">
      <w:pPr>
        <w:spacing w:after="0" w:line="240" w:lineRule="auto"/>
      </w:pPr>
      <w:r>
        <w:separator/>
      </w:r>
    </w:p>
  </w:footnote>
  <w:footnote w:type="continuationSeparator" w:id="0">
    <w:p w14:paraId="0A16CE9C" w14:textId="77777777" w:rsidR="00C376F6" w:rsidRDefault="00C376F6"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BE40DA7"/>
    <w:multiLevelType w:val="hybridMultilevel"/>
    <w:tmpl w:val="F536E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0"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85D6E6F"/>
    <w:multiLevelType w:val="hybridMultilevel"/>
    <w:tmpl w:val="597439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A044916"/>
    <w:multiLevelType w:val="hybridMultilevel"/>
    <w:tmpl w:val="CBAAB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64606D"/>
    <w:multiLevelType w:val="hybridMultilevel"/>
    <w:tmpl w:val="836C5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5108736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88703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56235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5642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181975">
    <w:abstractNumId w:val="19"/>
  </w:num>
  <w:num w:numId="6" w16cid:durableId="1587885735">
    <w:abstractNumId w:val="21"/>
  </w:num>
  <w:num w:numId="7" w16cid:durableId="883253508">
    <w:abstractNumId w:val="8"/>
  </w:num>
  <w:num w:numId="8" w16cid:durableId="631982032">
    <w:abstractNumId w:val="38"/>
  </w:num>
  <w:num w:numId="9" w16cid:durableId="1988892634">
    <w:abstractNumId w:val="16"/>
  </w:num>
  <w:num w:numId="10" w16cid:durableId="1555311819">
    <w:abstractNumId w:val="30"/>
  </w:num>
  <w:num w:numId="11" w16cid:durableId="528644710">
    <w:abstractNumId w:val="22"/>
  </w:num>
  <w:num w:numId="12" w16cid:durableId="948203340">
    <w:abstractNumId w:val="18"/>
  </w:num>
  <w:num w:numId="13" w16cid:durableId="1206025029">
    <w:abstractNumId w:val="32"/>
  </w:num>
  <w:num w:numId="14" w16cid:durableId="160445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66763">
    <w:abstractNumId w:val="17"/>
  </w:num>
  <w:num w:numId="16" w16cid:durableId="880095791">
    <w:abstractNumId w:val="6"/>
  </w:num>
  <w:num w:numId="17" w16cid:durableId="1235512856">
    <w:abstractNumId w:val="20"/>
  </w:num>
  <w:num w:numId="18" w16cid:durableId="601374562">
    <w:abstractNumId w:val="31"/>
  </w:num>
  <w:num w:numId="19" w16cid:durableId="53704237">
    <w:abstractNumId w:val="10"/>
  </w:num>
  <w:num w:numId="20" w16cid:durableId="1671176159">
    <w:abstractNumId w:val="9"/>
  </w:num>
  <w:num w:numId="21" w16cid:durableId="1863397242">
    <w:abstractNumId w:val="13"/>
  </w:num>
  <w:num w:numId="22" w16cid:durableId="1385834684">
    <w:abstractNumId w:val="24"/>
  </w:num>
  <w:num w:numId="23" w16cid:durableId="1568495958">
    <w:abstractNumId w:val="11"/>
  </w:num>
  <w:num w:numId="24" w16cid:durableId="2133280328">
    <w:abstractNumId w:val="34"/>
  </w:num>
  <w:num w:numId="25" w16cid:durableId="789856002">
    <w:abstractNumId w:val="28"/>
  </w:num>
  <w:num w:numId="26" w16cid:durableId="958951841">
    <w:abstractNumId w:val="35"/>
  </w:num>
  <w:num w:numId="27" w16cid:durableId="498078286">
    <w:abstractNumId w:val="5"/>
  </w:num>
  <w:num w:numId="28" w16cid:durableId="1491166588">
    <w:abstractNumId w:val="14"/>
  </w:num>
  <w:num w:numId="29" w16cid:durableId="1413965416">
    <w:abstractNumId w:val="25"/>
  </w:num>
  <w:num w:numId="30" w16cid:durableId="1133013337">
    <w:abstractNumId w:val="4"/>
  </w:num>
  <w:num w:numId="31" w16cid:durableId="1452630238">
    <w:abstractNumId w:val="26"/>
  </w:num>
  <w:num w:numId="32" w16cid:durableId="1420560488">
    <w:abstractNumId w:val="3"/>
  </w:num>
  <w:num w:numId="33" w16cid:durableId="28074408">
    <w:abstractNumId w:val="0"/>
  </w:num>
  <w:num w:numId="34" w16cid:durableId="787041511">
    <w:abstractNumId w:val="1"/>
  </w:num>
  <w:num w:numId="35" w16cid:durableId="563108916">
    <w:abstractNumId w:val="7"/>
  </w:num>
  <w:num w:numId="36" w16cid:durableId="1480490296">
    <w:abstractNumId w:val="23"/>
  </w:num>
  <w:num w:numId="37" w16cid:durableId="1873227022">
    <w:abstractNumId w:val="36"/>
  </w:num>
  <w:num w:numId="38" w16cid:durableId="2125539193">
    <w:abstractNumId w:val="15"/>
  </w:num>
  <w:num w:numId="39" w16cid:durableId="807356136">
    <w:abstractNumId w:val="29"/>
  </w:num>
  <w:num w:numId="40" w16cid:durableId="252906224">
    <w:abstractNumId w:val="33"/>
  </w:num>
  <w:num w:numId="41" w16cid:durableId="4830151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65E1F"/>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1985"/>
    <w:rsid w:val="001B2192"/>
    <w:rsid w:val="001B408A"/>
    <w:rsid w:val="001B5098"/>
    <w:rsid w:val="001B6317"/>
    <w:rsid w:val="001B66A9"/>
    <w:rsid w:val="001B67F1"/>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0F43"/>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54C4"/>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77E05"/>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16CC9"/>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4F7D"/>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6F6"/>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0D95"/>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2678"/>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1D4"/>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F341D4"/>
    <w:rPr>
      <w:b/>
      <w:bCs/>
    </w:rPr>
  </w:style>
  <w:style w:type="character" w:styleId="Neapdorotaspaminjimas">
    <w:name w:val="Unresolved Mention"/>
    <w:basedOn w:val="Numatytasispastraiposriftas"/>
    <w:uiPriority w:val="99"/>
    <w:semiHidden/>
    <w:unhideWhenUsed/>
    <w:rsid w:val="00F3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info@mund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31898</Words>
  <Characters>18183</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3</cp:revision>
  <cp:lastPrinted>2023-11-29T12:26:00Z</cp:lastPrinted>
  <dcterms:created xsi:type="dcterms:W3CDTF">2023-11-29T12:01:00Z</dcterms:created>
  <dcterms:modified xsi:type="dcterms:W3CDTF">2023-11-29T12:29:00Z</dcterms:modified>
</cp:coreProperties>
</file>