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firstLine="567"/>
        <w:jc w:val="center"/>
        <w:rPr>
          <w:rFonts w:ascii="Arial" w:hAnsi="Arial" w:cs="Arial"/>
          <w:b/>
          <w:b/>
          <w:color w:val="auto"/>
          <w:sz w:val="22"/>
          <w:szCs w:val="22"/>
        </w:rPr>
      </w:pPr>
      <w:r>
        <w:rPr>
          <w:rFonts w:cs="Arial" w:ascii="Arial" w:hAnsi="Arial"/>
          <w:b/>
          <w:caps/>
          <w:color w:val="auto"/>
          <w:sz w:val="22"/>
          <w:szCs w:val="22"/>
          <w:lang w:val="lt-LT" w:eastAsia="zxx" w:bidi="zxx"/>
        </w:rPr>
        <w:t>NešiojamųJŲ kompiuterių</w:t>
      </w:r>
      <w:r>
        <w:rPr>
          <w:rFonts w:cs="Arial" w:ascii="Arial" w:hAnsi="Arial"/>
          <w:b/>
          <w:color w:val="auto"/>
          <w:sz w:val="22"/>
          <w:szCs w:val="22"/>
          <w:lang w:val="lt-LT" w:eastAsia="zxx" w:bidi="zxx"/>
        </w:rPr>
        <w:t xml:space="preserve"> PIRKIMO TECHNINĖ SPECIFIKACIJA</w:t>
      </w:r>
    </w:p>
    <w:p>
      <w:pPr>
        <w:pStyle w:val="Bodytext1"/>
        <w:shd w:val="clear" w:color="auto" w:fill="auto"/>
        <w:tabs>
          <w:tab w:val="clear" w:pos="709"/>
          <w:tab w:val="left" w:pos="142" w:leader="none"/>
        </w:tabs>
        <w:bidi w:val="0"/>
        <w:spacing w:lineRule="auto" w:line="240" w:before="0" w:after="0"/>
        <w:ind w:right="55" w:hanging="0"/>
        <w:jc w:val="center"/>
        <w:rPr>
          <w:rFonts w:ascii="Arial" w:hAnsi="Arial" w:cs="Arial"/>
          <w:b/>
          <w:b/>
          <w:sz w:val="22"/>
          <w:szCs w:val="22"/>
        </w:rPr>
      </w:pPr>
      <w:r>
        <w:rPr>
          <w:rFonts w:cs="Arial" w:ascii="Arial" w:hAnsi="Arial"/>
          <w:b/>
          <w:sz w:val="22"/>
          <w:szCs w:val="22"/>
        </w:rPr>
      </w:r>
    </w:p>
    <w:p>
      <w:pPr>
        <w:pStyle w:val="Bodytext1"/>
        <w:shd w:val="clear" w:color="auto" w:fill="auto"/>
        <w:tabs>
          <w:tab w:val="clear" w:pos="709"/>
          <w:tab w:val="left" w:pos="142" w:leader="none"/>
        </w:tabs>
        <w:bidi w:val="0"/>
        <w:spacing w:lineRule="auto" w:line="240" w:before="0" w:after="0"/>
        <w:ind w:right="55" w:hanging="0"/>
        <w:jc w:val="both"/>
        <w:rPr>
          <w:rFonts w:ascii="Arial" w:hAnsi="Arial" w:cs="Arial"/>
          <w:b/>
          <w:b/>
          <w:sz w:val="22"/>
          <w:szCs w:val="22"/>
        </w:rPr>
      </w:pPr>
      <w:r>
        <w:rPr>
          <w:rFonts w:cs="Arial" w:ascii="Arial" w:hAnsi="Arial"/>
          <w:b/>
          <w:sz w:val="22"/>
          <w:szCs w:val="22"/>
          <w:lang w:val="lt-LT" w:eastAsia="zxx" w:bidi="zxx"/>
        </w:rPr>
        <w:t>1. PIRKIMO OBJEKTAS</w:t>
      </w:r>
    </w:p>
    <w:p>
      <w:pPr>
        <w:pStyle w:val="Bodytext21"/>
        <w:shd w:val="clear" w:color="auto" w:fill="auto"/>
        <w:tabs>
          <w:tab w:val="clear" w:pos="709"/>
          <w:tab w:val="left" w:pos="0" w:leader="none"/>
        </w:tabs>
        <w:bidi w:val="0"/>
        <w:spacing w:lineRule="auto" w:line="240"/>
        <w:ind w:right="55" w:hanging="0"/>
        <w:jc w:val="both"/>
        <w:rPr>
          <w:rFonts w:ascii="Arial" w:hAnsi="Arial" w:cs="Arial"/>
          <w:i w:val="false"/>
          <w:i w:val="false"/>
          <w:iCs w:val="false"/>
          <w:sz w:val="22"/>
          <w:szCs w:val="22"/>
        </w:rPr>
      </w:pPr>
      <w:r>
        <w:rPr>
          <w:rFonts w:cs="Arial" w:ascii="Arial" w:hAnsi="Arial"/>
          <w:i w:val="false"/>
          <w:iCs w:val="false"/>
          <w:sz w:val="22"/>
          <w:szCs w:val="22"/>
          <w:lang w:val="lt-LT" w:eastAsia="zxx" w:bidi="zxx"/>
        </w:rPr>
        <w:t>1.1 Nešiojamieji kompiuteriai su monitoriais ir priedais</w:t>
      </w:r>
      <w:r>
        <w:rPr>
          <w:rFonts w:cs="Arial" w:ascii="Arial" w:hAnsi="Arial"/>
          <w:sz w:val="22"/>
          <w:szCs w:val="22"/>
          <w:lang w:val="lt-LT" w:eastAsia="zxx" w:bidi="zxx"/>
        </w:rPr>
        <w:t xml:space="preserve">, </w:t>
      </w:r>
      <w:r>
        <w:rPr>
          <w:rFonts w:cs="Arial" w:ascii="Arial" w:hAnsi="Arial"/>
          <w:i w:val="false"/>
          <w:iCs w:val="false"/>
          <w:sz w:val="22"/>
          <w:szCs w:val="22"/>
          <w:lang w:val="lt-LT" w:eastAsia="zxx" w:bidi="zxx"/>
        </w:rPr>
        <w:t>BVPŽ kodas 30213100-6.</w:t>
      </w:r>
    </w:p>
    <w:p>
      <w:pPr>
        <w:pStyle w:val="Antrat2"/>
        <w:bidi w:val="0"/>
        <w:spacing w:before="120" w:after="120"/>
        <w:jc w:val="both"/>
        <w:rPr>
          <w:rFonts w:ascii="Arial" w:hAnsi="Arial" w:cs="Arial"/>
          <w:b w:val="false"/>
          <w:b w:val="false"/>
          <w:bCs w:val="false"/>
          <w:color w:val="auto"/>
          <w:sz w:val="22"/>
          <w:szCs w:val="22"/>
          <w:lang w:val="lt-LT"/>
        </w:rPr>
      </w:pPr>
      <w:r>
        <w:rPr>
          <w:rFonts w:eastAsia="" w:cs="Arial" w:ascii="Arial" w:hAnsi="Arial" w:eastAsiaTheme="minorHAnsi"/>
          <w:b w:val="false"/>
          <w:bCs w:val="false"/>
          <w:color w:val="auto"/>
          <w:sz w:val="22"/>
          <w:szCs w:val="22"/>
          <w:lang w:val="lt-LT" w:eastAsia="zxx" w:bidi="zxx"/>
        </w:rPr>
        <w:t>1.2.</w:t>
      </w:r>
      <w:r>
        <w:rPr>
          <w:rFonts w:eastAsia="" w:cs="Arial" w:ascii="Arial" w:hAnsi="Arial" w:eastAsiaTheme="minorHAnsi"/>
          <w:color w:val="auto"/>
          <w:sz w:val="22"/>
          <w:szCs w:val="22"/>
          <w:lang w:val="lt-LT" w:eastAsia="zxx" w:bidi="zxx"/>
        </w:rPr>
        <w:t xml:space="preserve"> </w:t>
      </w:r>
      <w:r>
        <w:rPr>
          <w:rFonts w:eastAsia="" w:cs="Arial" w:ascii="Arial" w:hAnsi="Arial" w:eastAsiaTheme="minorHAnsi"/>
          <w:b w:val="false"/>
          <w:bCs w:val="false"/>
          <w:color w:val="auto"/>
          <w:sz w:val="22"/>
          <w:szCs w:val="22"/>
          <w:lang w:val="lt-LT" w:eastAsia="zxx" w:bidi="zxx"/>
        </w:rPr>
        <w:t xml:space="preserve">Pirkimo objekto apimtys. </w:t>
      </w:r>
      <w:r>
        <w:rPr>
          <w:rFonts w:cs="Arial" w:ascii="Arial" w:hAnsi="Arial"/>
          <w:b w:val="false"/>
          <w:bCs w:val="false"/>
          <w:color w:val="auto"/>
          <w:sz w:val="22"/>
          <w:szCs w:val="22"/>
          <w:lang w:val="lt-LT" w:eastAsia="zxx" w:bidi="zxx"/>
        </w:rPr>
        <w:t>Sutarties galiojimo laikotarpiu (įskaitant visus galimus jos pratęsimus, jei tokia galimybė nustatyta Sutartyje) planuojamas įsigyti kiekis (apimtis):</w:t>
      </w:r>
    </w:p>
    <w:tbl>
      <w:tblPr>
        <w:tblW w:w="5000" w:type="pct"/>
        <w:jc w:val="left"/>
        <w:tblInd w:w="108" w:type="dxa"/>
        <w:tblCellMar>
          <w:top w:w="0" w:type="dxa"/>
          <w:left w:w="108" w:type="dxa"/>
          <w:bottom w:w="0" w:type="dxa"/>
          <w:right w:w="108" w:type="dxa"/>
        </w:tblCellMar>
        <w:tblLook w:firstRow="1" w:noVBand="1" w:lastRow="0" w:firstColumn="1" w:lastColumn="0" w:noHBand="0" w:val="04a0"/>
      </w:tblPr>
      <w:tblGrid>
        <w:gridCol w:w="556"/>
        <w:gridCol w:w="6682"/>
        <w:gridCol w:w="1135"/>
        <w:gridCol w:w="1264"/>
      </w:tblGrid>
      <w:tr>
        <w:trPr/>
        <w:tc>
          <w:tcPr>
            <w:tcW w:w="556"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60" w:after="60"/>
              <w:jc w:val="center"/>
              <w:rPr>
                <w:rFonts w:ascii="Arial" w:hAnsi="Arial" w:cs="Arial"/>
                <w:b/>
                <w:b/>
                <w:color w:val="FF0000"/>
                <w:sz w:val="22"/>
                <w:szCs w:val="22"/>
                <w:lang w:eastAsia="en-US"/>
              </w:rPr>
            </w:pPr>
            <w:r>
              <w:rPr>
                <w:rFonts w:cs="Arial" w:ascii="Arial" w:hAnsi="Arial"/>
                <w:b/>
                <w:color w:val="auto"/>
                <w:sz w:val="22"/>
                <w:szCs w:val="22"/>
                <w:lang w:val="lt-LT" w:eastAsia="zxx" w:bidi="zxx"/>
              </w:rPr>
              <w:t>Eil. Nr.</w:t>
            </w:r>
          </w:p>
        </w:tc>
        <w:tc>
          <w:tcPr>
            <w:tcW w:w="6682"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60" w:after="60"/>
              <w:jc w:val="center"/>
              <w:rPr>
                <w:rFonts w:ascii="Arial" w:hAnsi="Arial" w:cs="Arial"/>
                <w:b/>
                <w:b/>
                <w:color w:val="auto"/>
                <w:sz w:val="22"/>
                <w:szCs w:val="22"/>
                <w:lang w:eastAsia="en-US"/>
              </w:rPr>
            </w:pPr>
            <w:r>
              <w:rPr>
                <w:rFonts w:cs="Arial" w:ascii="Arial" w:hAnsi="Arial"/>
                <w:b/>
                <w:color w:val="auto"/>
                <w:sz w:val="22"/>
                <w:szCs w:val="22"/>
                <w:lang w:val="lt-LT" w:eastAsia="zxx" w:bidi="zxx"/>
              </w:rPr>
              <w:t>Pavadinimas</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60" w:after="60"/>
              <w:jc w:val="center"/>
              <w:rPr>
                <w:rFonts w:ascii="Arial" w:hAnsi="Arial" w:eastAsia="Times New Roman" w:cs="Arial"/>
                <w:b/>
                <w:b/>
                <w:color w:val="auto"/>
                <w:sz w:val="22"/>
                <w:szCs w:val="22"/>
                <w:lang w:eastAsia="en-US"/>
              </w:rPr>
            </w:pPr>
            <w:r>
              <w:rPr>
                <w:rFonts w:cs="Arial" w:ascii="Arial" w:hAnsi="Arial"/>
                <w:b/>
                <w:color w:val="auto"/>
                <w:sz w:val="22"/>
                <w:szCs w:val="22"/>
                <w:lang w:val="lt-LT" w:eastAsia="zxx" w:bidi="zxx"/>
              </w:rPr>
              <w:t>Kiekis (apimtis)</w:t>
            </w:r>
          </w:p>
        </w:tc>
        <w:tc>
          <w:tcPr>
            <w:tcW w:w="1264"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60" w:after="60"/>
              <w:jc w:val="center"/>
              <w:rPr>
                <w:rFonts w:ascii="Arial" w:hAnsi="Arial" w:eastAsia="Times New Roman" w:cs="Arial"/>
                <w:b/>
                <w:b/>
                <w:color w:val="auto"/>
                <w:sz w:val="22"/>
                <w:szCs w:val="22"/>
                <w:lang w:eastAsia="en-US"/>
              </w:rPr>
            </w:pPr>
            <w:r>
              <w:rPr>
                <w:rFonts w:eastAsia="Times New Roman" w:cs="Arial" w:ascii="Arial" w:hAnsi="Arial"/>
                <w:b/>
                <w:color w:val="auto"/>
                <w:sz w:val="22"/>
                <w:szCs w:val="22"/>
                <w:lang w:val="lt-LT" w:eastAsia="zxx" w:bidi="zxx"/>
              </w:rPr>
              <w:t>Matavimo vnt.</w:t>
            </w:r>
          </w:p>
        </w:tc>
      </w:tr>
      <w:tr>
        <w:trPr/>
        <w:tc>
          <w:tcPr>
            <w:tcW w:w="556" w:type="dxa"/>
            <w:tcBorders>
              <w:top w:val="single" w:sz="4" w:space="0" w:color="000000"/>
              <w:left w:val="single" w:sz="4" w:space="0" w:color="000000"/>
              <w:bottom w:val="single" w:sz="4" w:space="0" w:color="000000"/>
              <w:right w:val="single" w:sz="4" w:space="0" w:color="000000"/>
            </w:tcBorders>
          </w:tcPr>
          <w:p>
            <w:pPr>
              <w:pStyle w:val="Normal"/>
              <w:bidi w:val="0"/>
              <w:spacing w:before="60" w:after="60"/>
              <w:jc w:val="center"/>
              <w:rPr>
                <w:rFonts w:ascii="Arial" w:hAnsi="Arial" w:eastAsia="" w:cs="Arial" w:eastAsiaTheme="minorHAnsi"/>
                <w:color w:val="auto"/>
                <w:sz w:val="22"/>
                <w:szCs w:val="22"/>
                <w:lang w:eastAsia="en-US"/>
              </w:rPr>
            </w:pPr>
            <w:r>
              <w:rPr>
                <w:rFonts w:cs="Arial" w:ascii="Arial" w:hAnsi="Arial"/>
                <w:color w:val="auto"/>
                <w:sz w:val="22"/>
                <w:szCs w:val="22"/>
                <w:lang w:val="lt-LT" w:eastAsia="zxx" w:bidi="zxx"/>
              </w:rPr>
              <w:t>1.</w:t>
            </w:r>
          </w:p>
        </w:tc>
        <w:tc>
          <w:tcPr>
            <w:tcW w:w="6682" w:type="dxa"/>
            <w:tcBorders>
              <w:top w:val="single" w:sz="4" w:space="0" w:color="000000"/>
              <w:left w:val="single" w:sz="4" w:space="0" w:color="000000"/>
              <w:bottom w:val="single" w:sz="4" w:space="0" w:color="000000"/>
              <w:right w:val="single" w:sz="4" w:space="0" w:color="000000"/>
            </w:tcBorders>
            <w:vAlign w:val="bottom"/>
          </w:tcPr>
          <w:p>
            <w:pPr>
              <w:pStyle w:val="Normal"/>
              <w:bidi w:val="0"/>
              <w:spacing w:before="60" w:after="60"/>
              <w:jc w:val="left"/>
              <w:rPr>
                <w:rFonts w:ascii="Arial" w:hAnsi="Arial" w:cs="Arial"/>
                <w:color w:val="auto"/>
                <w:sz w:val="22"/>
                <w:szCs w:val="22"/>
                <w:lang w:eastAsia="en-US"/>
              </w:rPr>
            </w:pPr>
            <w:r>
              <w:rPr>
                <w:rFonts w:cs="Arial" w:ascii="Arial" w:hAnsi="Arial"/>
                <w:color w:val="auto"/>
                <w:sz w:val="22"/>
                <w:szCs w:val="22"/>
                <w:lang w:val="lt-LT" w:eastAsia="zxx" w:bidi="zxx"/>
              </w:rPr>
              <w:t>Nešiojamieji kompiuteriai su priedais (klaviatūromis ir pelėmis, krepšiais)</w:t>
            </w:r>
          </w:p>
        </w:tc>
        <w:tc>
          <w:tcPr>
            <w:tcW w:w="1135" w:type="dxa"/>
            <w:tcBorders>
              <w:top w:val="single" w:sz="4" w:space="0" w:color="000000"/>
              <w:left w:val="single" w:sz="4" w:space="0" w:color="000000"/>
              <w:bottom w:val="single" w:sz="4" w:space="0" w:color="000000"/>
              <w:right w:val="single" w:sz="4" w:space="0" w:color="000000"/>
            </w:tcBorders>
          </w:tcPr>
          <w:p>
            <w:pPr>
              <w:pStyle w:val="Normal"/>
              <w:bidi w:val="0"/>
              <w:spacing w:before="60" w:after="60"/>
              <w:jc w:val="center"/>
              <w:rPr>
                <w:rFonts w:ascii="Arial" w:hAnsi="Arial" w:eastAsia="Times New Roman" w:cs="Arial"/>
                <w:color w:val="auto"/>
                <w:sz w:val="22"/>
                <w:szCs w:val="22"/>
                <w:lang w:eastAsia="en-US"/>
              </w:rPr>
            </w:pPr>
            <w:r>
              <w:rPr>
                <w:rFonts w:eastAsia="Times New Roman" w:cs="Arial" w:ascii="Arial" w:hAnsi="Arial"/>
                <w:color w:val="auto"/>
                <w:sz w:val="22"/>
                <w:szCs w:val="22"/>
                <w:lang w:val="lt-LT" w:eastAsia="zxx" w:bidi="zxx"/>
              </w:rPr>
              <w:t>124</w:t>
            </w:r>
          </w:p>
        </w:tc>
        <w:tc>
          <w:tcPr>
            <w:tcW w:w="1264" w:type="dxa"/>
            <w:tcBorders>
              <w:top w:val="single" w:sz="4" w:space="0" w:color="000000"/>
              <w:left w:val="single" w:sz="4" w:space="0" w:color="000000"/>
              <w:bottom w:val="single" w:sz="4" w:space="0" w:color="000000"/>
              <w:right w:val="single" w:sz="4" w:space="0" w:color="000000"/>
            </w:tcBorders>
          </w:tcPr>
          <w:p>
            <w:pPr>
              <w:pStyle w:val="Normal"/>
              <w:bidi w:val="0"/>
              <w:spacing w:before="60" w:after="60"/>
              <w:jc w:val="center"/>
              <w:rPr>
                <w:rFonts w:ascii="Arial" w:hAnsi="Arial" w:eastAsia="Times New Roman" w:cs="Arial"/>
                <w:color w:val="auto"/>
                <w:sz w:val="22"/>
                <w:szCs w:val="22"/>
                <w:lang w:eastAsia="en-US"/>
              </w:rPr>
            </w:pPr>
            <w:r>
              <w:rPr>
                <w:rFonts w:eastAsia="Times New Roman" w:cs="Arial" w:ascii="Arial" w:hAnsi="Arial"/>
                <w:color w:val="auto"/>
                <w:sz w:val="22"/>
                <w:szCs w:val="22"/>
                <w:lang w:val="lt-LT" w:eastAsia="zxx" w:bidi="zxx"/>
              </w:rPr>
              <w:t>vnt..</w:t>
            </w:r>
          </w:p>
        </w:tc>
      </w:tr>
      <w:tr>
        <w:trPr/>
        <w:tc>
          <w:tcPr>
            <w:tcW w:w="556" w:type="dxa"/>
            <w:tcBorders>
              <w:top w:val="single" w:sz="4" w:space="0" w:color="000000"/>
              <w:left w:val="single" w:sz="4" w:space="0" w:color="000000"/>
              <w:bottom w:val="single" w:sz="4" w:space="0" w:color="000000"/>
              <w:right w:val="single" w:sz="4" w:space="0" w:color="000000"/>
            </w:tcBorders>
          </w:tcPr>
          <w:p>
            <w:pPr>
              <w:pStyle w:val="Normal"/>
              <w:bidi w:val="0"/>
              <w:spacing w:before="60" w:after="60"/>
              <w:jc w:val="center"/>
              <w:rPr>
                <w:rFonts w:ascii="Arial" w:hAnsi="Arial" w:cs="Arial"/>
                <w:color w:val="auto"/>
                <w:sz w:val="22"/>
                <w:szCs w:val="22"/>
                <w:lang w:eastAsia="en-US"/>
              </w:rPr>
            </w:pPr>
            <w:r>
              <w:rPr>
                <w:rFonts w:cs="Arial" w:ascii="Arial" w:hAnsi="Arial"/>
                <w:color w:val="auto"/>
                <w:sz w:val="22"/>
                <w:szCs w:val="22"/>
                <w:lang w:val="lt-LT" w:eastAsia="zxx" w:bidi="zxx"/>
              </w:rPr>
              <w:t>2.</w:t>
            </w:r>
          </w:p>
        </w:tc>
        <w:tc>
          <w:tcPr>
            <w:tcW w:w="6682" w:type="dxa"/>
            <w:tcBorders>
              <w:top w:val="single" w:sz="4" w:space="0" w:color="000000"/>
              <w:left w:val="single" w:sz="4" w:space="0" w:color="000000"/>
              <w:bottom w:val="single" w:sz="4" w:space="0" w:color="000000"/>
              <w:right w:val="single" w:sz="4" w:space="0" w:color="000000"/>
            </w:tcBorders>
            <w:vAlign w:val="bottom"/>
          </w:tcPr>
          <w:p>
            <w:pPr>
              <w:pStyle w:val="Normal"/>
              <w:bidi w:val="0"/>
              <w:spacing w:before="60" w:after="60"/>
              <w:jc w:val="left"/>
              <w:rPr>
                <w:rFonts w:ascii="Arial" w:hAnsi="Arial" w:cs="Arial"/>
                <w:color w:val="auto"/>
                <w:sz w:val="22"/>
                <w:szCs w:val="22"/>
                <w:lang w:eastAsia="en-US"/>
              </w:rPr>
            </w:pPr>
            <w:r>
              <w:rPr>
                <w:rFonts w:cs="Arial" w:ascii="Arial" w:hAnsi="Arial"/>
                <w:color w:val="auto"/>
                <w:sz w:val="22"/>
                <w:szCs w:val="22"/>
                <w:lang w:val="lt-LT" w:eastAsia="zxx" w:bidi="zxx"/>
              </w:rPr>
              <w:t>Monitoriai su integruotomis jungčių stotelėmis</w:t>
            </w:r>
          </w:p>
        </w:tc>
        <w:tc>
          <w:tcPr>
            <w:tcW w:w="1135" w:type="dxa"/>
            <w:tcBorders>
              <w:top w:val="single" w:sz="4" w:space="0" w:color="000000"/>
              <w:left w:val="single" w:sz="4" w:space="0" w:color="000000"/>
              <w:bottom w:val="single" w:sz="4" w:space="0" w:color="000000"/>
              <w:right w:val="single" w:sz="4" w:space="0" w:color="000000"/>
            </w:tcBorders>
          </w:tcPr>
          <w:p>
            <w:pPr>
              <w:pStyle w:val="Normal"/>
              <w:bidi w:val="0"/>
              <w:spacing w:before="60" w:after="60"/>
              <w:jc w:val="center"/>
              <w:rPr>
                <w:rFonts w:ascii="Arial" w:hAnsi="Arial" w:eastAsia="Times New Roman" w:cs="Arial"/>
                <w:color w:val="auto"/>
                <w:sz w:val="22"/>
                <w:szCs w:val="22"/>
                <w:lang w:eastAsia="en-US"/>
              </w:rPr>
            </w:pPr>
            <w:r>
              <w:rPr>
                <w:rFonts w:eastAsia="Times New Roman" w:cs="Arial" w:ascii="Arial" w:hAnsi="Arial"/>
                <w:color w:val="auto"/>
                <w:sz w:val="22"/>
                <w:szCs w:val="22"/>
                <w:lang w:val="lt-LT" w:eastAsia="zxx" w:bidi="zxx"/>
              </w:rPr>
              <w:t>124</w:t>
            </w:r>
          </w:p>
        </w:tc>
        <w:tc>
          <w:tcPr>
            <w:tcW w:w="1264" w:type="dxa"/>
            <w:tcBorders>
              <w:top w:val="single" w:sz="4" w:space="0" w:color="000000"/>
              <w:left w:val="single" w:sz="4" w:space="0" w:color="000000"/>
              <w:bottom w:val="single" w:sz="4" w:space="0" w:color="000000"/>
              <w:right w:val="single" w:sz="4" w:space="0" w:color="000000"/>
            </w:tcBorders>
          </w:tcPr>
          <w:p>
            <w:pPr>
              <w:pStyle w:val="Normal"/>
              <w:bidi w:val="0"/>
              <w:spacing w:before="60" w:after="60"/>
              <w:jc w:val="center"/>
              <w:rPr>
                <w:rFonts w:ascii="Arial" w:hAnsi="Arial" w:eastAsia="Times New Roman" w:cs="Arial"/>
                <w:color w:val="auto"/>
                <w:sz w:val="22"/>
                <w:szCs w:val="22"/>
                <w:lang w:eastAsia="en-US"/>
              </w:rPr>
            </w:pPr>
            <w:r>
              <w:rPr>
                <w:rFonts w:eastAsia="Times New Roman" w:cs="Arial" w:ascii="Arial" w:hAnsi="Arial"/>
                <w:color w:val="auto"/>
                <w:sz w:val="22"/>
                <w:szCs w:val="22"/>
                <w:lang w:val="lt-LT" w:eastAsia="zxx" w:bidi="zxx"/>
              </w:rPr>
              <w:t>vnt.</w:t>
            </w:r>
          </w:p>
        </w:tc>
      </w:tr>
    </w:tbl>
    <w:p>
      <w:pPr>
        <w:pStyle w:val="Bodytext21"/>
        <w:shd w:val="clear" w:color="auto" w:fill="auto"/>
        <w:tabs>
          <w:tab w:val="clear" w:pos="709"/>
          <w:tab w:val="left" w:pos="0" w:leader="none"/>
        </w:tabs>
        <w:bidi w:val="0"/>
        <w:spacing w:lineRule="auto" w:line="240"/>
        <w:ind w:right="55" w:hanging="0"/>
        <w:jc w:val="both"/>
        <w:rPr>
          <w:rFonts w:ascii="Arial" w:hAnsi="Arial" w:cs="Arial"/>
          <w:sz w:val="22"/>
          <w:szCs w:val="22"/>
        </w:rPr>
      </w:pPr>
      <w:r>
        <w:rPr>
          <w:rFonts w:cs="Arial" w:ascii="Arial" w:hAnsi="Arial"/>
          <w:sz w:val="22"/>
          <w:szCs w:val="22"/>
        </w:rPr>
      </w:r>
    </w:p>
    <w:p>
      <w:pPr>
        <w:pStyle w:val="Bodytext21"/>
        <w:shd w:val="clear" w:color="auto" w:fill="auto"/>
        <w:tabs>
          <w:tab w:val="clear" w:pos="709"/>
          <w:tab w:val="left" w:pos="0" w:leader="none"/>
          <w:tab w:val="left" w:pos="9072" w:leader="none"/>
        </w:tabs>
        <w:bidi w:val="0"/>
        <w:spacing w:lineRule="auto" w:line="240"/>
        <w:ind w:right="55" w:hanging="0"/>
        <w:jc w:val="both"/>
        <w:rPr>
          <w:rFonts w:ascii="Arial" w:hAnsi="Arial" w:cs="Arial"/>
          <w:b/>
          <w:b/>
          <w:i/>
          <w:i/>
          <w:iCs/>
          <w:sz w:val="22"/>
          <w:szCs w:val="22"/>
        </w:rPr>
      </w:pPr>
      <w:r>
        <w:rPr>
          <w:rStyle w:val="Bodytext2NotItalic2"/>
          <w:rFonts w:cs="Arial" w:ascii="Arial" w:hAnsi="Arial"/>
          <w:b/>
          <w:iCs/>
          <w:sz w:val="22"/>
          <w:szCs w:val="22"/>
          <w:lang w:val="lt-LT" w:eastAsia="zxx" w:bidi="zxx"/>
        </w:rPr>
        <w:t>2. PIRKIMO OBJEKTO PRITAIKYMO SRITIS</w:t>
      </w:r>
      <w:r>
        <w:rPr>
          <w:rStyle w:val="Bodytext2NotItalic2"/>
          <w:rFonts w:cs="Arial" w:ascii="Arial" w:hAnsi="Arial"/>
          <w:b/>
          <w:i/>
          <w:iCs/>
          <w:sz w:val="22"/>
          <w:szCs w:val="22"/>
          <w:lang w:val="lt-LT" w:eastAsia="zxx" w:bidi="zxx"/>
        </w:rPr>
        <w:t xml:space="preserve"> </w:t>
      </w:r>
    </w:p>
    <w:p>
      <w:pPr>
        <w:pStyle w:val="Bodytext21"/>
        <w:shd w:val="clear" w:color="auto" w:fill="auto"/>
        <w:tabs>
          <w:tab w:val="clear" w:pos="709"/>
          <w:tab w:val="left" w:pos="0" w:leader="none"/>
          <w:tab w:val="left" w:pos="9072" w:leader="none"/>
        </w:tabs>
        <w:bidi w:val="0"/>
        <w:spacing w:lineRule="auto" w:line="240"/>
        <w:ind w:right="55" w:hanging="0"/>
        <w:jc w:val="both"/>
        <w:rPr>
          <w:rFonts w:ascii="Arial" w:hAnsi="Arial" w:cs="Arial"/>
          <w:sz w:val="22"/>
          <w:szCs w:val="22"/>
        </w:rPr>
      </w:pPr>
      <w:r>
        <w:rPr>
          <w:rFonts w:cs="Arial" w:ascii="Arial" w:hAnsi="Arial"/>
          <w:i w:val="false"/>
          <w:iCs w:val="false"/>
          <w:sz w:val="22"/>
          <w:szCs w:val="22"/>
          <w:lang w:val="lt-LT" w:eastAsia="zxx" w:bidi="zxx"/>
        </w:rPr>
        <w:t>2.1. Kompiuterinės įrangos pirkimas vykdomas siekiant pakeisti blogai veikiančius senesnius nei 5 m. kompiuterius centrinėje administracijoje ir regioniniuose padaliniuose.</w:t>
      </w:r>
    </w:p>
    <w:p>
      <w:pPr>
        <w:pStyle w:val="Bodytext21"/>
        <w:shd w:val="clear" w:color="auto" w:fill="auto"/>
        <w:tabs>
          <w:tab w:val="clear" w:pos="709"/>
          <w:tab w:val="left" w:pos="0" w:leader="none"/>
          <w:tab w:val="left" w:pos="9072" w:leader="none"/>
        </w:tabs>
        <w:bidi w:val="0"/>
        <w:spacing w:lineRule="auto" w:line="240"/>
        <w:ind w:right="55" w:hanging="0"/>
        <w:jc w:val="both"/>
        <w:rPr>
          <w:rFonts w:ascii="Arial" w:hAnsi="Arial" w:cs="Arial"/>
          <w:sz w:val="22"/>
          <w:szCs w:val="22"/>
        </w:rPr>
      </w:pPr>
      <w:r>
        <w:rPr>
          <w:rFonts w:cs="Arial" w:ascii="Arial" w:hAnsi="Arial"/>
          <w:sz w:val="22"/>
          <w:szCs w:val="22"/>
        </w:rPr>
      </w:r>
    </w:p>
    <w:p>
      <w:pPr>
        <w:pStyle w:val="Bodytext1"/>
        <w:shd w:val="clear" w:color="auto" w:fill="auto"/>
        <w:tabs>
          <w:tab w:val="clear" w:pos="709"/>
          <w:tab w:val="left" w:pos="0" w:leader="none"/>
        </w:tabs>
        <w:bidi w:val="0"/>
        <w:spacing w:lineRule="auto" w:line="240" w:before="0" w:after="0"/>
        <w:ind w:right="55" w:hanging="0"/>
        <w:jc w:val="both"/>
        <w:rPr>
          <w:rFonts w:ascii="Arial" w:hAnsi="Arial" w:cs="Arial"/>
          <w:b/>
          <w:b/>
          <w:sz w:val="22"/>
          <w:szCs w:val="22"/>
        </w:rPr>
      </w:pPr>
      <w:r>
        <w:rPr>
          <w:rFonts w:cs="Arial" w:ascii="Arial" w:hAnsi="Arial"/>
          <w:b/>
          <w:sz w:val="22"/>
          <w:szCs w:val="22"/>
          <w:lang w:val="lt-LT" w:eastAsia="zxx" w:bidi="zxx"/>
        </w:rPr>
        <w:t xml:space="preserve">3. TECHNINIAI REIKALAVIMAI, KURIUOS TURI ATITIKTI PERKAMOS PREKĖS </w:t>
      </w:r>
    </w:p>
    <w:p>
      <w:pPr>
        <w:pStyle w:val="Bodytext1"/>
        <w:shd w:val="clear" w:color="auto" w:fill="auto"/>
        <w:tabs>
          <w:tab w:val="clear" w:pos="709"/>
          <w:tab w:val="left" w:pos="0" w:leader="none"/>
        </w:tabs>
        <w:bidi w:val="0"/>
        <w:spacing w:lineRule="auto" w:line="240" w:before="0" w:after="0"/>
        <w:ind w:right="55" w:hanging="0"/>
        <w:jc w:val="both"/>
        <w:rPr>
          <w:rFonts w:ascii="Arial" w:hAnsi="Arial" w:cs="Arial"/>
          <w:b/>
          <w:b/>
          <w:sz w:val="22"/>
          <w:szCs w:val="22"/>
        </w:rPr>
      </w:pPr>
      <w:r>
        <w:rPr>
          <w:rFonts w:cs="Arial" w:ascii="Arial" w:hAnsi="Arial"/>
          <w:b/>
          <w:sz w:val="22"/>
          <w:szCs w:val="22"/>
        </w:rPr>
      </w:r>
    </w:p>
    <w:tbl>
      <w:tblPr>
        <w:tblStyle w:val="Lentelstinklelis"/>
        <w:tblW w:w="9639" w:type="dxa"/>
        <w:jc w:val="left"/>
        <w:tblInd w:w="103" w:type="dxa"/>
        <w:tblCellMar>
          <w:top w:w="0" w:type="dxa"/>
          <w:left w:w="108" w:type="dxa"/>
          <w:bottom w:w="0" w:type="dxa"/>
          <w:right w:w="108" w:type="dxa"/>
        </w:tblCellMar>
        <w:tblLook w:firstRow="1" w:noVBand="1" w:lastRow="0" w:firstColumn="1" w:lastColumn="0" w:noHBand="0" w:val="04a0"/>
      </w:tblPr>
      <w:tblGrid>
        <w:gridCol w:w="561"/>
        <w:gridCol w:w="1600"/>
        <w:gridCol w:w="107"/>
        <w:gridCol w:w="7371"/>
      </w:tblGrid>
      <w:tr>
        <w:trPr/>
        <w:tc>
          <w:tcPr>
            <w:tcW w:w="2268" w:type="dxa"/>
            <w:gridSpan w:val="3"/>
            <w:tcBorders/>
            <w:shd w:color="auto" w:fill="D9D9D9" w:val="clear"/>
          </w:tcPr>
          <w:p>
            <w:pPr>
              <w:pStyle w:val="Normal"/>
              <w:bidi w:val="0"/>
              <w:jc w:val="center"/>
              <w:rPr>
                <w:rFonts w:ascii="Arial" w:hAnsi="Arial" w:eastAsia="Calibri" w:cs="Arial"/>
                <w:b/>
                <w:b/>
                <w:i/>
                <w:i/>
                <w:sz w:val="22"/>
                <w:szCs w:val="22"/>
              </w:rPr>
            </w:pPr>
            <w:r>
              <w:rPr>
                <w:rFonts w:eastAsia="Calibri" w:cs="Arial" w:ascii="Arial" w:hAnsi="Arial"/>
                <w:b/>
                <w:i/>
                <w:sz w:val="22"/>
                <w:szCs w:val="22"/>
                <w:lang w:val="lt-LT" w:eastAsia="zxx" w:bidi="zxx"/>
              </w:rPr>
              <w:t>Nešiojamasis kompiuteris</w:t>
            </w:r>
          </w:p>
        </w:tc>
        <w:tc>
          <w:tcPr>
            <w:tcW w:w="7371" w:type="dxa"/>
            <w:tcBorders/>
            <w:shd w:color="auto" w:fill="D9D9D9" w:val="clear"/>
          </w:tcPr>
          <w:p>
            <w:pPr>
              <w:pStyle w:val="Normal"/>
              <w:bidi w:val="0"/>
              <w:jc w:val="center"/>
              <w:rPr>
                <w:rFonts w:ascii="Arial" w:hAnsi="Arial" w:eastAsia="Calibri" w:cs="Arial"/>
                <w:b/>
                <w:b/>
                <w:i/>
                <w:i/>
                <w:sz w:val="22"/>
                <w:szCs w:val="22"/>
              </w:rPr>
            </w:pPr>
            <w:r>
              <w:rPr>
                <w:rFonts w:eastAsia="Calibri" w:cs="Arial" w:ascii="Arial" w:hAnsi="Arial"/>
                <w:b/>
                <w:i/>
                <w:sz w:val="22"/>
                <w:szCs w:val="22"/>
                <w:lang w:val="lt-LT" w:eastAsia="zxx" w:bidi="zxx"/>
              </w:rPr>
              <w:t>Reikalavimas</w:t>
            </w:r>
          </w:p>
        </w:tc>
      </w:tr>
      <w:tr>
        <w:trPr/>
        <w:tc>
          <w:tcPr>
            <w:tcW w:w="561" w:type="dxa"/>
            <w:tcBorders/>
          </w:tcPr>
          <w:p>
            <w:pPr>
              <w:pStyle w:val="Normal"/>
              <w:numPr>
                <w:ilvl w:val="0"/>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Gamintojas, modelis.</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rPr>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Kiekis</w:t>
            </w:r>
          </w:p>
        </w:tc>
        <w:tc>
          <w:tcPr>
            <w:tcW w:w="7371" w:type="dxa"/>
            <w:tcBorders/>
          </w:tcPr>
          <w:p>
            <w:pPr>
              <w:pStyle w:val="Normal"/>
              <w:bidi w:val="0"/>
              <w:jc w:val="right"/>
              <w:rPr>
                <w:rFonts w:ascii="Arial" w:hAnsi="Arial" w:eastAsia="Calibri" w:cs="Arial"/>
                <w:b/>
                <w:b/>
                <w:bCs/>
                <w:sz w:val="22"/>
                <w:szCs w:val="22"/>
              </w:rPr>
            </w:pPr>
            <w:r>
              <w:rPr>
                <w:rFonts w:eastAsia="Calibri" w:cs="Arial" w:ascii="Arial" w:hAnsi="Arial"/>
                <w:b/>
                <w:bCs/>
                <w:sz w:val="22"/>
                <w:szCs w:val="22"/>
                <w:lang w:val="lt-LT" w:eastAsia="zxx" w:bidi="zxx"/>
              </w:rPr>
              <w:t>124 vnt.</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Išleidimo metai</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Ne ankščiau kaip 2022 metai.</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Procesoriaus našumas</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Procesoriaus našumas turi būti: ne mažiau nei 6 branduolių,</w:t>
            </w:r>
            <w:r>
              <w:rPr>
                <w:lang w:val="lt-LT" w:eastAsia="zxx" w:bidi="zxx"/>
              </w:rPr>
              <w:t xml:space="preserve"> </w:t>
            </w:r>
            <w:r>
              <w:rPr>
                <w:rFonts w:eastAsia="Calibri" w:cs="Arial" w:ascii="Arial" w:hAnsi="Arial"/>
                <w:sz w:val="22"/>
                <w:szCs w:val="22"/>
                <w:lang w:val="lt-LT" w:eastAsia="zxx" w:bidi="zxx"/>
              </w:rPr>
              <w:t xml:space="preserve">ne mažiau nei 15 MB spartinančiosios atminties, našumo parametras ne mažiau nei 15000 taškų pagal „Passmark CPU Mark“. Procesoriaus našumo parametras Passmark Rating  yra gaunamas kompiuterį testuojant „PerformanceTest“  programine įranga, kuri nemokamai ir viešai prieinama </w:t>
            </w:r>
            <w:hyperlink r:id="rId2">
              <w:r>
                <w:rPr>
                  <w:rStyle w:val="Internetosaitas"/>
                  <w:rFonts w:cs="Arial" w:ascii="Arial" w:hAnsi="Arial"/>
                  <w:sz w:val="22"/>
                  <w:szCs w:val="22"/>
                  <w:lang w:val="lt-LT" w:eastAsia="zxx" w:bidi="zxx"/>
                </w:rPr>
                <w:t>http://www.passmark.com</w:t>
              </w:r>
            </w:hyperlink>
            <w:r>
              <w:rPr>
                <w:rFonts w:eastAsia="Calibri" w:cs="Arial" w:ascii="Arial" w:hAnsi="Arial"/>
                <w:sz w:val="22"/>
                <w:szCs w:val="22"/>
                <w:lang w:val="lt-LT" w:eastAsia="zxx" w:bidi="zxx"/>
              </w:rPr>
              <w:t>.</w:t>
            </w:r>
          </w:p>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Siūlomo procesoriaus našumo parametras turi būti skelbiamas</w:t>
            </w:r>
          </w:p>
          <w:p>
            <w:pPr>
              <w:pStyle w:val="Normal"/>
              <w:bidi w:val="0"/>
              <w:jc w:val="both"/>
              <w:rPr>
                <w:rFonts w:ascii="Arial" w:hAnsi="Arial" w:eastAsia="Calibri" w:cs="Arial"/>
                <w:sz w:val="22"/>
                <w:szCs w:val="22"/>
              </w:rPr>
            </w:pPr>
            <w:hyperlink r:id="rId3">
              <w:r>
                <w:rPr>
                  <w:rStyle w:val="Internetosaitas"/>
                  <w:rFonts w:cs="Arial" w:ascii="Arial" w:hAnsi="Arial"/>
                  <w:sz w:val="22"/>
                  <w:szCs w:val="22"/>
                  <w:lang w:val="lt-LT" w:eastAsia="zxx" w:bidi="zxx"/>
                </w:rPr>
                <w:t>http://www.cpubenchmark.net/cpu_list.php</w:t>
              </w:r>
            </w:hyperlink>
            <w:r>
              <w:rPr>
                <w:rFonts w:eastAsia="Calibri" w:cs="Arial" w:ascii="Arial" w:hAnsi="Arial"/>
                <w:sz w:val="22"/>
                <w:szCs w:val="22"/>
                <w:lang w:val="lt-LT" w:eastAsia="zxx" w:bidi="zxx"/>
              </w:rPr>
              <w:t xml:space="preserve"> </w:t>
            </w:r>
          </w:p>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Procesoriaus sparta negali būti dirbtinai padidinta.</w:t>
            </w:r>
          </w:p>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Procesoriaus išleidimo į rinką data - ne anksčiau nei 2022 metais.</w:t>
            </w:r>
          </w:p>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Nurodyti procesoriaus gamintoją, tipą, pavadinimą, dažnį.</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Procesoriaus architektūra</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ne mažesnė nei 64 bitai</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Ekranas</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Įstrižainė ne mažiau kaip 15.1 colių</w:t>
            </w:r>
            <w:r>
              <w:rPr>
                <w:rFonts w:cs="Arial" w:ascii="Arial" w:hAnsi="Arial"/>
                <w:sz w:val="22"/>
                <w:szCs w:val="22"/>
                <w:lang w:val="lt-LT" w:eastAsia="zxx" w:bidi="zxx"/>
              </w:rPr>
              <w:t xml:space="preserve"> </w:t>
            </w:r>
            <w:r>
              <w:rPr>
                <w:rFonts w:eastAsia="Calibri" w:cs="Arial" w:ascii="Arial" w:hAnsi="Arial"/>
                <w:sz w:val="22"/>
                <w:szCs w:val="22"/>
                <w:lang w:val="lt-LT" w:eastAsia="zxx" w:bidi="zxx"/>
              </w:rPr>
              <w:t>ir ne daugiau kaip 16.3 colių. Raiška ne mažesnė nei 1920 x 1080 taškų. Ryškumas ne mažiau nei 400 Nits. Kontrastas ne prasčiau nei 800:1. Matinis ekranas.</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Atmintinė (RAM)</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Ne mažiau nei 16 GB.</w:t>
            </w:r>
          </w:p>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 xml:space="preserve">Galimybė praplėsti atmintį iki 64 GB. </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Kietų diskų posistemė</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Ne mažiau nei 512 GB talpos SSD (PCIe NVMe tipo). Diskinės vietos optimizavimo (angl. TRIM) funkcionalumas.</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Video kamera</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Integruota į korpusą arba pridedama, IR tipo, ne mažiau kaip 5 MP (QHD 2560x1440).</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Audio adapteris</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Ne mažiau 2 vnt. integruoti stereo garsiakalbiai ir mikrofonas.</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Bevielio ryšio įranga</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 xml:space="preserve">Integruotas ne prastesnis nei IEEE 802.11 ax standarto bevielio tinklo modulis. Integruotas Bluetooth ne žemesnės nei 5.0 versijos modulis. </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Prievadai</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 xml:space="preserve">Integruoti į kompiuterio korpusą: </w:t>
            </w:r>
          </w:p>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Ne mažiau 1 vnt. Thunderbolt arba USB Type-C (užtikrinanti kompiuterio krovimo/maitinimo, duomenų ir vaizdo perdavimo funkcijas)</w:t>
            </w:r>
          </w:p>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Ne mažiau 3 vnt. USB</w:t>
            </w:r>
          </w:p>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 xml:space="preserve">Ne mažiau 1 vnt. HDMI </w:t>
            </w:r>
          </w:p>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Ne mažiau 1vnt RJ-45 jungtis</w:t>
            </w:r>
          </w:p>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Ne mažiau 1vnt SmartCard kortelių skaitytuvas</w:t>
            </w:r>
          </w:p>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Ne mažiau 1 vnt. kombinuota ausinių ir mikrofono jungtis arba ne mažiau 1 ausinių ir ne mažiau 1 mikrofono jungtis.</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Valdymo įrenginiai</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Integruotas, lietimui jautrus paviršius (touchpad).</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Klaviatūra</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Lotyniška, su lietuviškos abėcėlės ženklais (arba lipdukais) ir pašvietimu iš apačios, atspari apliejimui.</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Vidinė baterija</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Ne mažiau kaip 50 WH. Su greito krovimo funkcija.</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Korpusas</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Atitikimas MIL-STD 810H  standartui (vibracijai, dulkėms, aukščiui, temperatūrai, kritimui).</w:t>
            </w:r>
          </w:p>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Pateikti gamintojo dokumentą, įrodantį atitikimą šiam standartui.</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Maitinimo šaltinis</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Turi būti pateikiamas kartu su kompiuteriu, skirtas maitinimui iš 230 V tinklo.</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Valdymo galimybės</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Tvarkyklės</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Turi būti suteikta galimybė iš kompiuterio gamintojo interneto svetainės parsisiųsti siūlomo kompiuterio tvarkykles ir jų atnaujinimus</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Apsaugos galimybės</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 xml:space="preserve">Integruota TPM duomenų apsaugos mikroschema (naujausia versija pristatymo metu) arba lygiavertė. </w:t>
            </w:r>
          </w:p>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Gamintojo numatyta galimybė prirakinti korpusą „Kensington Lock“ tipo apsauginiu lynu.</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Operacinė sistema</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Windows 10 Pro arba lygiavertė.</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Energijos vartojimo efektyvumo reikalavimai.</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Privalo turėti ENERGY STAR arba lygiavertį žymėjimą.</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Svoris</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Kompiuterio gamintojo deklaruojamas svoris su baterija ne daugiau kaip 2 kg.</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 xml:space="preserve">Aplinkos apsaugos reikalavimai </w:t>
            </w:r>
          </w:p>
          <w:p>
            <w:pPr>
              <w:pStyle w:val="Normal"/>
              <w:bidi w:val="0"/>
              <w:jc w:val="left"/>
              <w:rPr>
                <w:rFonts w:ascii="Arial" w:hAnsi="Arial" w:eastAsia="Calibri" w:cs="Arial"/>
                <w:sz w:val="22"/>
                <w:szCs w:val="22"/>
              </w:rPr>
            </w:pPr>
            <w:r>
              <w:rPr>
                <w:rFonts w:eastAsia="Calibri" w:cs="Arial" w:ascii="Arial" w:hAnsi="Arial"/>
                <w:sz w:val="22"/>
                <w:szCs w:val="22"/>
              </w:rPr>
            </w:r>
          </w:p>
          <w:p>
            <w:pPr>
              <w:pStyle w:val="Normal"/>
              <w:bidi w:val="0"/>
              <w:jc w:val="left"/>
              <w:rPr>
                <w:rFonts w:ascii="Arial" w:hAnsi="Arial" w:eastAsia="Calibri" w:cs="Arial"/>
                <w:sz w:val="22"/>
                <w:szCs w:val="22"/>
              </w:rPr>
            </w:pPr>
            <w:r>
              <w:rPr>
                <w:rFonts w:eastAsia="Calibri" w:cs="Arial" w:ascii="Arial" w:hAnsi="Arial"/>
                <w:sz w:val="22"/>
                <w:szCs w:val="22"/>
              </w:rPr>
            </w:r>
          </w:p>
        </w:tc>
        <w:tc>
          <w:tcPr>
            <w:tcW w:w="7371" w:type="dxa"/>
            <w:tcBorders/>
          </w:tcPr>
          <w:p>
            <w:pPr>
              <w:pStyle w:val="ListParagraph"/>
              <w:numPr>
                <w:ilvl w:val="0"/>
                <w:numId w:val="2"/>
              </w:numPr>
              <w:bidi w:val="0"/>
              <w:jc w:val="both"/>
              <w:rPr>
                <w:rFonts w:ascii="Arial" w:hAnsi="Arial" w:eastAsia="Times New Roman" w:cs="Arial"/>
                <w:sz w:val="22"/>
                <w:szCs w:val="22"/>
              </w:rPr>
            </w:pPr>
            <w:r>
              <w:rPr>
                <w:rFonts w:eastAsia="Times New Roman" w:cs="Arial" w:ascii="Arial" w:hAnsi="Arial"/>
                <w:sz w:val="22"/>
                <w:szCs w:val="22"/>
                <w:lang w:val="lt-LT" w:eastAsia="zxx" w:bidi="zxx"/>
              </w:rPr>
              <w:t>Kompiuterio gamintojas turi įsidiegęs ISO 14001:2015 arba lygiavertį aplinkosaugos vadybos standartą (pateikti tai įrodančius dokumentus).</w:t>
            </w:r>
          </w:p>
          <w:p>
            <w:pPr>
              <w:pStyle w:val="ListParagraph"/>
              <w:numPr>
                <w:ilvl w:val="0"/>
                <w:numId w:val="2"/>
              </w:numPr>
              <w:bidi w:val="0"/>
              <w:jc w:val="both"/>
              <w:rPr>
                <w:rFonts w:ascii="Arial" w:hAnsi="Arial" w:eastAsia="Times New Roman" w:cs="Arial"/>
                <w:sz w:val="22"/>
                <w:szCs w:val="22"/>
              </w:rPr>
            </w:pPr>
            <w:r>
              <w:rPr>
                <w:rFonts w:eastAsia="Times New Roman" w:cs="Arial" w:ascii="Arial" w:hAnsi="Arial"/>
                <w:sz w:val="22"/>
                <w:szCs w:val="22"/>
                <w:lang w:val="lt-LT" w:eastAsia="zxx" w:bidi="zxx"/>
              </w:rPr>
              <w:t>Įranga atitinka Europos Parlamento ir Tarybos direktyvos 2002/95/EB "Dėl tam tikrų medžiagų naudojimo elektroninėje įrangoje apribojimo" nustatytus reikalavimus (RoHS).</w:t>
            </w:r>
          </w:p>
          <w:p>
            <w:pPr>
              <w:pStyle w:val="ListParagraph"/>
              <w:numPr>
                <w:ilvl w:val="0"/>
                <w:numId w:val="2"/>
              </w:numPr>
              <w:bidi w:val="0"/>
              <w:jc w:val="both"/>
              <w:rPr>
                <w:rFonts w:ascii="Arial" w:hAnsi="Arial" w:eastAsia="Times New Roman" w:cs="Arial"/>
                <w:sz w:val="22"/>
                <w:szCs w:val="22"/>
              </w:rPr>
            </w:pPr>
            <w:r>
              <w:rPr>
                <w:rFonts w:cs="Arial" w:ascii="Arial" w:hAnsi="Arial"/>
                <w:sz w:val="22"/>
                <w:szCs w:val="22"/>
                <w:lang w:val="lt-LT" w:eastAsia="zxx" w:bidi="zxx"/>
              </w:rPr>
              <w:t>Kompiuteris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(2017 m. rugpjūčio 22 d. įsakymo Nr. D1-672 redakcija) patvirtintus minimalius aplinkos apsaugos kriterijus. Taikymo tvarka aprašyta IX skyriaus „Informacinių technologijų priemonės: kompiuteriai, monitoriai“ 11.1 punkte.</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Reikalavimai pakuotei</w:t>
            </w:r>
          </w:p>
          <w:p>
            <w:pPr>
              <w:pStyle w:val="Normal"/>
              <w:bidi w:val="0"/>
              <w:jc w:val="left"/>
              <w:rPr>
                <w:rFonts w:ascii="Arial" w:hAnsi="Arial" w:eastAsia="Calibri" w:cs="Arial"/>
                <w:sz w:val="22"/>
                <w:szCs w:val="22"/>
              </w:rPr>
            </w:pPr>
            <w:r>
              <w:rPr>
                <w:rFonts w:eastAsia="Calibri" w:cs="Arial" w:ascii="Arial" w:hAnsi="Arial"/>
                <w:sz w:val="22"/>
                <w:szCs w:val="22"/>
              </w:rPr>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 xml:space="preserve">Turi būti pateikti atitiktį reikalavimams įrodantys dokumentai: gamintojo ir (ar) importuotojo raštiškas patvirtinimas apie pakuotės atitiktį arba kiti lygiaverčiai įrodymai. </w:t>
            </w:r>
            <w:r>
              <w:rPr>
                <w:rFonts w:eastAsia="Calibri" w:cs="Arial" w:ascii="Arial" w:hAnsi="Arial"/>
                <w:b/>
                <w:bCs/>
                <w:sz w:val="22"/>
                <w:szCs w:val="22"/>
                <w:lang w:val="lt-LT" w:eastAsia="zxx" w:bidi="zxx"/>
              </w:rPr>
              <w:t xml:space="preserve">Dokumentų lygiavertiškumą turi įrodyti tiekėjas. </w:t>
            </w:r>
          </w:p>
        </w:tc>
      </w:tr>
      <w:tr>
        <w:trPr/>
        <w:tc>
          <w:tcPr>
            <w:tcW w:w="2268" w:type="dxa"/>
            <w:gridSpan w:val="3"/>
            <w:tcBorders/>
            <w:shd w:color="auto" w:fill="D9D9D9" w:val="clear"/>
          </w:tcPr>
          <w:p>
            <w:pPr>
              <w:pStyle w:val="Normal"/>
              <w:bidi w:val="0"/>
              <w:jc w:val="center"/>
              <w:rPr>
                <w:rFonts w:ascii="Arial" w:hAnsi="Arial" w:eastAsia="Calibri" w:cs="Arial"/>
                <w:sz w:val="22"/>
                <w:szCs w:val="22"/>
              </w:rPr>
            </w:pPr>
            <w:r>
              <w:rPr>
                <w:rFonts w:eastAsia="Calibri" w:cs="Arial" w:ascii="Arial" w:hAnsi="Arial"/>
                <w:b/>
                <w:i/>
                <w:sz w:val="22"/>
                <w:szCs w:val="22"/>
                <w:lang w:val="lt-LT" w:eastAsia="zxx" w:bidi="zxx"/>
              </w:rPr>
              <w:t xml:space="preserve">Monitorius </w:t>
            </w:r>
          </w:p>
        </w:tc>
        <w:tc>
          <w:tcPr>
            <w:tcW w:w="7371" w:type="dxa"/>
            <w:tcBorders/>
            <w:shd w:color="auto" w:fill="D9D9D9" w:val="clear"/>
          </w:tcPr>
          <w:p>
            <w:pPr>
              <w:pStyle w:val="Normal"/>
              <w:bidi w:val="0"/>
              <w:jc w:val="center"/>
              <w:rPr>
                <w:rFonts w:ascii="Arial" w:hAnsi="Arial" w:eastAsia="Calibri" w:cs="Arial"/>
                <w:b/>
                <w:b/>
                <w:bCs/>
                <w:i/>
                <w:i/>
                <w:iCs/>
                <w:sz w:val="22"/>
                <w:szCs w:val="22"/>
              </w:rPr>
            </w:pPr>
            <w:r>
              <w:rPr>
                <w:rFonts w:eastAsia="Calibri" w:cs="Arial" w:ascii="Arial" w:hAnsi="Arial"/>
                <w:b/>
                <w:bCs/>
                <w:i/>
                <w:iCs/>
                <w:sz w:val="22"/>
                <w:szCs w:val="22"/>
                <w:lang w:val="lt-LT" w:eastAsia="zxx" w:bidi="zxx"/>
              </w:rPr>
              <w:t>Reikalavimas</w:t>
            </w:r>
          </w:p>
        </w:tc>
      </w:tr>
      <w:tr>
        <w:trPr/>
        <w:tc>
          <w:tcPr>
            <w:tcW w:w="561" w:type="dxa"/>
            <w:tcBorders/>
          </w:tcPr>
          <w:p>
            <w:pPr>
              <w:pStyle w:val="Normal"/>
              <w:numPr>
                <w:ilvl w:val="0"/>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Gamintojas, modelis.</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rPr>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Kiekis</w:t>
            </w:r>
          </w:p>
        </w:tc>
        <w:tc>
          <w:tcPr>
            <w:tcW w:w="7371" w:type="dxa"/>
            <w:tcBorders/>
          </w:tcPr>
          <w:p>
            <w:pPr>
              <w:pStyle w:val="Normal"/>
              <w:bidi w:val="0"/>
              <w:jc w:val="right"/>
              <w:rPr>
                <w:rFonts w:ascii="Arial" w:hAnsi="Arial" w:eastAsia="Calibri" w:cs="Arial"/>
                <w:b/>
                <w:b/>
                <w:bCs/>
                <w:sz w:val="22"/>
                <w:szCs w:val="22"/>
              </w:rPr>
            </w:pPr>
            <w:r>
              <w:rPr>
                <w:rFonts w:eastAsia="Calibri" w:cs="Arial" w:ascii="Arial" w:hAnsi="Arial"/>
                <w:b/>
                <w:bCs/>
                <w:sz w:val="22"/>
                <w:szCs w:val="22"/>
                <w:lang w:val="lt-LT" w:eastAsia="zxx" w:bidi="zxx"/>
              </w:rPr>
              <w:t>124 vnt.</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Suderinamumas</w:t>
            </w:r>
          </w:p>
        </w:tc>
        <w:tc>
          <w:tcPr>
            <w:tcW w:w="7371" w:type="dxa"/>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Tos pačios firmos-gamintojo monitorius kaip ir nešiojamasis kompiuteris, paženklintas jos logotipu.</w:t>
            </w:r>
          </w:p>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Kompiuterio krovimo funkcija.</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Skiriamoji geba</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Ne mažiau kaip 1920 x 1080 taškų, FHD</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Technologija</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IPS arba lygiavertė su matiniu paviršiumi (AntiGlare)</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Ekrano įstrižainė</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Įstrižainė ne mažesnė nei 24 colių.</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 xml:space="preserve">Ryškumas </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Ne mažiau 250 cd/m2</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 xml:space="preserve">Atsako laikas </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Ne daugiau kaip 5 ms.</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Jungtys</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ne mažiau nei 1 vnt. USB-C (jungtis skirta kompiuterio ir monitoriaus sujungimui, kuri užtikrina vaizdo ir duomenų perdavimą, maitinimą ne mažiau kaip 65 W).</w:t>
            </w:r>
          </w:p>
          <w:p>
            <w:pPr>
              <w:pStyle w:val="Normal"/>
              <w:bidi w:val="0"/>
              <w:jc w:val="both"/>
              <w:rPr>
                <w:rFonts w:ascii="Arial" w:hAnsi="Arial" w:eastAsia="Calibri" w:cs="Arial"/>
                <w:sz w:val="22"/>
                <w:szCs w:val="22"/>
              </w:rPr>
            </w:pPr>
            <w:r>
              <w:rPr>
                <w:rFonts w:eastAsia="Times New Roman" w:cs="Arial" w:ascii="Arial" w:hAnsi="Arial"/>
                <w:sz w:val="22"/>
                <w:szCs w:val="22"/>
                <w:lang w:val="lt-LT" w:eastAsia="zxx" w:bidi="zxx"/>
              </w:rPr>
              <w:t xml:space="preserve">ne mažiau nei </w:t>
            </w:r>
            <w:r>
              <w:rPr>
                <w:rFonts w:eastAsia="Calibri" w:cs="Arial" w:ascii="Arial" w:hAnsi="Arial"/>
                <w:sz w:val="22"/>
                <w:szCs w:val="22"/>
                <w:lang w:val="lt-LT" w:eastAsia="zxx" w:bidi="zxx"/>
              </w:rPr>
              <w:t>3 vnt. USB</w:t>
            </w:r>
          </w:p>
          <w:p>
            <w:pPr>
              <w:pStyle w:val="Normal"/>
              <w:bidi w:val="0"/>
              <w:jc w:val="both"/>
              <w:rPr>
                <w:rFonts w:ascii="Arial" w:hAnsi="Arial" w:eastAsia="Calibri" w:cs="Arial"/>
                <w:sz w:val="22"/>
                <w:szCs w:val="22"/>
              </w:rPr>
            </w:pPr>
            <w:r>
              <w:rPr>
                <w:rFonts w:eastAsia="Times New Roman" w:cs="Arial" w:ascii="Arial" w:hAnsi="Arial"/>
                <w:sz w:val="22"/>
                <w:szCs w:val="22"/>
                <w:lang w:val="lt-LT" w:eastAsia="zxx" w:bidi="zxx"/>
              </w:rPr>
              <w:t xml:space="preserve">ne mažiau nei </w:t>
            </w:r>
            <w:r>
              <w:rPr>
                <w:rFonts w:eastAsia="Calibri" w:cs="Arial" w:ascii="Arial" w:hAnsi="Arial"/>
                <w:sz w:val="22"/>
                <w:szCs w:val="22"/>
                <w:lang w:val="lt-LT" w:eastAsia="zxx" w:bidi="zxx"/>
              </w:rPr>
              <w:t>1 vnt. DisplayPort In (vaizdo įėjimui)</w:t>
            </w:r>
          </w:p>
          <w:p>
            <w:pPr>
              <w:pStyle w:val="Normal"/>
              <w:bidi w:val="0"/>
              <w:jc w:val="both"/>
              <w:rPr>
                <w:rFonts w:ascii="Arial" w:hAnsi="Arial" w:eastAsia="Calibri" w:cs="Arial"/>
                <w:sz w:val="22"/>
                <w:szCs w:val="22"/>
              </w:rPr>
            </w:pPr>
            <w:r>
              <w:rPr>
                <w:rFonts w:eastAsia="Times New Roman" w:cs="Arial" w:ascii="Arial" w:hAnsi="Arial"/>
                <w:sz w:val="22"/>
                <w:szCs w:val="22"/>
                <w:lang w:val="lt-LT" w:eastAsia="zxx" w:bidi="zxx"/>
              </w:rPr>
              <w:t xml:space="preserve">ne mažiau nei </w:t>
            </w:r>
            <w:r>
              <w:rPr>
                <w:rFonts w:eastAsia="Calibri" w:cs="Arial" w:ascii="Arial" w:hAnsi="Arial"/>
                <w:sz w:val="22"/>
                <w:szCs w:val="22"/>
                <w:lang w:val="lt-LT" w:eastAsia="zxx" w:bidi="zxx"/>
              </w:rPr>
              <w:t>1 vnt. DisplayPort Out (vaizdo išėjimui)</w:t>
            </w:r>
          </w:p>
          <w:p>
            <w:pPr>
              <w:pStyle w:val="Normal"/>
              <w:bidi w:val="0"/>
              <w:jc w:val="both"/>
              <w:rPr>
                <w:rFonts w:ascii="Arial" w:hAnsi="Arial" w:eastAsia="Calibri" w:cs="Arial"/>
                <w:sz w:val="22"/>
                <w:szCs w:val="22"/>
              </w:rPr>
            </w:pPr>
            <w:r>
              <w:rPr>
                <w:rFonts w:eastAsia="Times New Roman" w:cs="Arial" w:ascii="Arial" w:hAnsi="Arial"/>
                <w:sz w:val="22"/>
                <w:szCs w:val="22"/>
                <w:lang w:val="lt-LT" w:eastAsia="zxx" w:bidi="zxx"/>
              </w:rPr>
              <w:t xml:space="preserve">ne mažiau nei </w:t>
            </w:r>
            <w:r>
              <w:rPr>
                <w:rFonts w:eastAsia="Calibri" w:cs="Arial" w:ascii="Arial" w:hAnsi="Arial"/>
                <w:sz w:val="22"/>
                <w:szCs w:val="22"/>
                <w:lang w:val="lt-LT" w:eastAsia="zxx" w:bidi="zxx"/>
              </w:rPr>
              <w:t>1 vnt. HDMI</w:t>
            </w:r>
          </w:p>
          <w:p>
            <w:pPr>
              <w:pStyle w:val="Normal"/>
              <w:bidi w:val="0"/>
              <w:jc w:val="both"/>
              <w:rPr>
                <w:rFonts w:ascii="Arial" w:hAnsi="Arial" w:eastAsia="Calibri" w:cs="Arial"/>
                <w:sz w:val="22"/>
                <w:szCs w:val="22"/>
              </w:rPr>
            </w:pPr>
            <w:r>
              <w:rPr>
                <w:rFonts w:eastAsia="Times New Roman" w:cs="Arial" w:ascii="Arial" w:hAnsi="Arial"/>
                <w:sz w:val="22"/>
                <w:szCs w:val="22"/>
                <w:lang w:val="lt-LT" w:eastAsia="zxx" w:bidi="zxx"/>
              </w:rPr>
              <w:t xml:space="preserve">ne mažiau nei </w:t>
            </w:r>
            <w:r>
              <w:rPr>
                <w:rFonts w:eastAsia="Calibri" w:cs="Arial" w:ascii="Arial" w:hAnsi="Arial"/>
                <w:sz w:val="22"/>
                <w:szCs w:val="22"/>
                <w:lang w:val="lt-LT" w:eastAsia="zxx" w:bidi="zxx"/>
              </w:rPr>
              <w:t xml:space="preserve">1 vnt. RJ-45 </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Monitoriaus stovas</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Komplektacijoje turi būti pateikiamas stovas, kuris leistų reguliuoti monitoriaus aukštį ne mažiau kaip 15 cm, pakreipimą +/-90°, monitoriaus pasvirimo kampą (angl. Tilt) bei pasukti monitorių ant stalo (angl. swivel).</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Sertifikatai</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IT ECO Declarations ir TCO arba lygiaverčiai.</w:t>
            </w:r>
          </w:p>
          <w:p>
            <w:pPr>
              <w:pStyle w:val="Normal"/>
              <w:bidi w:val="0"/>
              <w:jc w:val="both"/>
              <w:rPr>
                <w:rFonts w:ascii="Arial" w:hAnsi="Arial" w:eastAsia="Calibri" w:cs="Arial"/>
                <w:b/>
                <w:b/>
                <w:bCs/>
                <w:sz w:val="22"/>
                <w:szCs w:val="22"/>
              </w:rPr>
            </w:pPr>
            <w:r>
              <w:rPr>
                <w:rFonts w:eastAsia="Calibri" w:cs="Arial" w:ascii="Arial" w:hAnsi="Arial"/>
                <w:b/>
                <w:bCs/>
                <w:color w:val="auto"/>
                <w:sz w:val="22"/>
                <w:szCs w:val="22"/>
                <w:lang w:val="lt-LT" w:eastAsia="zxx" w:bidi="zxx"/>
              </w:rPr>
              <w:t>Pateikti tai įrodančius dokumentus.</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Draugiškas akims</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TÜV Low Blue Light Hardware Solution arba lygiavertis sertifikatas.</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Kabeliai</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Turi būti komplektuojamas skaitmeninis video kabelis sujungimui su siūlomu kompiuteriu arba išorine jungčių stotelė (angl. docking station).</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Aplinkos apsaugos reikalavimai</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Monitorius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(2017 m. rugpjūčio 22 d. įsakymo Nr. D1-672 redakcija) patvirtintus minimalius aplinkos apsaugos kriterijus. Taikymo tvarka aprašyta IX skyriaus „Informacinių technologijų priemonės: kompiuteriai, monitoriai“ 11.1 punkte.</w:t>
            </w:r>
          </w:p>
        </w:tc>
      </w:tr>
      <w:tr>
        <w:trPr/>
        <w:tc>
          <w:tcPr>
            <w:tcW w:w="9639" w:type="dxa"/>
            <w:gridSpan w:val="4"/>
            <w:tcBorders/>
            <w:shd w:color="auto" w:fill="D9D9D9" w:val="clear"/>
          </w:tcPr>
          <w:p>
            <w:pPr>
              <w:pStyle w:val="Normal"/>
              <w:bidi w:val="0"/>
              <w:jc w:val="both"/>
              <w:rPr>
                <w:rFonts w:ascii="Arial" w:hAnsi="Arial" w:eastAsia="Calibri" w:cs="Arial"/>
                <w:sz w:val="22"/>
                <w:szCs w:val="22"/>
              </w:rPr>
            </w:pPr>
            <w:r>
              <w:rPr>
                <w:rFonts w:eastAsia="Calibri" w:cs="Arial" w:ascii="Arial" w:hAnsi="Arial"/>
                <w:b/>
                <w:i/>
                <w:sz w:val="22"/>
                <w:szCs w:val="22"/>
                <w:lang w:val="lt-LT" w:eastAsia="zxx" w:bidi="zxx"/>
              </w:rPr>
              <w:t>Kompiuterio klaviatūra ir pelė</w:t>
            </w:r>
          </w:p>
        </w:tc>
      </w:tr>
      <w:tr>
        <w:trPr/>
        <w:tc>
          <w:tcPr>
            <w:tcW w:w="561" w:type="dxa"/>
            <w:tcBorders/>
          </w:tcPr>
          <w:p>
            <w:pPr>
              <w:pStyle w:val="Normal"/>
              <w:numPr>
                <w:ilvl w:val="0"/>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Gamintojas, modelis.</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rPr>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Kiekis</w:t>
            </w:r>
          </w:p>
        </w:tc>
        <w:tc>
          <w:tcPr>
            <w:tcW w:w="7371" w:type="dxa"/>
            <w:tcBorders/>
          </w:tcPr>
          <w:p>
            <w:pPr>
              <w:pStyle w:val="Normal"/>
              <w:bidi w:val="0"/>
              <w:jc w:val="right"/>
              <w:rPr>
                <w:rFonts w:ascii="Arial" w:hAnsi="Arial" w:eastAsia="Calibri" w:cs="Arial"/>
                <w:b/>
                <w:b/>
                <w:bCs/>
                <w:sz w:val="22"/>
                <w:szCs w:val="22"/>
              </w:rPr>
            </w:pPr>
            <w:r>
              <w:rPr>
                <w:rFonts w:eastAsia="Calibri" w:cs="Arial" w:ascii="Arial" w:hAnsi="Arial"/>
                <w:b/>
                <w:bCs/>
                <w:sz w:val="22"/>
                <w:szCs w:val="22"/>
                <w:lang w:val="lt-LT" w:eastAsia="zxx" w:bidi="zxx"/>
              </w:rPr>
              <w:t>124 vnt.</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 xml:space="preserve">Reikalavimai </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Tos pačios firmos-gamintojo bevielės klaviatūros ir pelės komplektas kaip ir nešiojamasis kompiuteris, paženklintas jos logotipu. Klaviatūra lotyniška, su lietuviškos abėcėlės ženklais (arba lipdukais).</w:t>
            </w:r>
          </w:p>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Pridedama galvaniniai elementai klaviatūrai ir pelei.</w:t>
            </w:r>
          </w:p>
        </w:tc>
      </w:tr>
      <w:tr>
        <w:trPr/>
        <w:tc>
          <w:tcPr>
            <w:tcW w:w="9639" w:type="dxa"/>
            <w:gridSpan w:val="4"/>
            <w:tcBorders/>
            <w:shd w:color="auto" w:fill="D9D9D9" w:val="clear"/>
          </w:tcPr>
          <w:p>
            <w:pPr>
              <w:pStyle w:val="Normal"/>
              <w:bidi w:val="0"/>
              <w:jc w:val="both"/>
              <w:rPr>
                <w:rFonts w:ascii="Arial" w:hAnsi="Arial" w:eastAsia="Calibri" w:cs="Arial"/>
                <w:sz w:val="22"/>
                <w:szCs w:val="22"/>
              </w:rPr>
            </w:pPr>
            <w:r>
              <w:rPr>
                <w:rFonts w:eastAsia="Calibri" w:cs="Arial" w:ascii="Arial" w:hAnsi="Arial"/>
                <w:b/>
                <w:i/>
                <w:sz w:val="22"/>
                <w:szCs w:val="22"/>
                <w:lang w:val="lt-LT" w:eastAsia="zxx" w:bidi="zxx"/>
              </w:rPr>
              <w:t>Kompiuterio krepšys</w:t>
            </w:r>
          </w:p>
        </w:tc>
      </w:tr>
      <w:tr>
        <w:trPr/>
        <w:tc>
          <w:tcPr>
            <w:tcW w:w="561" w:type="dxa"/>
            <w:tcBorders/>
          </w:tcPr>
          <w:p>
            <w:pPr>
              <w:pStyle w:val="Normal"/>
              <w:numPr>
                <w:ilvl w:val="0"/>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Gamintojas, modelis.</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rPr>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Kiekis</w:t>
            </w:r>
          </w:p>
        </w:tc>
        <w:tc>
          <w:tcPr>
            <w:tcW w:w="7371" w:type="dxa"/>
            <w:tcBorders/>
          </w:tcPr>
          <w:p>
            <w:pPr>
              <w:pStyle w:val="Normal"/>
              <w:bidi w:val="0"/>
              <w:jc w:val="right"/>
              <w:rPr>
                <w:rFonts w:ascii="Arial" w:hAnsi="Arial" w:eastAsia="Calibri" w:cs="Arial"/>
                <w:b/>
                <w:b/>
                <w:bCs/>
                <w:sz w:val="22"/>
                <w:szCs w:val="22"/>
              </w:rPr>
            </w:pPr>
            <w:r>
              <w:rPr>
                <w:rFonts w:eastAsia="Calibri" w:cs="Arial" w:ascii="Arial" w:hAnsi="Arial"/>
                <w:b/>
                <w:bCs/>
                <w:sz w:val="22"/>
                <w:szCs w:val="22"/>
                <w:lang w:val="lt-LT" w:eastAsia="zxx" w:bidi="zxx"/>
              </w:rPr>
              <w:t>124 vnt.</w:t>
            </w:r>
          </w:p>
        </w:tc>
      </w:tr>
      <w:tr>
        <w:trPr/>
        <w:tc>
          <w:tcPr>
            <w:tcW w:w="561" w:type="dxa"/>
            <w:tcBorders/>
          </w:tcPr>
          <w:p>
            <w:pPr>
              <w:pStyle w:val="Normal"/>
              <w:numPr>
                <w:ilvl w:val="1"/>
                <w:numId w:val="1"/>
              </w:numPr>
              <w:bidi w:val="0"/>
              <w:ind w:left="0" w:hanging="0"/>
              <w:jc w:val="left"/>
              <w:rPr>
                <w:rFonts w:ascii="Arial" w:hAnsi="Arial" w:eastAsia="Calibri" w:cs="Arial"/>
                <w:sz w:val="22"/>
                <w:szCs w:val="22"/>
              </w:rPr>
            </w:pPr>
            <w:r>
              <w:rPr>
                <w:rFonts w:eastAsia="Calibri" w:cs="Arial" w:ascii="Arial" w:hAnsi="Arial"/>
                <w:sz w:val="22"/>
                <w:szCs w:val="22"/>
              </w:rPr>
            </w:r>
          </w:p>
        </w:tc>
        <w:tc>
          <w:tcPr>
            <w:tcW w:w="1707" w:type="dxa"/>
            <w:gridSpan w:val="2"/>
            <w:tcBorders/>
          </w:tcPr>
          <w:p>
            <w:pPr>
              <w:pStyle w:val="Normal"/>
              <w:bidi w:val="0"/>
              <w:jc w:val="left"/>
              <w:rPr>
                <w:rFonts w:ascii="Arial" w:hAnsi="Arial" w:eastAsia="Calibri" w:cs="Arial"/>
                <w:sz w:val="22"/>
                <w:szCs w:val="22"/>
              </w:rPr>
            </w:pPr>
            <w:r>
              <w:rPr>
                <w:rFonts w:eastAsia="Calibri" w:cs="Arial" w:ascii="Arial" w:hAnsi="Arial"/>
                <w:sz w:val="22"/>
                <w:szCs w:val="22"/>
                <w:lang w:val="lt-LT" w:eastAsia="zxx" w:bidi="zxx"/>
              </w:rPr>
              <w:t>Reikalavimai krepšiui</w:t>
            </w:r>
          </w:p>
        </w:tc>
        <w:tc>
          <w:tcPr>
            <w:tcW w:w="7371"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 xml:space="preserve">Tos pačios firmos-gamintojo krepšys kaip ir nešiojamasis kompiuteris, paženklintas jos logotipu. Krepšys turi būti pritaikytas nuo 15.1 iki 16.3 colių nešiojamajam kompiuteriui. Krepšys negali būti pritaikytas didesniam nei nurodyta išmatavimų kompiuteriui. Krepšys turi būti portfelio (angl. briefcase arba top load) tipo.  </w:t>
            </w:r>
          </w:p>
        </w:tc>
      </w:tr>
      <w:tr>
        <w:trPr/>
        <w:tc>
          <w:tcPr>
            <w:tcW w:w="9639" w:type="dxa"/>
            <w:gridSpan w:val="4"/>
            <w:tcBorders/>
            <w:shd w:color="auto" w:fill="D9D9D9" w:val="clear"/>
          </w:tcPr>
          <w:p>
            <w:pPr>
              <w:pStyle w:val="Normal"/>
              <w:bidi w:val="0"/>
              <w:jc w:val="center"/>
              <w:rPr>
                <w:rFonts w:ascii="Arial" w:hAnsi="Arial" w:eastAsia="Calibri" w:cs="Arial"/>
                <w:b/>
                <w:b/>
                <w:i/>
                <w:i/>
                <w:iCs/>
                <w:sz w:val="22"/>
                <w:szCs w:val="22"/>
              </w:rPr>
            </w:pPr>
            <w:r>
              <w:rPr>
                <w:rFonts w:eastAsia="Calibri" w:cs="Arial" w:ascii="Arial" w:hAnsi="Arial"/>
                <w:b/>
                <w:i/>
                <w:iCs/>
                <w:sz w:val="22"/>
                <w:szCs w:val="22"/>
                <w:lang w:val="lt-LT" w:eastAsia="zxx" w:bidi="zxx"/>
              </w:rPr>
              <w:t>Bendri reikalavimai įrangai</w:t>
            </w:r>
          </w:p>
        </w:tc>
      </w:tr>
      <w:tr>
        <w:trPr/>
        <w:tc>
          <w:tcPr>
            <w:tcW w:w="561" w:type="dxa"/>
            <w:tcBorders/>
          </w:tcPr>
          <w:p>
            <w:pPr>
              <w:pStyle w:val="Normal"/>
              <w:bidi w:val="0"/>
              <w:jc w:val="left"/>
              <w:rPr>
                <w:rFonts w:ascii="Arial" w:hAnsi="Arial" w:eastAsia="Calibri" w:cs="Arial"/>
                <w:sz w:val="22"/>
                <w:szCs w:val="22"/>
              </w:rPr>
            </w:pPr>
            <w:r>
              <w:rPr>
                <w:rFonts w:eastAsia="Calibri" w:cs="Arial" w:ascii="Arial" w:hAnsi="Arial"/>
                <w:sz w:val="22"/>
                <w:szCs w:val="22"/>
              </w:rPr>
            </w:r>
          </w:p>
        </w:tc>
        <w:tc>
          <w:tcPr>
            <w:tcW w:w="1600"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Naujumas</w:t>
            </w:r>
          </w:p>
        </w:tc>
        <w:tc>
          <w:tcPr>
            <w:tcW w:w="7478" w:type="dxa"/>
            <w:gridSpan w:val="2"/>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Visa įranga turi būti gamykliškai nauja „brand new“. Gamykliškai atnaujinti „renew“ / „refurbished“ /„remarked“ komponentai neleistini.</w:t>
            </w:r>
          </w:p>
        </w:tc>
      </w:tr>
      <w:tr>
        <w:trPr/>
        <w:tc>
          <w:tcPr>
            <w:tcW w:w="561" w:type="dxa"/>
            <w:tcBorders/>
          </w:tcPr>
          <w:p>
            <w:pPr>
              <w:pStyle w:val="Normal"/>
              <w:bidi w:val="0"/>
              <w:jc w:val="left"/>
              <w:rPr>
                <w:rFonts w:ascii="Arial" w:hAnsi="Arial" w:eastAsia="Calibri" w:cs="Arial"/>
                <w:sz w:val="22"/>
                <w:szCs w:val="22"/>
              </w:rPr>
            </w:pPr>
            <w:r>
              <w:rPr>
                <w:rFonts w:eastAsia="Calibri" w:cs="Arial" w:ascii="Arial" w:hAnsi="Arial"/>
                <w:sz w:val="22"/>
                <w:szCs w:val="22"/>
              </w:rPr>
            </w:r>
          </w:p>
        </w:tc>
        <w:tc>
          <w:tcPr>
            <w:tcW w:w="1600"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Komplektacija</w:t>
            </w:r>
          </w:p>
        </w:tc>
        <w:tc>
          <w:tcPr>
            <w:tcW w:w="7478" w:type="dxa"/>
            <w:gridSpan w:val="2"/>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Įranga komplektuojama su visais kabeliais ir kitomis sudedamosiomis dalimis bei medžiagomis, reikalingomis visų užsakomos sistemos perkamų vidinių ir periferinių įrenginių sujungimui, užtikrinant sistemos funkcionavimą (pvz., maitinimo kabeliai ir t.t.).</w:t>
            </w:r>
          </w:p>
        </w:tc>
      </w:tr>
      <w:tr>
        <w:trPr/>
        <w:tc>
          <w:tcPr>
            <w:tcW w:w="561" w:type="dxa"/>
            <w:tcBorders/>
          </w:tcPr>
          <w:p>
            <w:pPr>
              <w:pStyle w:val="Normal"/>
              <w:bidi w:val="0"/>
              <w:jc w:val="left"/>
              <w:rPr>
                <w:rFonts w:ascii="Arial" w:hAnsi="Arial" w:eastAsia="Calibri" w:cs="Arial"/>
                <w:sz w:val="22"/>
                <w:szCs w:val="22"/>
              </w:rPr>
            </w:pPr>
            <w:r>
              <w:rPr>
                <w:rFonts w:eastAsia="Calibri" w:cs="Arial" w:ascii="Arial" w:hAnsi="Arial"/>
                <w:sz w:val="22"/>
                <w:szCs w:val="22"/>
              </w:rPr>
            </w:r>
          </w:p>
        </w:tc>
        <w:tc>
          <w:tcPr>
            <w:tcW w:w="1600"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Surinkimo reikalavimai</w:t>
            </w:r>
          </w:p>
        </w:tc>
        <w:tc>
          <w:tcPr>
            <w:tcW w:w="7478" w:type="dxa"/>
            <w:gridSpan w:val="2"/>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Visa siūloma įranga turi būti vienos firmos-gamintojo ir pažymėta firmos gamintojos prekiniu ženklu, tam kad būtų užtikrintas maksimalus sistemos komponentų suderinamumas. Įrenginių korpuso žymėjimas ir logotipai turi būti originalus, negali būti perdarytų kitų gamintojų logotipų. Nešiojamąjį kompiuterį sudarantys aparatiniai komponentai privalo būti pilnai sumontuoti į kompiuterį gamintojo gamykloje. Visi kompiuterio įrenginiai (sisteminis blokas, klaviatūra, pelė) turi būti ženklinti CE ženklu.</w:t>
            </w:r>
          </w:p>
        </w:tc>
      </w:tr>
      <w:tr>
        <w:trPr/>
        <w:tc>
          <w:tcPr>
            <w:tcW w:w="561" w:type="dxa"/>
            <w:tcBorders/>
          </w:tcPr>
          <w:p>
            <w:pPr>
              <w:pStyle w:val="Normal"/>
              <w:bidi w:val="0"/>
              <w:jc w:val="left"/>
              <w:rPr>
                <w:rFonts w:ascii="Arial" w:hAnsi="Arial" w:eastAsia="Calibri" w:cs="Arial"/>
                <w:sz w:val="22"/>
                <w:szCs w:val="22"/>
              </w:rPr>
            </w:pPr>
            <w:r>
              <w:rPr>
                <w:rFonts w:eastAsia="Calibri" w:cs="Arial" w:ascii="Arial" w:hAnsi="Arial"/>
                <w:sz w:val="22"/>
                <w:szCs w:val="22"/>
              </w:rPr>
            </w:r>
          </w:p>
        </w:tc>
        <w:tc>
          <w:tcPr>
            <w:tcW w:w="1600" w:type="dxa"/>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Garantinė techninė priežiūra</w:t>
            </w:r>
          </w:p>
          <w:p>
            <w:pPr>
              <w:pStyle w:val="Normal"/>
              <w:bidi w:val="0"/>
              <w:jc w:val="both"/>
              <w:rPr>
                <w:rFonts w:ascii="Arial" w:hAnsi="Arial" w:eastAsia="Calibri" w:cs="Arial"/>
                <w:sz w:val="22"/>
                <w:szCs w:val="22"/>
              </w:rPr>
            </w:pPr>
            <w:r>
              <w:rPr>
                <w:rFonts w:eastAsia="Calibri" w:cs="Arial" w:ascii="Arial" w:hAnsi="Arial"/>
                <w:sz w:val="22"/>
                <w:szCs w:val="22"/>
              </w:rPr>
            </w:r>
          </w:p>
        </w:tc>
        <w:tc>
          <w:tcPr>
            <w:tcW w:w="7478" w:type="dxa"/>
            <w:gridSpan w:val="2"/>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 xml:space="preserve">Nešiojamajam kompiuteriui  taikoma 36 mėnesių trukmės garantija (įskaitant 36 mėnesių garantiją nešiojamojo kompiuterio baterijai). </w:t>
            </w:r>
          </w:p>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Monitoriui 36mėn. garantija.</w:t>
            </w:r>
          </w:p>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Pelės ir klaviatūros komplektui, krepšiui taikoma 12 mėnesių trukmės garantija.</w:t>
            </w:r>
          </w:p>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Siūlomos įrangos techninis aptarnavimas atliekamas įrangos gamintojo sertifikuotuose techninio aptarnavimo centruose.</w:t>
            </w:r>
          </w:p>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Visi šiame punkte išvardinti reikalavimai garantuojami gamintojo.</w:t>
            </w:r>
          </w:p>
        </w:tc>
      </w:tr>
      <w:tr>
        <w:trPr/>
        <w:tc>
          <w:tcPr>
            <w:tcW w:w="561" w:type="dxa"/>
            <w:tcBorders/>
          </w:tcPr>
          <w:p>
            <w:pPr>
              <w:pStyle w:val="Normal"/>
              <w:bidi w:val="0"/>
              <w:jc w:val="left"/>
              <w:rPr>
                <w:rFonts w:ascii="Arial" w:hAnsi="Arial" w:eastAsia="Calibri" w:cs="Arial"/>
                <w:sz w:val="22"/>
                <w:szCs w:val="22"/>
              </w:rPr>
            </w:pPr>
            <w:r>
              <w:rPr>
                <w:rFonts w:eastAsia="Calibri" w:cs="Arial" w:ascii="Arial" w:hAnsi="Arial"/>
                <w:sz w:val="22"/>
                <w:szCs w:val="22"/>
              </w:rPr>
            </w:r>
          </w:p>
        </w:tc>
        <w:tc>
          <w:tcPr>
            <w:tcW w:w="1600" w:type="dxa"/>
            <w:tcBorders/>
          </w:tcPr>
          <w:p>
            <w:pPr>
              <w:pStyle w:val="Normal"/>
              <w:bidi w:val="0"/>
              <w:jc w:val="both"/>
              <w:rPr>
                <w:rFonts w:ascii="Arial" w:hAnsi="Arial" w:eastAsia="Calibri" w:cs="Arial"/>
                <w:sz w:val="22"/>
                <w:szCs w:val="22"/>
              </w:rPr>
            </w:pPr>
            <w:r>
              <w:rPr>
                <w:rFonts w:eastAsia="Times New Roman" w:cs="Arial" w:ascii="Arial" w:hAnsi="Arial"/>
                <w:sz w:val="22"/>
                <w:szCs w:val="22"/>
                <w:lang w:val="lt-LT" w:eastAsia="zxx" w:bidi="zxx"/>
              </w:rPr>
              <w:t>Pristatymo terminas</w:t>
            </w:r>
          </w:p>
        </w:tc>
        <w:tc>
          <w:tcPr>
            <w:tcW w:w="7478" w:type="dxa"/>
            <w:gridSpan w:val="2"/>
            <w:tcBorders/>
          </w:tcPr>
          <w:p>
            <w:pPr>
              <w:pStyle w:val="Normal"/>
              <w:bidi w:val="0"/>
              <w:jc w:val="both"/>
              <w:rPr>
                <w:rFonts w:ascii="Arial" w:hAnsi="Arial" w:eastAsia="Calibri" w:cs="Arial"/>
                <w:sz w:val="22"/>
                <w:szCs w:val="22"/>
              </w:rPr>
            </w:pPr>
            <w:r>
              <w:rPr>
                <w:rFonts w:eastAsia="Calibri" w:cs="Arial" w:ascii="Arial" w:hAnsi="Arial"/>
                <w:sz w:val="22"/>
                <w:szCs w:val="22"/>
                <w:lang w:val="lt-LT" w:eastAsia="zxx" w:bidi="zxx"/>
              </w:rPr>
              <w:t>60 kalendorinių dienų</w:t>
            </w:r>
          </w:p>
        </w:tc>
      </w:tr>
    </w:tbl>
    <w:p>
      <w:pPr>
        <w:pStyle w:val="Normal"/>
        <w:bidi w:val="0"/>
        <w:spacing w:before="0" w:after="60"/>
        <w:jc w:val="left"/>
        <w:rPr>
          <w:rFonts w:ascii="Arial" w:hAnsi="Arial" w:eastAsia="" w:cs="Arial" w:eastAsiaTheme="minorHAnsi"/>
          <w:color w:val="auto"/>
          <w:sz w:val="22"/>
          <w:szCs w:val="22"/>
          <w:lang w:eastAsia="ja-JP"/>
        </w:rPr>
      </w:pPr>
      <w:r>
        <w:rPr>
          <w:rFonts w:eastAsia="" w:cs="Arial" w:eastAsiaTheme="minorHAnsi" w:ascii="Arial" w:hAnsi="Arial"/>
          <w:color w:val="auto"/>
          <w:sz w:val="22"/>
          <w:szCs w:val="22"/>
          <w:lang w:eastAsia="ja-JP"/>
        </w:rPr>
      </w:r>
    </w:p>
    <w:p>
      <w:pPr>
        <w:pStyle w:val="Bodytext1"/>
        <w:shd w:val="clear" w:color="auto" w:fill="auto"/>
        <w:tabs>
          <w:tab w:val="clear" w:pos="709"/>
          <w:tab w:val="left" w:pos="0" w:leader="none"/>
        </w:tabs>
        <w:bidi w:val="0"/>
        <w:spacing w:lineRule="auto" w:line="240" w:before="0" w:after="0"/>
        <w:ind w:right="55" w:hanging="0"/>
        <w:jc w:val="center"/>
        <w:rPr>
          <w:rFonts w:ascii="Arial" w:hAnsi="Arial" w:cs="Arial"/>
          <w:sz w:val="22"/>
          <w:szCs w:val="22"/>
        </w:rPr>
      </w:pPr>
      <w:r>
        <w:rPr>
          <w:rFonts w:cs="Arial" w:ascii="Arial" w:hAnsi="Arial"/>
          <w:sz w:val="22"/>
          <w:szCs w:val="22"/>
          <w:lang w:val="lt-LT" w:eastAsia="zxx" w:bidi="zxx"/>
        </w:rPr>
        <w:t>---------------</w:t>
      </w:r>
    </w:p>
    <w:p>
      <w:pPr>
        <w:pStyle w:val="Bodytext1"/>
        <w:shd w:val="clear" w:color="auto" w:fill="auto"/>
        <w:tabs>
          <w:tab w:val="clear" w:pos="709"/>
          <w:tab w:val="left" w:pos="0" w:leader="none"/>
        </w:tabs>
        <w:bidi w:val="0"/>
        <w:spacing w:lineRule="auto" w:line="240" w:before="0" w:after="0"/>
        <w:ind w:right="55" w:hanging="0"/>
        <w:jc w:val="center"/>
        <w:rPr>
          <w:rFonts w:ascii="Arial" w:hAnsi="Arial" w:cs="Arial"/>
          <w:sz w:val="22"/>
          <w:szCs w:val="22"/>
        </w:rPr>
      </w:pPr>
      <w:r>
        <w:rPr>
          <w:rFonts w:cs="Arial" w:ascii="Arial" w:hAnsi="Arial"/>
          <w:sz w:val="22"/>
          <w:szCs w:val="22"/>
        </w:rPr>
      </w:r>
    </w:p>
    <w:p>
      <w:pPr>
        <w:pStyle w:val="Normal"/>
        <w:bidi w:val="0"/>
        <w:spacing w:lineRule="auto" w:line="259" w:before="0" w:after="160"/>
        <w:jc w:val="left"/>
        <w:rPr>
          <w:rFonts w:ascii="Arial" w:hAnsi="Arial" w:eastAsia="" w:cs="Arial" w:eastAsiaTheme="minorHAnsi"/>
          <w:color w:val="auto"/>
          <w:sz w:val="22"/>
          <w:szCs w:val="22"/>
          <w:lang w:eastAsia="en-US"/>
        </w:rPr>
      </w:pPr>
      <w:r>
        <w:rPr>
          <w:rFonts w:eastAsia="" w:cs="Arial" w:eastAsiaTheme="minorHAnsi" w:ascii="Arial" w:hAnsi="Arial"/>
          <w:color w:val="auto"/>
          <w:sz w:val="22"/>
          <w:szCs w:val="22"/>
          <w:lang w:eastAsia="en-US"/>
        </w:rPr>
      </w:r>
      <w:r>
        <w:br w:type="page"/>
      </w:r>
    </w:p>
    <w:p>
      <w:pPr>
        <w:pStyle w:val="ListParagraph"/>
        <w:bidi w:val="0"/>
        <w:jc w:val="center"/>
        <w:rPr>
          <w:rFonts w:ascii="Arial" w:hAnsi="Arial" w:cs="Arial"/>
          <w:b/>
          <w:b/>
          <w:bCs/>
          <w:color w:val="auto"/>
          <w:sz w:val="22"/>
          <w:szCs w:val="22"/>
          <w:lang w:eastAsia="ja-JP"/>
        </w:rPr>
      </w:pPr>
      <w:r>
        <w:rPr>
          <w:rFonts w:cs="Arial" w:ascii="Arial" w:hAnsi="Arial"/>
          <w:b/>
          <w:bCs/>
          <w:color w:val="auto"/>
          <w:sz w:val="22"/>
          <w:szCs w:val="22"/>
          <w:lang w:val="lt-LT" w:eastAsia="zxx" w:bidi="zxx"/>
        </w:rPr>
        <w:t>SUTARTIES REIKALAVIMAI</w:t>
      </w:r>
    </w:p>
    <w:p>
      <w:pPr>
        <w:pStyle w:val="Antrat2"/>
        <w:bidi w:val="0"/>
        <w:jc w:val="left"/>
        <w:rPr>
          <w:rFonts w:ascii="Arial" w:hAnsi="Arial" w:eastAsia="" w:cs="Arial" w:eastAsiaTheme="minorHAnsi"/>
          <w:color w:val="auto"/>
          <w:sz w:val="22"/>
          <w:szCs w:val="22"/>
          <w:lang w:val="lt-LT"/>
        </w:rPr>
      </w:pPr>
      <w:r>
        <w:rPr>
          <w:rFonts w:eastAsia="" w:cs="Arial" w:ascii="Arial" w:hAnsi="Arial" w:eastAsiaTheme="minorHAnsi"/>
          <w:color w:val="auto"/>
          <w:sz w:val="22"/>
          <w:szCs w:val="22"/>
          <w:lang w:val="lt-LT" w:eastAsia="zxx" w:bidi="zxx"/>
        </w:rPr>
        <w:t>1. Sutarties vykdymo vieta(-os)</w:t>
      </w:r>
    </w:p>
    <w:tbl>
      <w:tblPr>
        <w:tblW w:w="8762" w:type="dxa"/>
        <w:jc w:val="left"/>
        <w:tblInd w:w="108" w:type="dxa"/>
        <w:tblCellMar>
          <w:top w:w="0" w:type="dxa"/>
          <w:left w:w="108" w:type="dxa"/>
          <w:bottom w:w="0" w:type="dxa"/>
          <w:right w:w="108" w:type="dxa"/>
        </w:tblCellMar>
        <w:tblLook w:firstRow="1" w:noVBand="1" w:lastRow="0" w:firstColumn="1" w:lastColumn="0" w:noHBand="0" w:val="04a0"/>
      </w:tblPr>
      <w:tblGrid>
        <w:gridCol w:w="544"/>
        <w:gridCol w:w="3560"/>
        <w:gridCol w:w="4658"/>
      </w:tblGrid>
      <w:tr>
        <w:trPr>
          <w:trHeight w:val="300" w:hRule="atLeast"/>
        </w:trPr>
        <w:tc>
          <w:tcPr>
            <w:tcW w:w="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center"/>
              <w:rPr>
                <w:rFonts w:ascii="Arial" w:hAnsi="Arial" w:eastAsia="Times New Roman" w:cs="Arial"/>
                <w:b/>
                <w:b/>
                <w:bCs/>
                <w:sz w:val="22"/>
                <w:szCs w:val="22"/>
              </w:rPr>
            </w:pPr>
            <w:r>
              <w:rPr>
                <w:rFonts w:eastAsia="Times New Roman" w:cs="Arial" w:ascii="Arial" w:hAnsi="Arial"/>
                <w:b/>
                <w:bCs/>
                <w:sz w:val="22"/>
                <w:szCs w:val="22"/>
                <w:lang w:val="lt-LT" w:eastAsia="zxx" w:bidi="zxx"/>
              </w:rPr>
              <w:t>Eil. Nr.</w:t>
            </w:r>
          </w:p>
        </w:tc>
        <w:tc>
          <w:tcPr>
            <w:tcW w:w="3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center"/>
              <w:rPr>
                <w:rFonts w:ascii="Arial" w:hAnsi="Arial" w:eastAsia="Times New Roman" w:cs="Arial"/>
                <w:b/>
                <w:b/>
                <w:bCs/>
                <w:sz w:val="22"/>
                <w:szCs w:val="22"/>
              </w:rPr>
            </w:pPr>
            <w:r>
              <w:rPr>
                <w:rFonts w:eastAsia="Times New Roman" w:cs="Arial" w:ascii="Arial" w:hAnsi="Arial"/>
                <w:b/>
                <w:bCs/>
                <w:sz w:val="22"/>
                <w:szCs w:val="22"/>
                <w:lang w:val="lt-LT" w:eastAsia="zxx" w:bidi="zxx"/>
              </w:rPr>
              <w:t>Pavadinimas </w:t>
            </w:r>
          </w:p>
        </w:tc>
        <w:tc>
          <w:tcPr>
            <w:tcW w:w="4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center"/>
              <w:rPr>
                <w:rFonts w:ascii="Arial" w:hAnsi="Arial" w:eastAsia="Times New Roman" w:cs="Arial"/>
                <w:b/>
                <w:b/>
                <w:bCs/>
                <w:sz w:val="22"/>
                <w:szCs w:val="22"/>
              </w:rPr>
            </w:pPr>
            <w:r>
              <w:rPr>
                <w:rFonts w:eastAsia="Times New Roman" w:cs="Arial" w:ascii="Arial" w:hAnsi="Arial"/>
                <w:b/>
                <w:bCs/>
                <w:sz w:val="22"/>
                <w:szCs w:val="22"/>
                <w:lang w:val="lt-LT" w:eastAsia="zxx" w:bidi="zxx"/>
              </w:rPr>
              <w:t>Pristatymo adresas</w:t>
            </w:r>
          </w:p>
        </w:tc>
      </w:tr>
      <w:tr>
        <w:trPr>
          <w:trHeight w:val="300" w:hRule="atLeast"/>
        </w:trPr>
        <w:tc>
          <w:tcPr>
            <w:tcW w:w="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center"/>
              <w:rPr>
                <w:rFonts w:ascii="Arial" w:hAnsi="Arial" w:eastAsia="Times New Roman" w:cs="Arial"/>
                <w:sz w:val="22"/>
                <w:szCs w:val="22"/>
              </w:rPr>
            </w:pPr>
            <w:r>
              <w:rPr>
                <w:rFonts w:eastAsia="Times New Roman" w:cs="Arial" w:ascii="Arial" w:hAnsi="Arial"/>
                <w:sz w:val="22"/>
                <w:szCs w:val="22"/>
                <w:lang w:val="lt-LT" w:eastAsia="zxx" w:bidi="zxx"/>
              </w:rPr>
              <w:t>1</w:t>
            </w:r>
          </w:p>
        </w:tc>
        <w:tc>
          <w:tcPr>
            <w:tcW w:w="3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cs="Arial"/>
                <w:sz w:val="22"/>
                <w:szCs w:val="22"/>
              </w:rPr>
            </w:pPr>
            <w:r>
              <w:rPr>
                <w:rFonts w:cs="Arial" w:ascii="Arial" w:hAnsi="Arial"/>
                <w:sz w:val="22"/>
                <w:szCs w:val="22"/>
                <w:lang w:val="lt-LT" w:eastAsia="zxx" w:bidi="zxx"/>
              </w:rPr>
              <w:t>Centrinė administracija</w:t>
            </w:r>
          </w:p>
        </w:tc>
        <w:tc>
          <w:tcPr>
            <w:tcW w:w="4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cs="Arial"/>
                <w:sz w:val="22"/>
                <w:szCs w:val="22"/>
              </w:rPr>
            </w:pPr>
            <w:r>
              <w:rPr>
                <w:rFonts w:cs="Arial" w:ascii="Arial" w:hAnsi="Arial"/>
                <w:sz w:val="22"/>
                <w:szCs w:val="22"/>
                <w:lang w:val="lt-LT" w:eastAsia="zxx" w:bidi="zxx"/>
              </w:rPr>
              <w:t>Savanorių pr. 176, Vilnius</w:t>
            </w:r>
          </w:p>
        </w:tc>
      </w:tr>
      <w:tr>
        <w:trPr>
          <w:trHeight w:val="300" w:hRule="atLeast"/>
        </w:trPr>
        <w:tc>
          <w:tcPr>
            <w:tcW w:w="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center"/>
              <w:rPr>
                <w:rFonts w:ascii="Arial" w:hAnsi="Arial" w:eastAsia="Times New Roman" w:cs="Arial"/>
                <w:sz w:val="22"/>
                <w:szCs w:val="22"/>
              </w:rPr>
            </w:pPr>
            <w:r>
              <w:rPr>
                <w:rFonts w:eastAsia="Times New Roman" w:cs="Arial" w:ascii="Arial" w:hAnsi="Arial"/>
                <w:sz w:val="22"/>
                <w:szCs w:val="22"/>
                <w:lang w:val="lt-LT" w:eastAsia="zxx" w:bidi="zxx"/>
              </w:rPr>
              <w:t>2</w:t>
            </w:r>
          </w:p>
        </w:tc>
        <w:tc>
          <w:tcPr>
            <w:tcW w:w="3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eastAsia="Times New Roman" w:cs="Arial"/>
                <w:sz w:val="22"/>
                <w:szCs w:val="22"/>
              </w:rPr>
            </w:pPr>
            <w:r>
              <w:rPr>
                <w:rFonts w:cs="Arial" w:ascii="Arial" w:hAnsi="Arial"/>
                <w:sz w:val="22"/>
                <w:szCs w:val="22"/>
                <w:lang w:val="lt-LT" w:eastAsia="zxx" w:bidi="zxx"/>
              </w:rPr>
              <w:t>Druskininkų regioninis padalinys</w:t>
            </w:r>
          </w:p>
        </w:tc>
        <w:tc>
          <w:tcPr>
            <w:tcW w:w="4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eastAsia="Times New Roman" w:cs="Arial"/>
                <w:sz w:val="22"/>
                <w:szCs w:val="22"/>
              </w:rPr>
            </w:pPr>
            <w:r>
              <w:rPr>
                <w:rFonts w:cs="Arial" w:ascii="Arial" w:hAnsi="Arial"/>
                <w:sz w:val="22"/>
                <w:szCs w:val="22"/>
                <w:lang w:val="lt-LT" w:eastAsia="zxx" w:bidi="zxx"/>
              </w:rPr>
              <w:t>M. K. Čiurlionio g. 96, Druskininkai</w:t>
            </w:r>
          </w:p>
        </w:tc>
      </w:tr>
      <w:tr>
        <w:trPr>
          <w:trHeight w:val="300" w:hRule="atLeast"/>
        </w:trPr>
        <w:tc>
          <w:tcPr>
            <w:tcW w:w="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center"/>
              <w:rPr>
                <w:rFonts w:ascii="Arial" w:hAnsi="Arial" w:eastAsia="Times New Roman" w:cs="Arial"/>
                <w:sz w:val="22"/>
                <w:szCs w:val="22"/>
              </w:rPr>
            </w:pPr>
            <w:r>
              <w:rPr>
                <w:rFonts w:eastAsia="Times New Roman" w:cs="Arial" w:ascii="Arial" w:hAnsi="Arial"/>
                <w:sz w:val="22"/>
                <w:szCs w:val="22"/>
                <w:lang w:val="lt-LT" w:eastAsia="zxx" w:bidi="zxx"/>
              </w:rPr>
              <w:t>3</w:t>
            </w:r>
          </w:p>
        </w:tc>
        <w:tc>
          <w:tcPr>
            <w:tcW w:w="3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eastAsia="Times New Roman" w:cs="Arial"/>
                <w:sz w:val="22"/>
                <w:szCs w:val="22"/>
              </w:rPr>
            </w:pPr>
            <w:r>
              <w:rPr>
                <w:rFonts w:cs="Arial" w:ascii="Arial" w:hAnsi="Arial"/>
                <w:sz w:val="22"/>
                <w:szCs w:val="22"/>
                <w:lang w:val="lt-LT" w:eastAsia="zxx" w:bidi="zxx"/>
              </w:rPr>
              <w:t>Dubravos regioninis padalinys</w:t>
            </w:r>
          </w:p>
        </w:tc>
        <w:tc>
          <w:tcPr>
            <w:tcW w:w="4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eastAsia="Times New Roman" w:cs="Arial"/>
                <w:sz w:val="22"/>
                <w:szCs w:val="22"/>
              </w:rPr>
            </w:pPr>
            <w:r>
              <w:rPr>
                <w:rFonts w:cs="Arial" w:ascii="Arial" w:hAnsi="Arial"/>
                <w:sz w:val="22"/>
                <w:szCs w:val="22"/>
                <w:lang w:val="lt-LT" w:eastAsia="zxx" w:bidi="zxx"/>
              </w:rPr>
              <w:t>Liepų g. 12, Girionių k., Kauno r.</w:t>
            </w:r>
          </w:p>
        </w:tc>
      </w:tr>
      <w:tr>
        <w:trPr>
          <w:trHeight w:val="300" w:hRule="atLeast"/>
        </w:trPr>
        <w:tc>
          <w:tcPr>
            <w:tcW w:w="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center"/>
              <w:rPr>
                <w:rFonts w:ascii="Arial" w:hAnsi="Arial" w:eastAsia="Times New Roman" w:cs="Arial"/>
                <w:sz w:val="22"/>
                <w:szCs w:val="22"/>
              </w:rPr>
            </w:pPr>
            <w:r>
              <w:rPr>
                <w:rFonts w:eastAsia="Times New Roman" w:cs="Arial" w:ascii="Arial" w:hAnsi="Arial"/>
                <w:sz w:val="22"/>
                <w:szCs w:val="22"/>
                <w:lang w:val="lt-LT" w:eastAsia="zxx" w:bidi="zxx"/>
              </w:rPr>
              <w:t>4</w:t>
            </w:r>
          </w:p>
        </w:tc>
        <w:tc>
          <w:tcPr>
            <w:tcW w:w="3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eastAsia="Times New Roman" w:cs="Arial"/>
                <w:sz w:val="22"/>
                <w:szCs w:val="22"/>
              </w:rPr>
            </w:pPr>
            <w:r>
              <w:rPr>
                <w:rFonts w:cs="Arial" w:ascii="Arial" w:hAnsi="Arial"/>
                <w:sz w:val="22"/>
                <w:szCs w:val="22"/>
                <w:lang w:val="lt-LT" w:eastAsia="zxx" w:bidi="zxx"/>
              </w:rPr>
              <w:t>Kuršėnų regioninis padalinys</w:t>
            </w:r>
          </w:p>
        </w:tc>
        <w:tc>
          <w:tcPr>
            <w:tcW w:w="4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eastAsia="Times New Roman" w:cs="Arial"/>
                <w:sz w:val="22"/>
                <w:szCs w:val="22"/>
              </w:rPr>
            </w:pPr>
            <w:r>
              <w:rPr>
                <w:rFonts w:cs="Arial" w:ascii="Arial" w:hAnsi="Arial"/>
                <w:sz w:val="22"/>
                <w:szCs w:val="22"/>
                <w:lang w:val="lt-LT" w:eastAsia="zxx" w:bidi="zxx"/>
              </w:rPr>
              <w:t>Žalioji g. 2, Toliočiai, Šiaulių r.</w:t>
            </w:r>
          </w:p>
        </w:tc>
      </w:tr>
      <w:tr>
        <w:trPr>
          <w:trHeight w:val="300" w:hRule="atLeast"/>
        </w:trPr>
        <w:tc>
          <w:tcPr>
            <w:tcW w:w="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center"/>
              <w:rPr>
                <w:rFonts w:ascii="Arial" w:hAnsi="Arial" w:eastAsia="Times New Roman" w:cs="Arial"/>
                <w:sz w:val="22"/>
                <w:szCs w:val="22"/>
              </w:rPr>
            </w:pPr>
            <w:r>
              <w:rPr>
                <w:rFonts w:eastAsia="Times New Roman" w:cs="Arial" w:ascii="Arial" w:hAnsi="Arial"/>
                <w:sz w:val="22"/>
                <w:szCs w:val="22"/>
                <w:lang w:val="lt-LT" w:eastAsia="zxx" w:bidi="zxx"/>
              </w:rPr>
              <w:t>5</w:t>
            </w:r>
          </w:p>
        </w:tc>
        <w:tc>
          <w:tcPr>
            <w:tcW w:w="3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eastAsia="Times New Roman" w:cs="Arial"/>
                <w:sz w:val="22"/>
                <w:szCs w:val="22"/>
              </w:rPr>
            </w:pPr>
            <w:r>
              <w:rPr>
                <w:rFonts w:cs="Arial" w:ascii="Arial" w:hAnsi="Arial"/>
                <w:sz w:val="22"/>
                <w:szCs w:val="22"/>
                <w:lang w:val="lt-LT" w:eastAsia="zxx" w:bidi="zxx"/>
              </w:rPr>
              <w:t>Mažeikių regioninis padalinys</w:t>
            </w:r>
          </w:p>
        </w:tc>
        <w:tc>
          <w:tcPr>
            <w:tcW w:w="4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eastAsia="Times New Roman" w:cs="Arial"/>
                <w:sz w:val="22"/>
                <w:szCs w:val="22"/>
              </w:rPr>
            </w:pPr>
            <w:r>
              <w:rPr>
                <w:rFonts w:cs="Arial" w:ascii="Arial" w:hAnsi="Arial"/>
                <w:sz w:val="22"/>
                <w:szCs w:val="22"/>
                <w:lang w:val="lt-LT" w:eastAsia="zxx" w:bidi="zxx"/>
              </w:rPr>
              <w:t>Senkelio g. 14, Mažeikiai</w:t>
            </w:r>
          </w:p>
        </w:tc>
      </w:tr>
      <w:tr>
        <w:trPr>
          <w:trHeight w:val="300" w:hRule="atLeast"/>
        </w:trPr>
        <w:tc>
          <w:tcPr>
            <w:tcW w:w="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center"/>
              <w:rPr>
                <w:rFonts w:ascii="Arial" w:hAnsi="Arial" w:eastAsia="Times New Roman" w:cs="Arial"/>
                <w:sz w:val="22"/>
                <w:szCs w:val="22"/>
              </w:rPr>
            </w:pPr>
            <w:r>
              <w:rPr>
                <w:rFonts w:eastAsia="Times New Roman" w:cs="Arial" w:ascii="Arial" w:hAnsi="Arial"/>
                <w:sz w:val="22"/>
                <w:szCs w:val="22"/>
                <w:lang w:val="lt-LT" w:eastAsia="zxx" w:bidi="zxx"/>
              </w:rPr>
              <w:t>6</w:t>
            </w:r>
          </w:p>
        </w:tc>
        <w:tc>
          <w:tcPr>
            <w:tcW w:w="3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eastAsia="Times New Roman" w:cs="Arial"/>
                <w:sz w:val="22"/>
                <w:szCs w:val="22"/>
              </w:rPr>
            </w:pPr>
            <w:r>
              <w:rPr>
                <w:rFonts w:cs="Arial" w:ascii="Arial" w:hAnsi="Arial"/>
                <w:sz w:val="22"/>
                <w:szCs w:val="22"/>
                <w:lang w:val="lt-LT" w:eastAsia="zxx" w:bidi="zxx"/>
              </w:rPr>
              <w:t>Nemenčinės regioninis padalinys</w:t>
            </w:r>
          </w:p>
        </w:tc>
        <w:tc>
          <w:tcPr>
            <w:tcW w:w="4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eastAsia="Times New Roman" w:cs="Arial"/>
                <w:sz w:val="22"/>
                <w:szCs w:val="22"/>
              </w:rPr>
            </w:pPr>
            <w:r>
              <w:rPr>
                <w:rFonts w:cs="Arial" w:ascii="Arial" w:hAnsi="Arial"/>
                <w:sz w:val="22"/>
                <w:szCs w:val="22"/>
                <w:lang w:val="lt-LT" w:eastAsia="zxx" w:bidi="zxx"/>
              </w:rPr>
              <w:t>Viliniaus g. 60, Nemenčinė</w:t>
            </w:r>
          </w:p>
        </w:tc>
      </w:tr>
      <w:tr>
        <w:trPr>
          <w:trHeight w:val="300" w:hRule="atLeast"/>
        </w:trPr>
        <w:tc>
          <w:tcPr>
            <w:tcW w:w="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center"/>
              <w:rPr>
                <w:rFonts w:ascii="Arial" w:hAnsi="Arial" w:eastAsia="Times New Roman" w:cs="Arial"/>
                <w:sz w:val="22"/>
                <w:szCs w:val="22"/>
              </w:rPr>
            </w:pPr>
            <w:r>
              <w:rPr>
                <w:rFonts w:eastAsia="Times New Roman" w:cs="Arial" w:ascii="Arial" w:hAnsi="Arial"/>
                <w:sz w:val="22"/>
                <w:szCs w:val="22"/>
                <w:lang w:val="lt-LT" w:eastAsia="zxx" w:bidi="zxx"/>
              </w:rPr>
              <w:t>7</w:t>
            </w:r>
          </w:p>
        </w:tc>
        <w:tc>
          <w:tcPr>
            <w:tcW w:w="3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eastAsia="Times New Roman" w:cs="Arial"/>
                <w:sz w:val="22"/>
                <w:szCs w:val="22"/>
              </w:rPr>
            </w:pPr>
            <w:r>
              <w:rPr>
                <w:rFonts w:cs="Arial" w:ascii="Arial" w:hAnsi="Arial"/>
                <w:sz w:val="22"/>
                <w:szCs w:val="22"/>
                <w:lang w:val="lt-LT" w:eastAsia="zxx" w:bidi="zxx"/>
              </w:rPr>
              <w:t>Panevėžio regioninis padalinys</w:t>
            </w:r>
          </w:p>
        </w:tc>
        <w:tc>
          <w:tcPr>
            <w:tcW w:w="4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eastAsia="Times New Roman" w:cs="Arial"/>
                <w:sz w:val="22"/>
                <w:szCs w:val="22"/>
              </w:rPr>
            </w:pPr>
            <w:r>
              <w:rPr>
                <w:rFonts w:cs="Arial" w:ascii="Arial" w:hAnsi="Arial"/>
                <w:sz w:val="22"/>
                <w:szCs w:val="22"/>
                <w:lang w:val="lt-LT" w:eastAsia="zxx" w:bidi="zxx"/>
              </w:rPr>
              <w:t>Parko g. 32, Panevėžys</w:t>
            </w:r>
          </w:p>
        </w:tc>
      </w:tr>
      <w:tr>
        <w:trPr>
          <w:trHeight w:val="300" w:hRule="atLeast"/>
        </w:trPr>
        <w:tc>
          <w:tcPr>
            <w:tcW w:w="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center"/>
              <w:rPr>
                <w:rFonts w:ascii="Arial" w:hAnsi="Arial" w:eastAsia="Times New Roman" w:cs="Arial"/>
                <w:sz w:val="22"/>
                <w:szCs w:val="22"/>
              </w:rPr>
            </w:pPr>
            <w:r>
              <w:rPr>
                <w:rFonts w:eastAsia="Times New Roman" w:cs="Arial" w:ascii="Arial" w:hAnsi="Arial"/>
                <w:sz w:val="22"/>
                <w:szCs w:val="22"/>
                <w:lang w:val="lt-LT" w:eastAsia="zxx" w:bidi="zxx"/>
              </w:rPr>
              <w:t>8</w:t>
            </w:r>
          </w:p>
        </w:tc>
        <w:tc>
          <w:tcPr>
            <w:tcW w:w="3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eastAsia="Times New Roman" w:cs="Arial"/>
                <w:sz w:val="22"/>
                <w:szCs w:val="22"/>
              </w:rPr>
            </w:pPr>
            <w:r>
              <w:rPr>
                <w:rFonts w:cs="Arial" w:ascii="Arial" w:hAnsi="Arial"/>
                <w:sz w:val="22"/>
                <w:szCs w:val="22"/>
                <w:lang w:val="lt-LT" w:eastAsia="zxx" w:bidi="zxx"/>
              </w:rPr>
              <w:t>Radviliškio regioninis padalinys</w:t>
            </w:r>
          </w:p>
        </w:tc>
        <w:tc>
          <w:tcPr>
            <w:tcW w:w="4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eastAsia="Times New Roman" w:cs="Arial"/>
                <w:sz w:val="22"/>
                <w:szCs w:val="22"/>
              </w:rPr>
            </w:pPr>
            <w:r>
              <w:rPr>
                <w:rFonts w:cs="Arial" w:ascii="Arial" w:hAnsi="Arial"/>
                <w:sz w:val="22"/>
                <w:szCs w:val="22"/>
                <w:lang w:val="lt-LT" w:eastAsia="zxx" w:bidi="zxx"/>
              </w:rPr>
              <w:t>Šiaulių g. 31, Radviliškis</w:t>
            </w:r>
          </w:p>
        </w:tc>
      </w:tr>
      <w:tr>
        <w:trPr>
          <w:trHeight w:val="300" w:hRule="atLeast"/>
        </w:trPr>
        <w:tc>
          <w:tcPr>
            <w:tcW w:w="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center"/>
              <w:rPr>
                <w:rFonts w:ascii="Arial" w:hAnsi="Arial" w:eastAsia="Times New Roman" w:cs="Arial"/>
                <w:sz w:val="22"/>
                <w:szCs w:val="22"/>
              </w:rPr>
            </w:pPr>
            <w:r>
              <w:rPr>
                <w:rFonts w:eastAsia="Times New Roman" w:cs="Arial" w:ascii="Arial" w:hAnsi="Arial"/>
                <w:sz w:val="22"/>
                <w:szCs w:val="22"/>
                <w:lang w:val="lt-LT" w:eastAsia="zxx" w:bidi="zxx"/>
              </w:rPr>
              <w:t>9</w:t>
            </w:r>
          </w:p>
        </w:tc>
        <w:tc>
          <w:tcPr>
            <w:tcW w:w="3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eastAsia="Times New Roman" w:cs="Arial"/>
                <w:sz w:val="22"/>
                <w:szCs w:val="22"/>
              </w:rPr>
            </w:pPr>
            <w:r>
              <w:rPr>
                <w:rFonts w:cs="Arial" w:ascii="Arial" w:hAnsi="Arial"/>
                <w:sz w:val="22"/>
                <w:szCs w:val="22"/>
                <w:lang w:val="lt-LT" w:eastAsia="zxx" w:bidi="zxx"/>
              </w:rPr>
              <w:t>Rokiškio regioninis padalinys</w:t>
            </w:r>
          </w:p>
        </w:tc>
        <w:tc>
          <w:tcPr>
            <w:tcW w:w="4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eastAsia="Times New Roman" w:cs="Arial"/>
                <w:sz w:val="22"/>
                <w:szCs w:val="22"/>
              </w:rPr>
            </w:pPr>
            <w:r>
              <w:rPr>
                <w:rFonts w:cs="Arial" w:ascii="Arial" w:hAnsi="Arial"/>
                <w:sz w:val="22"/>
                <w:szCs w:val="22"/>
                <w:lang w:val="lt-LT" w:eastAsia="zxx" w:bidi="zxx"/>
              </w:rPr>
              <w:t>Sakališkio g. 2, Rokiškis</w:t>
            </w:r>
          </w:p>
        </w:tc>
      </w:tr>
      <w:tr>
        <w:trPr>
          <w:trHeight w:val="300" w:hRule="atLeast"/>
        </w:trPr>
        <w:tc>
          <w:tcPr>
            <w:tcW w:w="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center"/>
              <w:rPr>
                <w:rFonts w:ascii="Arial" w:hAnsi="Arial" w:eastAsia="Times New Roman" w:cs="Arial"/>
                <w:sz w:val="22"/>
                <w:szCs w:val="22"/>
              </w:rPr>
            </w:pPr>
            <w:r>
              <w:rPr>
                <w:rFonts w:eastAsia="Times New Roman" w:cs="Arial" w:ascii="Arial" w:hAnsi="Arial"/>
                <w:sz w:val="22"/>
                <w:szCs w:val="22"/>
                <w:lang w:val="lt-LT" w:eastAsia="zxx" w:bidi="zxx"/>
              </w:rPr>
              <w:t>10</w:t>
            </w:r>
          </w:p>
        </w:tc>
        <w:tc>
          <w:tcPr>
            <w:tcW w:w="3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eastAsia="Times New Roman" w:cs="Arial"/>
                <w:sz w:val="22"/>
                <w:szCs w:val="22"/>
              </w:rPr>
            </w:pPr>
            <w:r>
              <w:rPr>
                <w:rFonts w:cs="Arial" w:ascii="Arial" w:hAnsi="Arial"/>
                <w:sz w:val="22"/>
                <w:szCs w:val="22"/>
                <w:lang w:val="lt-LT" w:eastAsia="zxx" w:bidi="zxx"/>
              </w:rPr>
              <w:t>Tauragės regioninis padalinys</w:t>
            </w:r>
          </w:p>
        </w:tc>
        <w:tc>
          <w:tcPr>
            <w:tcW w:w="4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eastAsia="Times New Roman" w:cs="Arial"/>
                <w:sz w:val="22"/>
                <w:szCs w:val="22"/>
              </w:rPr>
            </w:pPr>
            <w:r>
              <w:rPr>
                <w:rFonts w:cs="Arial" w:ascii="Arial" w:hAnsi="Arial"/>
                <w:sz w:val="22"/>
                <w:szCs w:val="22"/>
                <w:lang w:val="lt-LT" w:eastAsia="zxx" w:bidi="zxx"/>
              </w:rPr>
              <w:t>Vytauto g. 125, Tauragė</w:t>
            </w:r>
          </w:p>
        </w:tc>
      </w:tr>
      <w:tr>
        <w:trPr>
          <w:trHeight w:val="300" w:hRule="atLeast"/>
        </w:trPr>
        <w:tc>
          <w:tcPr>
            <w:tcW w:w="5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center"/>
              <w:rPr>
                <w:rFonts w:ascii="Arial" w:hAnsi="Arial" w:eastAsia="Times New Roman" w:cs="Arial"/>
                <w:sz w:val="22"/>
                <w:szCs w:val="22"/>
              </w:rPr>
            </w:pPr>
            <w:r>
              <w:rPr>
                <w:rFonts w:eastAsia="Times New Roman" w:cs="Arial" w:ascii="Arial" w:hAnsi="Arial"/>
                <w:sz w:val="22"/>
                <w:szCs w:val="22"/>
                <w:lang w:val="lt-LT" w:eastAsia="zxx" w:bidi="zxx"/>
              </w:rPr>
              <w:t>11</w:t>
            </w:r>
          </w:p>
        </w:tc>
        <w:tc>
          <w:tcPr>
            <w:tcW w:w="3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eastAsia="Times New Roman" w:cs="Arial"/>
                <w:sz w:val="22"/>
                <w:szCs w:val="22"/>
              </w:rPr>
            </w:pPr>
            <w:r>
              <w:rPr>
                <w:rFonts w:eastAsia="SimSun" w:cs="Arial" w:ascii="Arial" w:hAnsi="Arial"/>
                <w:color w:val="auto"/>
                <w:kern w:val="2"/>
                <w:sz w:val="22"/>
                <w:szCs w:val="22"/>
                <w:lang w:val="lt-LT" w:eastAsia="zxx" w:bidi="zxx"/>
              </w:rPr>
              <w:t>Trakų</w:t>
            </w:r>
            <w:r>
              <w:rPr>
                <w:rFonts w:cs="Arial" w:ascii="Arial" w:hAnsi="Arial"/>
                <w:sz w:val="22"/>
                <w:szCs w:val="22"/>
                <w:lang w:val="lt-LT" w:eastAsia="zxx" w:bidi="zxx"/>
              </w:rPr>
              <w:t xml:space="preserve"> regioninis padalinys</w:t>
            </w:r>
          </w:p>
        </w:tc>
        <w:tc>
          <w:tcPr>
            <w:tcW w:w="4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bidi w:val="0"/>
              <w:jc w:val="left"/>
              <w:rPr>
                <w:rFonts w:ascii="Arial" w:hAnsi="Arial" w:eastAsia="Times New Roman" w:cs="Arial"/>
                <w:sz w:val="22"/>
                <w:szCs w:val="22"/>
              </w:rPr>
            </w:pPr>
            <w:r>
              <w:rPr>
                <w:rFonts w:eastAsia="Times New Roman" w:cs="Arial" w:ascii="Arial" w:hAnsi="Arial"/>
                <w:sz w:val="22"/>
                <w:szCs w:val="22"/>
                <w:lang w:val="lt-LT" w:eastAsia="zxx" w:bidi="zxx"/>
              </w:rPr>
              <w:t>Miškininkų g. 8, 21143 Rubežiaus k., Trakų r. sav.</w:t>
            </w:r>
          </w:p>
        </w:tc>
      </w:tr>
    </w:tbl>
    <w:p>
      <w:pPr>
        <w:pStyle w:val="Normal"/>
        <w:bidi w:val="0"/>
        <w:spacing w:before="0" w:after="60"/>
        <w:jc w:val="left"/>
        <w:rPr>
          <w:rFonts w:ascii="Arial" w:hAnsi="Arial" w:cs="Arial"/>
          <w:color w:val="auto"/>
          <w:sz w:val="22"/>
          <w:szCs w:val="22"/>
        </w:rPr>
      </w:pPr>
      <w:r>
        <w:rPr>
          <w:rFonts w:cs="Arial" w:ascii="Arial" w:hAnsi="Arial"/>
          <w:color w:val="auto"/>
          <w:sz w:val="22"/>
          <w:szCs w:val="22"/>
        </w:rPr>
      </w:r>
    </w:p>
    <w:p>
      <w:pPr>
        <w:pStyle w:val="Normal"/>
        <w:bidi w:val="0"/>
        <w:jc w:val="left"/>
        <w:rPr>
          <w:rFonts w:ascii="Arial" w:hAnsi="Arial" w:cs="Arial"/>
          <w:b/>
          <w:b/>
          <w:bCs/>
          <w:color w:val="auto"/>
          <w:sz w:val="22"/>
          <w:szCs w:val="22"/>
          <w:lang w:eastAsia="ja-JP"/>
        </w:rPr>
      </w:pPr>
      <w:r>
        <w:rPr>
          <w:rFonts w:cs="Arial" w:ascii="Arial" w:hAnsi="Arial"/>
          <w:b/>
          <w:bCs/>
          <w:color w:val="auto"/>
          <w:sz w:val="22"/>
          <w:szCs w:val="22"/>
          <w:lang w:val="lt-LT" w:eastAsia="zxx" w:bidi="zxx"/>
        </w:rPr>
        <w:t>2. Sutarties vykdymo tvarka ir terminai</w:t>
      </w:r>
    </w:p>
    <w:p>
      <w:pPr>
        <w:pStyle w:val="Normal"/>
        <w:bidi w:val="0"/>
        <w:spacing w:before="60" w:after="60"/>
        <w:jc w:val="left"/>
        <w:rPr>
          <w:rFonts w:ascii="Arial" w:hAnsi="Arial" w:eastAsia="" w:cs="Arial" w:eastAsiaTheme="minorHAnsi"/>
          <w:color w:val="auto"/>
          <w:sz w:val="22"/>
          <w:szCs w:val="22"/>
        </w:rPr>
      </w:pPr>
      <w:r>
        <w:rPr>
          <w:rFonts w:eastAsia="" w:cs="Arial" w:ascii="Arial" w:hAnsi="Arial" w:eastAsiaTheme="minorHAnsi"/>
          <w:color w:val="auto"/>
          <w:sz w:val="22"/>
          <w:szCs w:val="22"/>
          <w:lang w:val="lt-LT" w:eastAsia="zxx" w:bidi="zxx"/>
        </w:rPr>
        <w:t>Prekių pristatymas per 60 kalendorinių dienų.</w:t>
      </w:r>
    </w:p>
    <w:p>
      <w:pPr>
        <w:pStyle w:val="Normal"/>
        <w:bidi w:val="0"/>
        <w:spacing w:before="0" w:after="60"/>
        <w:jc w:val="left"/>
        <w:rPr>
          <w:rFonts w:ascii="Arial" w:hAnsi="Arial" w:cs="Arial"/>
          <w:sz w:val="22"/>
          <w:szCs w:val="22"/>
        </w:rPr>
      </w:pPr>
      <w:r>
        <w:rPr>
          <w:rFonts w:cs="Arial" w:ascii="Arial" w:hAnsi="Arial"/>
          <w:sz w:val="22"/>
          <w:szCs w:val="22"/>
          <w:lang w:val="lt-LT" w:eastAsia="zxx" w:bidi="zxx"/>
        </w:rPr>
        <w:t>Sutarties terminas 12 mėnesių.</w:t>
      </w:r>
    </w:p>
    <w:p>
      <w:pPr>
        <w:pStyle w:val="Normal"/>
        <w:bidi w:val="0"/>
        <w:spacing w:before="60" w:after="60"/>
        <w:jc w:val="left"/>
        <w:rPr>
          <w:rFonts w:ascii="Arial" w:hAnsi="Arial" w:eastAsia="" w:cs="Arial" w:eastAsiaTheme="minorHAnsi"/>
          <w:color w:val="auto"/>
          <w:sz w:val="22"/>
          <w:szCs w:val="22"/>
        </w:rPr>
      </w:pPr>
      <w:r>
        <w:rPr>
          <w:rFonts w:eastAsia="" w:cs="Arial" w:eastAsiaTheme="minorHAnsi" w:ascii="Arial" w:hAnsi="Arial"/>
          <w:color w:val="auto"/>
          <w:sz w:val="22"/>
          <w:szCs w:val="22"/>
        </w:rPr>
      </w:r>
    </w:p>
    <w:p>
      <w:pPr>
        <w:pStyle w:val="Bodytext1"/>
        <w:shd w:val="clear" w:color="auto" w:fill="auto"/>
        <w:tabs>
          <w:tab w:val="clear" w:pos="709"/>
          <w:tab w:val="left" w:pos="0" w:leader="none"/>
        </w:tabs>
        <w:bidi w:val="0"/>
        <w:spacing w:lineRule="auto" w:line="240" w:before="0" w:after="0"/>
        <w:ind w:right="55" w:hanging="0"/>
        <w:jc w:val="center"/>
        <w:rPr>
          <w:rFonts w:ascii="Arial" w:hAnsi="Arial" w:cs="Arial"/>
          <w:sz w:val="22"/>
          <w:szCs w:val="22"/>
        </w:rPr>
      </w:pPr>
      <w:r>
        <w:rPr>
          <w:rFonts w:cs="Arial" w:ascii="Arial" w:hAnsi="Arial"/>
          <w:sz w:val="22"/>
          <w:szCs w:val="22"/>
          <w:lang w:val="lt-LT" w:eastAsia="zxx" w:bidi="zxx"/>
        </w:rPr>
        <w:t>------------------------</w:t>
      </w:r>
    </w:p>
    <w:sectPr>
      <w:headerReference w:type="default" r:id="rId4"/>
      <w:type w:val="nextPage"/>
      <w:pgSz w:w="11906" w:h="16838"/>
      <w:pgMar w:left="1134" w:right="1134" w:header="1134" w:top="1693"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
      <w:bidi w:val="0"/>
      <w:jc w:val="right"/>
      <w:rPr>
        <w:lang w:val="lt-LT"/>
      </w:rPr>
    </w:pPr>
    <w:r>
      <w:rPr>
        <w:lang w:val="lt-LT"/>
      </w:rPr>
      <w:t>Priedo Nr. 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86" w:hanging="360"/>
      </w:pPr>
    </w:lvl>
    <w:lvl w:ilvl="1">
      <w:start w:val="1"/>
      <w:numFmt w:val="decimal"/>
      <w:lvlText w:val="%1.%2."/>
      <w:lvlJc w:val="left"/>
      <w:pPr>
        <w:tabs>
          <w:tab w:val="num" w:pos="1080"/>
        </w:tabs>
        <w:ind w:left="1425" w:hanging="432"/>
      </w:pPr>
    </w:lvl>
    <w:lvl w:ilvl="2">
      <w:start w:val="1"/>
      <w:numFmt w:val="decimal"/>
      <w:lvlText w:val="%1.%2.%3."/>
      <w:lvlJc w:val="left"/>
      <w:pPr>
        <w:tabs>
          <w:tab w:val="num" w:pos="1440"/>
        </w:tabs>
        <w:ind w:left="1366" w:hanging="504"/>
      </w:pPr>
    </w:lvl>
    <w:lvl w:ilvl="3">
      <w:start w:val="1"/>
      <w:numFmt w:val="decimal"/>
      <w:lvlText w:val="%1.%2.%3.%4."/>
      <w:lvlJc w:val="left"/>
      <w:pPr>
        <w:tabs>
          <w:tab w:val="num" w:pos="1800"/>
        </w:tabs>
        <w:ind w:left="1870" w:hanging="648"/>
      </w:pPr>
    </w:lvl>
    <w:lvl w:ilvl="4">
      <w:start w:val="1"/>
      <w:numFmt w:val="decimal"/>
      <w:lvlText w:val="%1.%2.%3.%4.%5."/>
      <w:lvlJc w:val="left"/>
      <w:pPr>
        <w:tabs>
          <w:tab w:val="num" w:pos="2160"/>
        </w:tabs>
        <w:ind w:left="2374" w:hanging="792"/>
      </w:pPr>
    </w:lvl>
    <w:lvl w:ilvl="5">
      <w:start w:val="1"/>
      <w:numFmt w:val="decimal"/>
      <w:lvlText w:val="%1.%2.%3.%4.%5.%6."/>
      <w:lvlJc w:val="left"/>
      <w:pPr>
        <w:tabs>
          <w:tab w:val="num" w:pos="2520"/>
        </w:tabs>
        <w:ind w:left="2878" w:hanging="936"/>
      </w:pPr>
    </w:lvl>
    <w:lvl w:ilvl="6">
      <w:start w:val="1"/>
      <w:numFmt w:val="decimal"/>
      <w:lvlText w:val="%1.%2.%3.%4.%5.%6.%7."/>
      <w:lvlJc w:val="left"/>
      <w:pPr>
        <w:tabs>
          <w:tab w:val="num" w:pos="2880"/>
        </w:tabs>
        <w:ind w:left="3382" w:hanging="1080"/>
      </w:pPr>
    </w:lvl>
    <w:lvl w:ilvl="7">
      <w:start w:val="1"/>
      <w:numFmt w:val="decimal"/>
      <w:lvlText w:val="%1.%2.%3.%4.%5.%6.%7.%8."/>
      <w:lvlJc w:val="left"/>
      <w:pPr>
        <w:tabs>
          <w:tab w:val="num" w:pos="3240"/>
        </w:tabs>
        <w:ind w:left="3886" w:hanging="1224"/>
      </w:pPr>
    </w:lvl>
    <w:lvl w:ilvl="8">
      <w:start w:val="1"/>
      <w:numFmt w:val="decimal"/>
      <w:lvlText w:val="%1.%2.%3.%4.%5.%6.%7.%8.%9."/>
      <w:lvlJc w:val="left"/>
      <w:pPr>
        <w:tabs>
          <w:tab w:val="num" w:pos="3600"/>
        </w:tabs>
        <w:ind w:left="4462" w:hanging="1440"/>
      </w:pPr>
    </w:lvl>
  </w:abstractNum>
  <w:abstractNum w:abstractNumId="2">
    <w:lvl w:ilvl="0">
      <w:start w:val="1"/>
      <w:numFmt w:val="decimal"/>
      <w:lvlText w:val="%1."/>
      <w:lvlJc w:val="left"/>
      <w:pPr>
        <w:tabs>
          <w:tab w:val="num" w:pos="72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440"/>
        </w:tabs>
        <w:ind w:left="1800" w:hanging="180"/>
      </w:pPr>
    </w:lvl>
    <w:lvl w:ilvl="3">
      <w:start w:val="1"/>
      <w:numFmt w:val="decimal"/>
      <w:lvlText w:val="%4."/>
      <w:lvlJc w:val="left"/>
      <w:pPr>
        <w:tabs>
          <w:tab w:val="num" w:pos="1800"/>
        </w:tabs>
        <w:ind w:left="2520" w:hanging="360"/>
      </w:pPr>
    </w:lvl>
    <w:lvl w:ilvl="4">
      <w:start w:val="1"/>
      <w:numFmt w:val="lowerLetter"/>
      <w:lvlText w:val="%5."/>
      <w:lvlJc w:val="left"/>
      <w:pPr>
        <w:tabs>
          <w:tab w:val="num" w:pos="2160"/>
        </w:tabs>
        <w:ind w:left="3240" w:hanging="360"/>
      </w:pPr>
    </w:lvl>
    <w:lvl w:ilvl="5">
      <w:start w:val="1"/>
      <w:numFmt w:val="lowerRoman"/>
      <w:lvlText w:val="%6."/>
      <w:lvlJc w:val="right"/>
      <w:pPr>
        <w:tabs>
          <w:tab w:val="num" w:pos="2520"/>
        </w:tabs>
        <w:ind w:left="3960" w:hanging="180"/>
      </w:pPr>
    </w:lvl>
    <w:lvl w:ilvl="6">
      <w:start w:val="1"/>
      <w:numFmt w:val="decimal"/>
      <w:lvlText w:val="%7."/>
      <w:lvlJc w:val="left"/>
      <w:pPr>
        <w:tabs>
          <w:tab w:val="num" w:pos="2880"/>
        </w:tabs>
        <w:ind w:left="4680" w:hanging="360"/>
      </w:pPr>
    </w:lvl>
    <w:lvl w:ilvl="7">
      <w:start w:val="1"/>
      <w:numFmt w:val="lowerLetter"/>
      <w:lvlText w:val="%8."/>
      <w:lvlJc w:val="left"/>
      <w:pPr>
        <w:tabs>
          <w:tab w:val="num" w:pos="3240"/>
        </w:tabs>
        <w:ind w:left="5400" w:hanging="360"/>
      </w:pPr>
    </w:lvl>
    <w:lvl w:ilvl="8">
      <w:start w:val="1"/>
      <w:numFmt w:val="lowerRoman"/>
      <w:lvlText w:val="%9."/>
      <w:lvlJc w:val="right"/>
      <w:pPr>
        <w:tabs>
          <w:tab w:val="num" w:pos="3600"/>
        </w:tabs>
        <w:ind w:left="612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imSun" w:cs="Mangal"/>
      <w:color w:val="auto"/>
      <w:kern w:val="2"/>
      <w:sz w:val="24"/>
      <w:szCs w:val="24"/>
      <w:lang w:val="en-US" w:eastAsia="zh-CN" w:bidi="hi-IN"/>
    </w:rPr>
  </w:style>
  <w:style w:type="paragraph" w:styleId="Antrat2">
    <w:name w:val="Heading 2"/>
    <w:basedOn w:val="Normal"/>
    <w:next w:val="Normal"/>
    <w:qFormat/>
    <w:pPr>
      <w:keepNext w:val="true"/>
      <w:keepLines/>
      <w:spacing w:before="360" w:after="120"/>
      <w:outlineLvl w:val="1"/>
    </w:pPr>
    <w:rPr>
      <w:rFonts w:eastAsia="Times New Roman" w:cs="" w:asciiTheme="minorHAnsi" w:cstheme="minorBidi" w:hAnsiTheme="minorHAnsi"/>
      <w:b/>
      <w:bCs/>
      <w:color w:val="2E74B5" w:themeColor="accent1" w:themeShade="bf"/>
      <w:lang w:val="en-US" w:eastAsia="ja-JP"/>
    </w:rPr>
  </w:style>
  <w:style w:type="character" w:styleId="Bodytext2">
    <w:name w:val="Body text (2)_"/>
    <w:qFormat/>
    <w:rPr>
      <w:rFonts w:ascii="Times New Roman" w:hAnsi="Times New Roman" w:cs="Times New Roman"/>
      <w:i/>
      <w:iCs/>
      <w:sz w:val="23"/>
      <w:szCs w:val="23"/>
      <w:shd w:fill="FFFFFF" w:val="clear"/>
    </w:rPr>
  </w:style>
  <w:style w:type="character" w:styleId="Bodytext2NotItalic2">
    <w:name w:val="Body text (2) + Not Italic2"/>
    <w:basedOn w:val="Bodytext2"/>
    <w:qFormat/>
    <w:rPr>
      <w:rFonts w:ascii="Times New Roman" w:hAnsi="Times New Roman" w:cs="Times New Roman"/>
      <w:i/>
      <w:iCs/>
      <w:sz w:val="23"/>
      <w:szCs w:val="23"/>
      <w:shd w:fill="FFFFFF" w:val="clear"/>
    </w:rPr>
  </w:style>
  <w:style w:type="character" w:styleId="DefaultParagraphFont">
    <w:name w:val="Default Paragraph Font"/>
    <w:qFormat/>
    <w:rPr/>
  </w:style>
  <w:style w:type="character" w:styleId="Internetosaitas">
    <w:name w:val="Interneto saitas"/>
    <w:basedOn w:val="DefaultParagraphFont"/>
    <w:rPr>
      <w:color w:val="0563C1"/>
      <w:u w:val="single"/>
    </w:rPr>
  </w:style>
  <w:style w:type="paragraph" w:styleId="Antrat">
    <w:name w:val="Antraštė"/>
    <w:basedOn w:val="Normal"/>
    <w:next w:val="Pagrindinistekstas"/>
    <w:qFormat/>
    <w:pPr>
      <w:keepNext w:val="true"/>
      <w:spacing w:before="240" w:after="120"/>
    </w:pPr>
    <w:rPr>
      <w:rFonts w:ascii="Liberation Sans" w:hAnsi="Liberation Sans" w:eastAsia="Microsoft YaHei" w:cs="Mangal"/>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rFonts w:cs="Mangal"/>
    </w:rPr>
  </w:style>
  <w:style w:type="paragraph" w:styleId="Pavadinimas">
    <w:name w:val="Caption"/>
    <w:basedOn w:val="Normal"/>
    <w:qFormat/>
    <w:pPr>
      <w:suppressLineNumbers/>
      <w:spacing w:before="120" w:after="120"/>
    </w:pPr>
    <w:rPr>
      <w:rFonts w:cs="Mangal"/>
      <w:i/>
      <w:iCs/>
      <w:sz w:val="24"/>
      <w:szCs w:val="24"/>
    </w:rPr>
  </w:style>
  <w:style w:type="paragraph" w:styleId="Rodykl">
    <w:name w:val="Rodyklė"/>
    <w:basedOn w:val="Normal"/>
    <w:qFormat/>
    <w:pPr>
      <w:suppressLineNumbers/>
    </w:pPr>
    <w:rPr>
      <w:rFonts w:cs="Mangal"/>
    </w:rPr>
  </w:style>
  <w:style w:type="paragraph" w:styleId="Bodytext1">
    <w:name w:val="Body text1"/>
    <w:basedOn w:val="Normal"/>
    <w:qFormat/>
    <w:pPr>
      <w:shd w:val="clear" w:color="auto" w:fill="FFFFFF"/>
      <w:spacing w:lineRule="exact" w:line="274" w:before="240" w:after="240"/>
      <w:ind w:hanging="1060"/>
    </w:pPr>
    <w:rPr>
      <w:rFonts w:ascii="Times New Roman" w:hAnsi="Times New Roman" w:eastAsia="" w:cs="Times New Roman" w:eastAsiaTheme="minorHAnsi"/>
      <w:color w:val="auto"/>
      <w:sz w:val="23"/>
      <w:szCs w:val="23"/>
      <w:lang w:eastAsia="en-US"/>
    </w:rPr>
  </w:style>
  <w:style w:type="paragraph" w:styleId="Bodytext21">
    <w:name w:val="Body text (2)"/>
    <w:basedOn w:val="Normal"/>
    <w:qFormat/>
    <w:pPr>
      <w:shd w:val="clear" w:color="auto" w:fill="FFFFFF"/>
      <w:spacing w:lineRule="exact" w:line="269"/>
      <w:ind w:hanging="400"/>
    </w:pPr>
    <w:rPr>
      <w:rFonts w:ascii="Times New Roman" w:hAnsi="Times New Roman" w:eastAsia="" w:cs="Times New Roman" w:eastAsiaTheme="minorHAnsi"/>
      <w:i/>
      <w:iCs/>
      <w:color w:val="auto"/>
      <w:sz w:val="23"/>
      <w:szCs w:val="23"/>
      <w:lang w:eastAsia="en-US"/>
    </w:rPr>
  </w:style>
  <w:style w:type="paragraph" w:styleId="ListParagraph">
    <w:name w:val="List Paragraph"/>
    <w:basedOn w:val="Normal"/>
    <w:qFormat/>
    <w:pPr>
      <w:spacing w:before="0" w:after="0"/>
      <w:ind w:left="720" w:hanging="0"/>
      <w:contextualSpacing/>
    </w:pPr>
    <w:rPr/>
  </w:style>
  <w:style w:type="paragraph" w:styleId="Puslapinantratirporat">
    <w:name w:val="Puslapinė antraštė ir poraštė"/>
    <w:basedOn w:val="Normal"/>
    <w:qFormat/>
    <w:pPr>
      <w:suppressLineNumbers/>
      <w:tabs>
        <w:tab w:val="clear" w:pos="709"/>
        <w:tab w:val="center" w:pos="4819" w:leader="none"/>
        <w:tab w:val="right" w:pos="9638" w:leader="none"/>
      </w:tabs>
    </w:pPr>
    <w:rPr/>
  </w:style>
  <w:style w:type="paragraph" w:styleId="Puslapinantrat">
    <w:name w:val="Header"/>
    <w:basedOn w:val="Puslapinantratirpor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ssmark.com/" TargetMode="External"/><Relationship Id="rId3" Type="http://schemas.openxmlformats.org/officeDocument/2006/relationships/hyperlink" Target="http://www.cpubenchmark.net/cpu_list.php"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LibreOffice/6.4.5.2$Windows_X86_64 LibreOffice_project/a726b36747cf2001e06b58ad5db1aa3a9a1872d6</Application>
  <Pages>5</Pages>
  <Words>1430</Words>
  <Characters>9791</Characters>
  <CharactersWithSpaces>11001</CharactersWithSpaces>
  <Paragraphs>240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lt-LT</dc:language>
  <cp:lastModifiedBy/>
  <dcterms:modified xsi:type="dcterms:W3CDTF">2023-12-06T09:10:46Z</dcterms:modified>
  <cp:revision>4</cp:revision>
  <dc:subject/>
  <dc:title/>
</cp:coreProperties>
</file>