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55" w:rsidRDefault="0033400C" w:rsidP="00B25055">
      <w:pPr>
        <w:ind w:left="5184"/>
      </w:pPr>
      <w:r>
        <w:t xml:space="preserve">2023 m. lapkričio 27 </w:t>
      </w:r>
      <w:r w:rsidR="00B25055">
        <w:t>d. S</w:t>
      </w:r>
      <w:r w:rsidR="00B25055" w:rsidRPr="009949F7">
        <w:t xml:space="preserve">utarties Nr. U </w:t>
      </w:r>
      <w:r w:rsidR="00B25055">
        <w:t xml:space="preserve">– </w:t>
      </w:r>
      <w:r>
        <w:t>800</w:t>
      </w:r>
      <w:bookmarkStart w:id="0" w:name="_GoBack"/>
      <w:bookmarkEnd w:id="0"/>
    </w:p>
    <w:p w:rsidR="00B25055" w:rsidRPr="009949F7" w:rsidRDefault="0054459B" w:rsidP="00B25055">
      <w:pPr>
        <w:ind w:firstLine="3402"/>
      </w:pPr>
      <w:r>
        <w:tab/>
      </w:r>
      <w:r>
        <w:tab/>
      </w:r>
      <w:r w:rsidR="00B25055">
        <w:t>priedas</w:t>
      </w:r>
    </w:p>
    <w:p w:rsidR="00B25055" w:rsidRDefault="00B25055" w:rsidP="00B25055">
      <w:pPr>
        <w:jc w:val="center"/>
        <w:rPr>
          <w:b/>
        </w:rPr>
      </w:pPr>
    </w:p>
    <w:p w:rsidR="00BA70BE" w:rsidRDefault="00BA70BE" w:rsidP="00BA70BE">
      <w:pPr>
        <w:jc w:val="center"/>
        <w:rPr>
          <w:rFonts w:ascii="Times New Roman Bold" w:eastAsia="Times New Roman" w:hAnsi="Times New Roman Bold" w:cs="Times New Roman"/>
          <w:b/>
          <w:caps/>
          <w:szCs w:val="24"/>
        </w:rPr>
      </w:pPr>
    </w:p>
    <w:p w:rsidR="00BA70BE" w:rsidRPr="00055B33" w:rsidRDefault="00BA70BE" w:rsidP="00BA70BE">
      <w:pPr>
        <w:jc w:val="center"/>
        <w:rPr>
          <w:rFonts w:eastAsia="Times New Roman" w:cs="Times New Roman"/>
          <w:szCs w:val="24"/>
        </w:rPr>
      </w:pPr>
    </w:p>
    <w:p w:rsidR="006E054B" w:rsidRDefault="00CA346F" w:rsidP="006E054B">
      <w:pPr>
        <w:jc w:val="center"/>
        <w:rPr>
          <w:rFonts w:ascii="Times New Roman Bold" w:eastAsia="Times New Roman" w:hAnsi="Times New Roman Bold" w:cs="Times New Roman"/>
          <w:b/>
          <w:caps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szCs w:val="24"/>
          <w:lang w:val="en-GB"/>
        </w:rPr>
        <w:t xml:space="preserve">ĮGULŲ APTARNAVIMO TARNYBOS </w:t>
      </w:r>
      <w:r w:rsidR="00512F79">
        <w:rPr>
          <w:rFonts w:ascii="Times New Roman Bold" w:eastAsia="Times New Roman" w:hAnsi="Times New Roman Bold" w:cs="Times New Roman"/>
          <w:b/>
          <w:caps/>
          <w:szCs w:val="24"/>
          <w:lang w:val="en-GB"/>
        </w:rPr>
        <w:t>marijampolės</w:t>
      </w:r>
      <w:r w:rsidR="00F8262E" w:rsidRPr="00055B33">
        <w:rPr>
          <w:rFonts w:ascii="Times New Roman Bold" w:eastAsia="Times New Roman" w:hAnsi="Times New Roman Bold" w:cs="Times New Roman"/>
          <w:b/>
          <w:caps/>
          <w:szCs w:val="24"/>
          <w:lang w:val="en-GB"/>
        </w:rPr>
        <w:t xml:space="preserve"> įgulos Aptarnavimo centrO</w:t>
      </w:r>
      <w:r w:rsidR="00F8262E">
        <w:rPr>
          <w:rFonts w:ascii="Times New Roman Bold" w:eastAsia="Times New Roman" w:hAnsi="Times New Roman Bold" w:cs="Times New Roman"/>
          <w:b/>
          <w:caps/>
          <w:szCs w:val="24"/>
          <w:lang w:val="en-GB"/>
        </w:rPr>
        <w:t xml:space="preserve"> </w:t>
      </w:r>
      <w:r w:rsidR="00F8262E">
        <w:rPr>
          <w:rFonts w:ascii="Times New Roman Bold" w:eastAsia="Times New Roman" w:hAnsi="Times New Roman Bold" w:cs="Times New Roman"/>
          <w:b/>
          <w:caps/>
          <w:szCs w:val="24"/>
        </w:rPr>
        <w:t>(</w:t>
      </w:r>
      <w:r w:rsidR="00055B33" w:rsidRPr="00055B33">
        <w:rPr>
          <w:rFonts w:ascii="Times New Roman Bold" w:eastAsia="Times New Roman" w:hAnsi="Times New Roman Bold" w:cs="Times New Roman"/>
          <w:b/>
          <w:caps/>
          <w:szCs w:val="24"/>
        </w:rPr>
        <w:t>L</w:t>
      </w:r>
      <w:r w:rsidR="00855667">
        <w:rPr>
          <w:rFonts w:ascii="Times New Roman Bold" w:eastAsia="Times New Roman" w:hAnsi="Times New Roman Bold" w:cs="Times New Roman"/>
          <w:b/>
          <w:caps/>
          <w:szCs w:val="24"/>
        </w:rPr>
        <w:t xml:space="preserve">IETUVOS </w:t>
      </w:r>
      <w:r w:rsidR="00055B33" w:rsidRPr="00055B33">
        <w:rPr>
          <w:rFonts w:ascii="Times New Roman Bold" w:eastAsia="Times New Roman" w:hAnsi="Times New Roman Bold" w:cs="Times New Roman"/>
          <w:b/>
          <w:caps/>
          <w:szCs w:val="24"/>
        </w:rPr>
        <w:t>k</w:t>
      </w:r>
      <w:r w:rsidR="00855667">
        <w:rPr>
          <w:rFonts w:ascii="Times New Roman Bold" w:eastAsia="Times New Roman" w:hAnsi="Times New Roman Bold" w:cs="Times New Roman"/>
          <w:b/>
          <w:caps/>
          <w:szCs w:val="24"/>
        </w:rPr>
        <w:t>ARIUOMENĖS</w:t>
      </w:r>
      <w:r w:rsidR="00055B33" w:rsidRPr="00055B33">
        <w:rPr>
          <w:rFonts w:ascii="Times New Roman Bold" w:eastAsia="Times New Roman" w:hAnsi="Times New Roman Bold" w:cs="Times New Roman"/>
          <w:b/>
          <w:caps/>
          <w:szCs w:val="24"/>
        </w:rPr>
        <w:t xml:space="preserve"> lietuvos didžiojo kunigaikščio vytenio bendrosi</w:t>
      </w:r>
      <w:r w:rsidR="00855667">
        <w:rPr>
          <w:rFonts w:ascii="Times New Roman Bold" w:eastAsia="Times New Roman" w:hAnsi="Times New Roman Bold" w:cs="Times New Roman"/>
          <w:b/>
          <w:caps/>
          <w:szCs w:val="24"/>
        </w:rPr>
        <w:t>os paramos logistikos bATALIONO</w:t>
      </w:r>
      <w:r w:rsidR="00F8262E">
        <w:rPr>
          <w:rFonts w:ascii="Times New Roman Bold" w:eastAsia="Times New Roman" w:hAnsi="Times New Roman Bold" w:cs="Times New Roman"/>
          <w:b/>
          <w:caps/>
          <w:szCs w:val="24"/>
        </w:rPr>
        <w:t>)</w:t>
      </w:r>
      <w:r w:rsidR="00055B33" w:rsidRPr="00055B33">
        <w:rPr>
          <w:rFonts w:ascii="Times New Roman Bold" w:eastAsia="Times New Roman" w:hAnsi="Times New Roman Bold" w:cs="Times New Roman"/>
          <w:b/>
          <w:caps/>
          <w:szCs w:val="24"/>
        </w:rPr>
        <w:t xml:space="preserve"> skysto kuro DEGALINĖS </w:t>
      </w:r>
      <w:r w:rsidR="00055B33">
        <w:rPr>
          <w:rFonts w:ascii="Times New Roman Bold" w:eastAsia="Times New Roman" w:hAnsi="Times New Roman Bold" w:cs="Times New Roman"/>
          <w:b/>
          <w:caps/>
          <w:szCs w:val="24"/>
        </w:rPr>
        <w:t>POVEIKIO</w:t>
      </w:r>
      <w:r w:rsidR="00055B33" w:rsidRPr="00055B33">
        <w:rPr>
          <w:rFonts w:ascii="Times New Roman Bold" w:eastAsia="Times New Roman" w:hAnsi="Times New Roman Bold" w:cs="Times New Roman"/>
          <w:b/>
          <w:caps/>
          <w:szCs w:val="24"/>
        </w:rPr>
        <w:t xml:space="preserve"> POŽEMINI</w:t>
      </w:r>
      <w:r w:rsidR="00055B33">
        <w:rPr>
          <w:rFonts w:ascii="Times New Roman Bold" w:eastAsia="Times New Roman" w:hAnsi="Times New Roman Bold" w:cs="Times New Roman"/>
          <w:b/>
          <w:caps/>
          <w:szCs w:val="24"/>
        </w:rPr>
        <w:t>AM</w:t>
      </w:r>
      <w:r w:rsidR="00055B33" w:rsidRPr="00055B33">
        <w:rPr>
          <w:rFonts w:ascii="Times New Roman Bold" w:eastAsia="Times New Roman" w:hAnsi="Times New Roman Bold" w:cs="Times New Roman"/>
          <w:b/>
          <w:caps/>
          <w:szCs w:val="24"/>
        </w:rPr>
        <w:t xml:space="preserve"> VANDEN</w:t>
      </w:r>
      <w:r w:rsidR="00055B33">
        <w:rPr>
          <w:rFonts w:ascii="Times New Roman Bold" w:eastAsia="Times New Roman" w:hAnsi="Times New Roman Bold" w:cs="Times New Roman"/>
          <w:b/>
          <w:caps/>
          <w:szCs w:val="24"/>
        </w:rPr>
        <w:t>IUI</w:t>
      </w:r>
      <w:r w:rsidR="00055B33" w:rsidRPr="00055B33">
        <w:rPr>
          <w:rFonts w:ascii="Times New Roman Bold" w:eastAsia="Times New Roman" w:hAnsi="Times New Roman Bold" w:cs="Times New Roman"/>
          <w:b/>
          <w:caps/>
          <w:szCs w:val="24"/>
        </w:rPr>
        <w:t xml:space="preserve"> MONITORINGO VYKDYMO</w:t>
      </w:r>
      <w:r w:rsidR="00055B33">
        <w:rPr>
          <w:rFonts w:ascii="Times New Roman Bold" w:eastAsia="Times New Roman" w:hAnsi="Times New Roman Bold" w:cs="Times New Roman"/>
          <w:b/>
          <w:caps/>
          <w:szCs w:val="24"/>
        </w:rPr>
        <w:t xml:space="preserve"> PASLAUGOS </w:t>
      </w:r>
      <w:r w:rsidR="006E054B">
        <w:rPr>
          <w:rFonts w:ascii="Times New Roman Bold" w:eastAsia="Times New Roman" w:hAnsi="Times New Roman Bold" w:cs="Times New Roman"/>
          <w:b/>
          <w:caps/>
          <w:szCs w:val="24"/>
        </w:rPr>
        <w:t>TECHNINĖ SPECIFIKACIJA</w:t>
      </w:r>
    </w:p>
    <w:p w:rsidR="00055B33" w:rsidRPr="00055B33" w:rsidRDefault="00055B33" w:rsidP="00055B33">
      <w:pPr>
        <w:jc w:val="center"/>
        <w:rPr>
          <w:rFonts w:eastAsia="Times New Roman" w:cs="Times New Roman"/>
          <w:szCs w:val="24"/>
        </w:rPr>
      </w:pPr>
    </w:p>
    <w:p w:rsidR="00055B33" w:rsidRDefault="00055B33" w:rsidP="00055B33">
      <w:pPr>
        <w:jc w:val="both"/>
        <w:rPr>
          <w:rFonts w:eastAsia="Times New Roman" w:cs="Times New Roman"/>
          <w:szCs w:val="24"/>
        </w:rPr>
      </w:pPr>
      <w:r w:rsidRPr="00055B33">
        <w:rPr>
          <w:rFonts w:eastAsia="Calibri" w:cs="Times New Roman"/>
          <w:szCs w:val="24"/>
        </w:rPr>
        <w:t xml:space="preserve">Aplinkos (poveikio požeminiam vandeniui) monitoringo objektas </w:t>
      </w:r>
      <w:r w:rsidRPr="00055B33">
        <w:rPr>
          <w:rFonts w:eastAsia="Calibri" w:cs="Times New Roman"/>
          <w:szCs w:val="24"/>
          <w:lang w:val="en-US"/>
        </w:rPr>
        <w:sym w:font="Symbol" w:char="F02D"/>
      </w:r>
      <w:r w:rsidRPr="00055B33">
        <w:rPr>
          <w:rFonts w:eastAsia="Calibri" w:cs="Times New Roman"/>
          <w:szCs w:val="24"/>
        </w:rPr>
        <w:t xml:space="preserve">  Lietuvos kariuomenės Logistikos valdybos Įgulų aptarnavimo tarnybos (toliau </w:t>
      </w:r>
      <w:r>
        <w:rPr>
          <w:rFonts w:eastAsia="Calibri" w:cs="Times New Roman"/>
          <w:szCs w:val="24"/>
        </w:rPr>
        <w:t>–</w:t>
      </w:r>
      <w:r w:rsidRPr="00055B33">
        <w:rPr>
          <w:rFonts w:eastAsia="Calibri" w:cs="Times New Roman"/>
          <w:szCs w:val="24"/>
        </w:rPr>
        <w:t xml:space="preserve"> Pirkėjas) </w:t>
      </w:r>
      <w:r w:rsidR="00512F79">
        <w:rPr>
          <w:rFonts w:eastAsia="Calibri" w:cs="Times New Roman"/>
          <w:szCs w:val="24"/>
        </w:rPr>
        <w:t>Marijampolės</w:t>
      </w:r>
      <w:r w:rsidRPr="00055B33">
        <w:rPr>
          <w:rFonts w:eastAsia="Calibri" w:cs="Times New Roman"/>
          <w:szCs w:val="24"/>
        </w:rPr>
        <w:t xml:space="preserve"> įgulos aptarnavimo centr</w:t>
      </w:r>
      <w:r w:rsidR="00512F79">
        <w:rPr>
          <w:rFonts w:eastAsia="Calibri" w:cs="Times New Roman"/>
          <w:szCs w:val="24"/>
        </w:rPr>
        <w:t>o</w:t>
      </w:r>
      <w:r w:rsidRPr="00055B33">
        <w:rPr>
          <w:rFonts w:eastAsia="Calibri" w:cs="Times New Roman"/>
          <w:szCs w:val="24"/>
        </w:rPr>
        <w:t xml:space="preserve"> </w:t>
      </w:r>
      <w:r w:rsidR="00CA346F">
        <w:rPr>
          <w:rFonts w:eastAsia="Calibri" w:cs="Times New Roman"/>
          <w:szCs w:val="24"/>
        </w:rPr>
        <w:t>(</w:t>
      </w:r>
      <w:r w:rsidRPr="00055B33">
        <w:rPr>
          <w:rFonts w:eastAsia="Times New Roman" w:cs="Times New Roman"/>
          <w:szCs w:val="24"/>
        </w:rPr>
        <w:t>L</w:t>
      </w:r>
      <w:r w:rsidR="00CA346F">
        <w:rPr>
          <w:rFonts w:eastAsia="Times New Roman" w:cs="Times New Roman"/>
          <w:szCs w:val="24"/>
        </w:rPr>
        <w:t>ietuvos kariuomenės</w:t>
      </w:r>
      <w:r w:rsidRPr="00055B33">
        <w:rPr>
          <w:rFonts w:eastAsia="Times New Roman" w:cs="Times New Roman"/>
          <w:szCs w:val="24"/>
        </w:rPr>
        <w:t xml:space="preserve"> Lietuvos didžiojo kunigaikščio Vytenio bendrosios paramos logistikos bataliono</w:t>
      </w:r>
      <w:r w:rsidR="00CA346F">
        <w:rPr>
          <w:rFonts w:eastAsia="Times New Roman" w:cs="Times New Roman"/>
          <w:szCs w:val="24"/>
        </w:rPr>
        <w:t>)</w:t>
      </w:r>
      <w:r w:rsidRPr="00055B33">
        <w:rPr>
          <w:rFonts w:eastAsia="Times New Roman" w:cs="Times New Roman"/>
          <w:szCs w:val="24"/>
        </w:rPr>
        <w:t xml:space="preserve"> skysto kuro </w:t>
      </w:r>
      <w:r w:rsidRPr="00055B33">
        <w:rPr>
          <w:rFonts w:eastAsia="Calibri" w:cs="Times New Roman"/>
          <w:szCs w:val="24"/>
        </w:rPr>
        <w:t>degalinė</w:t>
      </w:r>
      <w:r w:rsidRPr="00055B33">
        <w:rPr>
          <w:rFonts w:eastAsia="Times New Roman" w:cs="Times New Roman"/>
          <w:szCs w:val="24"/>
        </w:rPr>
        <w:t>, esan</w:t>
      </w:r>
      <w:r>
        <w:rPr>
          <w:rFonts w:eastAsia="Times New Roman" w:cs="Times New Roman"/>
          <w:szCs w:val="24"/>
        </w:rPr>
        <w:t>ti</w:t>
      </w:r>
      <w:r w:rsidRPr="00055B33">
        <w:rPr>
          <w:rFonts w:eastAsia="Times New Roman" w:cs="Times New Roman"/>
          <w:szCs w:val="24"/>
        </w:rPr>
        <w:t xml:space="preserve"> adresu Vytauto g. 72, Marijampolė.</w:t>
      </w:r>
    </w:p>
    <w:p w:rsidR="00055B33" w:rsidRPr="00055B33" w:rsidRDefault="00055B33" w:rsidP="00055B33">
      <w:pPr>
        <w:jc w:val="both"/>
        <w:rPr>
          <w:rFonts w:eastAsia="Calibri" w:cs="Times New Roman"/>
          <w:b/>
          <w:szCs w:val="24"/>
        </w:rPr>
      </w:pPr>
    </w:p>
    <w:p w:rsidR="00055B33" w:rsidRPr="00055B33" w:rsidRDefault="00055B33" w:rsidP="0021374D">
      <w:pPr>
        <w:spacing w:after="240"/>
        <w:jc w:val="both"/>
        <w:rPr>
          <w:rFonts w:eastAsia="Times New Roman" w:cs="Times New Roman"/>
          <w:b/>
          <w:szCs w:val="24"/>
        </w:rPr>
      </w:pPr>
      <w:r w:rsidRPr="00055B33">
        <w:rPr>
          <w:rFonts w:eastAsia="Times New Roman" w:cs="Times New Roman"/>
          <w:b/>
          <w:szCs w:val="24"/>
        </w:rPr>
        <w:t>Reikalavimai paslaugai:</w:t>
      </w:r>
    </w:p>
    <w:p w:rsidR="00B76B35" w:rsidRDefault="008424D3" w:rsidP="004344B2">
      <w:pPr>
        <w:jc w:val="both"/>
      </w:pPr>
      <w:r>
        <w:t xml:space="preserve">1. </w:t>
      </w:r>
      <w:r w:rsidRPr="008424D3">
        <w:t xml:space="preserve">Aplinkos (poveikio požeminiam vandeniui) monitoringas turi būti vykdomas vadovaujantis Lietuvos kariuomenės Logistikos valdybos Įgulų aptarnavimo tarnybos </w:t>
      </w:r>
      <w:r w:rsidR="000411CD">
        <w:t>Marijampolės</w:t>
      </w:r>
      <w:r w:rsidRPr="008424D3">
        <w:t xml:space="preserve"> įgulos aptarnavimo centro </w:t>
      </w:r>
      <w:r w:rsidR="00CA346F">
        <w:t>(</w:t>
      </w:r>
      <w:r w:rsidRPr="00055B33">
        <w:rPr>
          <w:rFonts w:eastAsia="Times New Roman" w:cs="Times New Roman"/>
          <w:szCs w:val="24"/>
        </w:rPr>
        <w:t>L</w:t>
      </w:r>
      <w:r w:rsidR="00CA346F">
        <w:rPr>
          <w:rFonts w:eastAsia="Times New Roman" w:cs="Times New Roman"/>
          <w:szCs w:val="24"/>
        </w:rPr>
        <w:t>ietuvos kariuomenės</w:t>
      </w:r>
      <w:r w:rsidRPr="00055B33">
        <w:rPr>
          <w:rFonts w:eastAsia="Times New Roman" w:cs="Times New Roman"/>
          <w:szCs w:val="24"/>
        </w:rPr>
        <w:t xml:space="preserve"> Lietuvos didžiojo kunigaikščio Vytenio bendrosios paramos logistikos bataliono</w:t>
      </w:r>
      <w:r w:rsidR="00CA346F">
        <w:rPr>
          <w:rFonts w:eastAsia="Times New Roman" w:cs="Times New Roman"/>
          <w:szCs w:val="24"/>
        </w:rPr>
        <w:t>)</w:t>
      </w:r>
      <w:r w:rsidRPr="00055B33">
        <w:rPr>
          <w:rFonts w:eastAsia="Times New Roman" w:cs="Times New Roman"/>
          <w:szCs w:val="24"/>
        </w:rPr>
        <w:t xml:space="preserve"> skysto kuro </w:t>
      </w:r>
      <w:r w:rsidRPr="00055B33">
        <w:rPr>
          <w:rFonts w:eastAsia="Calibri" w:cs="Times New Roman"/>
          <w:szCs w:val="24"/>
        </w:rPr>
        <w:t>degalinė</w:t>
      </w:r>
      <w:r>
        <w:rPr>
          <w:rFonts w:eastAsia="Calibri" w:cs="Times New Roman"/>
          <w:szCs w:val="24"/>
        </w:rPr>
        <w:t>s,</w:t>
      </w:r>
      <w:r w:rsidRPr="008424D3">
        <w:t xml:space="preserve"> esančio</w:t>
      </w:r>
      <w:r>
        <w:t>s</w:t>
      </w:r>
      <w:r w:rsidRPr="008424D3">
        <w:t xml:space="preserve"> </w:t>
      </w:r>
      <w:r>
        <w:t xml:space="preserve">adresu </w:t>
      </w:r>
      <w:r w:rsidRPr="00055B33">
        <w:rPr>
          <w:rFonts w:eastAsia="Times New Roman" w:cs="Times New Roman"/>
          <w:szCs w:val="24"/>
        </w:rPr>
        <w:t>Vytauto g. 72, Marijampolė</w:t>
      </w:r>
      <w:r>
        <w:t xml:space="preserve">je, aplinkos monitoringo programa 2021-2025 m. </w:t>
      </w:r>
      <w:r w:rsidRPr="008424D3">
        <w:t xml:space="preserve">(toliau – Monitoringo programa). </w:t>
      </w:r>
    </w:p>
    <w:p w:rsidR="00ED47E1" w:rsidRDefault="00ED47E1" w:rsidP="003D2614">
      <w:r>
        <w:t>2. Paslaugos teikėjas turi:</w:t>
      </w:r>
    </w:p>
    <w:p w:rsidR="00CA346F" w:rsidRDefault="00ED47E1" w:rsidP="004344B2">
      <w:pPr>
        <w:jc w:val="both"/>
      </w:pPr>
      <w:r>
        <w:t xml:space="preserve">2.1. </w:t>
      </w:r>
      <w:r w:rsidR="00CA346F">
        <w:t>atlikti požeminio vandens monitoringo gręžini</w:t>
      </w:r>
      <w:r w:rsidR="00997418">
        <w:t>o</w:t>
      </w:r>
      <w:r w:rsidR="00CA346F">
        <w:t xml:space="preserve"> įrengimo atnaujinimo darbus: šiuo metu stebim</w:t>
      </w:r>
      <w:r w:rsidR="009368B4">
        <w:t>asis gręžinys Nr. 39749</w:t>
      </w:r>
      <w:r w:rsidR="00997418">
        <w:t xml:space="preserve"> </w:t>
      </w:r>
      <w:r w:rsidR="004344B2">
        <w:t>yra sugadintas</w:t>
      </w:r>
      <w:r w:rsidR="00CA346F">
        <w:t xml:space="preserve">, todėl siekiant vykdyti kokybišką požeminio vandens (gruntinio vandeningojo sluoksnio) </w:t>
      </w:r>
      <w:r w:rsidR="009368B4">
        <w:t>s</w:t>
      </w:r>
      <w:r w:rsidR="00CA346F">
        <w:t xml:space="preserve">tebėjimą, t. y. vandens lygio </w:t>
      </w:r>
      <w:proofErr w:type="spellStart"/>
      <w:r w:rsidR="00CA346F">
        <w:t>matavimus</w:t>
      </w:r>
      <w:proofErr w:type="spellEnd"/>
      <w:r w:rsidR="00CA346F">
        <w:t xml:space="preserve"> ir mėginių laboratoriniams tyrimams </w:t>
      </w:r>
      <w:proofErr w:type="spellStart"/>
      <w:r w:rsidR="00CA346F">
        <w:t>paėmimus</w:t>
      </w:r>
      <w:proofErr w:type="spellEnd"/>
      <w:r w:rsidR="00CA346F">
        <w:t xml:space="preserve"> būtina pergręžti požemin</w:t>
      </w:r>
      <w:r w:rsidR="009368B4">
        <w:t>io vandens monitoringo gręžinį</w:t>
      </w:r>
      <w:r w:rsidR="00CA346F">
        <w:t xml:space="preserve"> Nr. </w:t>
      </w:r>
      <w:r w:rsidR="009368B4">
        <w:t>39749</w:t>
      </w:r>
      <w:r w:rsidR="00CA346F">
        <w:t xml:space="preserve">, </w:t>
      </w:r>
      <w:r w:rsidR="004344B2">
        <w:t>taip kad gręžinys atitiktų Monitoringo programoje nurodytas charakteristikas</w:t>
      </w:r>
      <w:r w:rsidR="00CA346F">
        <w:t>, gręžin</w:t>
      </w:r>
      <w:r w:rsidR="009368B4">
        <w:t>į</w:t>
      </w:r>
      <w:r w:rsidR="00CA346F">
        <w:t xml:space="preserve"> įrengti vadovaujantis Lietuvos geologijos tarnybos požeminio vandens monitoringo metodinėse rekomendacijose nurodytomis gręžinio įrengimo technologijomis ir konstrukcijomis.</w:t>
      </w:r>
    </w:p>
    <w:p w:rsidR="00ED47E1" w:rsidRDefault="00CA346F" w:rsidP="003D2614">
      <w:r>
        <w:t xml:space="preserve">2.2. </w:t>
      </w:r>
      <w:r w:rsidR="00ED47E1">
        <w:t>atlikti 202</w:t>
      </w:r>
      <w:r w:rsidR="00871C09">
        <w:t>4</w:t>
      </w:r>
      <w:r w:rsidR="004F305D">
        <w:t xml:space="preserve"> m.</w:t>
      </w:r>
      <w:r w:rsidR="00A96426">
        <w:t xml:space="preserve"> </w:t>
      </w:r>
      <w:r w:rsidR="00ED47E1">
        <w:t>tyrimus, numatytus Monitoringo programoje.</w:t>
      </w:r>
    </w:p>
    <w:p w:rsidR="00C91928" w:rsidRDefault="00516FEE" w:rsidP="003D2614">
      <w:r>
        <w:t xml:space="preserve">2.3. parengti </w:t>
      </w:r>
      <w:r w:rsidR="00B678E5">
        <w:t xml:space="preserve">2024 m. </w:t>
      </w:r>
      <w:r w:rsidR="003905B4">
        <w:t>metinę atas</w:t>
      </w:r>
      <w:r w:rsidR="00F340F9">
        <w:t>kaitą.</w:t>
      </w:r>
    </w:p>
    <w:p w:rsidR="00055B33" w:rsidRDefault="00ED47E1" w:rsidP="00055B33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en-GB"/>
        </w:rPr>
        <w:t>3</w:t>
      </w:r>
      <w:r w:rsidR="00055B33" w:rsidRPr="00055B33">
        <w:rPr>
          <w:rFonts w:eastAsia="Times New Roman" w:cs="Times New Roman"/>
          <w:szCs w:val="24"/>
          <w:lang w:val="en-GB"/>
        </w:rPr>
        <w:t xml:space="preserve">. </w:t>
      </w:r>
      <w:r w:rsidR="00055B33" w:rsidRPr="00055B33">
        <w:rPr>
          <w:rFonts w:eastAsia="Times New Roman" w:cs="Times New Roman"/>
          <w:szCs w:val="24"/>
        </w:rPr>
        <w:t xml:space="preserve">Monitoringo vykdymui įrengtas monitoringo tinklas, kurį sudaro 4 gręžiniai. Tyrimų periodiškumas ir tiriamos </w:t>
      </w:r>
      <w:proofErr w:type="spellStart"/>
      <w:r w:rsidR="00055B33" w:rsidRPr="00055B33">
        <w:rPr>
          <w:rFonts w:eastAsia="Times New Roman" w:cs="Times New Roman"/>
          <w:szCs w:val="24"/>
        </w:rPr>
        <w:t>analitės</w:t>
      </w:r>
      <w:proofErr w:type="spellEnd"/>
      <w:r w:rsidR="00055B33" w:rsidRPr="00055B33">
        <w:rPr>
          <w:rFonts w:eastAsia="Times New Roman" w:cs="Times New Roman"/>
          <w:szCs w:val="24"/>
        </w:rPr>
        <w:t>, nurodytos suderintoje programoje, pateiktos 1 lentelėje.</w:t>
      </w:r>
    </w:p>
    <w:p w:rsidR="008424D3" w:rsidRDefault="00ED47E1" w:rsidP="008424D3">
      <w:pPr>
        <w:autoSpaceDE w:val="0"/>
        <w:autoSpaceDN w:val="0"/>
        <w:adjustRightInd w:val="0"/>
        <w:ind w:right="102"/>
        <w:jc w:val="both"/>
        <w:rPr>
          <w:rFonts w:eastAsia="Calibri" w:cs="Times New Roman"/>
          <w:color w:val="FF0000"/>
          <w:szCs w:val="24"/>
        </w:rPr>
      </w:pPr>
      <w:r>
        <w:rPr>
          <w:rFonts w:eastAsia="Times New Roman" w:cs="Times New Roman"/>
          <w:szCs w:val="24"/>
          <w:lang w:eastAsia="lt-LT"/>
        </w:rPr>
        <w:t>4</w:t>
      </w:r>
      <w:r w:rsidR="008424D3" w:rsidRPr="00055B33">
        <w:rPr>
          <w:rFonts w:eastAsia="Times New Roman" w:cs="Times New Roman"/>
          <w:szCs w:val="24"/>
          <w:lang w:eastAsia="lt-LT"/>
        </w:rPr>
        <w:t xml:space="preserve">. Monitoringo duomenys (laboratorinių tyrimų protokolų kopijos) turi būti pateikiami Pirkėjui ne vėliau, kaip per 30 dienų nuo mėginių paėmimo dienos, siunčiant juos el. paštu: </w:t>
      </w:r>
      <w:proofErr w:type="spellStart"/>
      <w:r w:rsidR="004F305D" w:rsidRPr="004F305D">
        <w:rPr>
          <w:rFonts w:eastAsia="Times New Roman" w:cs="Times New Roman"/>
          <w:szCs w:val="24"/>
          <w:lang w:eastAsia="lt-LT"/>
        </w:rPr>
        <w:t>kristina.g</w:t>
      </w:r>
      <w:r w:rsidR="000411CD">
        <w:rPr>
          <w:rFonts w:eastAsia="Times New Roman" w:cs="Times New Roman"/>
          <w:szCs w:val="24"/>
          <w:lang w:eastAsia="lt-LT"/>
        </w:rPr>
        <w:t>rabauskiene</w:t>
      </w:r>
      <w:r w:rsidR="008424D3" w:rsidRPr="00055B33">
        <w:rPr>
          <w:rFonts w:eastAsia="Times New Roman" w:cs="Times New Roman"/>
          <w:szCs w:val="24"/>
          <w:lang w:eastAsia="lt-LT"/>
        </w:rPr>
        <w:t>@mil.lt</w:t>
      </w:r>
      <w:proofErr w:type="spellEnd"/>
      <w:r w:rsidR="008424D3" w:rsidRPr="00055B33">
        <w:rPr>
          <w:rFonts w:eastAsia="Times New Roman" w:cs="Times New Roman"/>
          <w:szCs w:val="24"/>
          <w:lang w:eastAsia="lt-LT"/>
        </w:rPr>
        <w:t>.</w:t>
      </w:r>
      <w:r w:rsidR="008424D3" w:rsidRPr="00055B33">
        <w:rPr>
          <w:rFonts w:eastAsia="Calibri" w:cs="Times New Roman"/>
          <w:color w:val="FF0000"/>
          <w:szCs w:val="24"/>
        </w:rPr>
        <w:t xml:space="preserve"> </w:t>
      </w:r>
    </w:p>
    <w:p w:rsidR="008424D3" w:rsidRDefault="00ED47E1" w:rsidP="008424D3">
      <w:pPr>
        <w:autoSpaceDE w:val="0"/>
        <w:autoSpaceDN w:val="0"/>
        <w:adjustRightInd w:val="0"/>
        <w:ind w:right="102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</w:t>
      </w:r>
      <w:r w:rsidR="008424D3" w:rsidRPr="008424D3">
        <w:rPr>
          <w:rFonts w:eastAsia="Calibri" w:cs="Times New Roman"/>
          <w:szCs w:val="24"/>
        </w:rPr>
        <w:t xml:space="preserve">. Metinė monitoringo ataskaita, parengta vadovaujantis [1], turi būti pateikiama </w:t>
      </w:r>
      <w:r w:rsidR="00855667">
        <w:rPr>
          <w:rFonts w:eastAsia="Calibri" w:cs="Times New Roman"/>
          <w:szCs w:val="24"/>
        </w:rPr>
        <w:t>Pirkėjui</w:t>
      </w:r>
      <w:r w:rsidR="008424D3" w:rsidRPr="008424D3">
        <w:rPr>
          <w:rFonts w:eastAsia="Calibri" w:cs="Times New Roman"/>
          <w:szCs w:val="24"/>
        </w:rPr>
        <w:t xml:space="preserve"> kasmet, ne vėliau kaip iki einamųjų metų gruodžio 1 d., įteikiant sąskaitą – faktūrą, paslaugų perdavimo – priėmimo aktą ir metinę ataskaitą (2 egz.) ir jos skaitmeninę kopiją tiesiogiai arba siunčiant paštu.</w:t>
      </w:r>
    </w:p>
    <w:p w:rsidR="00055B33" w:rsidRPr="00055B33" w:rsidRDefault="00055B33" w:rsidP="00055B33">
      <w:pPr>
        <w:widowControl w:val="0"/>
        <w:autoSpaceDE w:val="0"/>
        <w:autoSpaceDN w:val="0"/>
        <w:adjustRightInd w:val="0"/>
        <w:ind w:right="102"/>
        <w:jc w:val="both"/>
        <w:rPr>
          <w:rFonts w:eastAsia="Times New Roman" w:cs="Times New Roman"/>
          <w:iCs/>
          <w:szCs w:val="24"/>
          <w:lang w:eastAsia="lt-LT"/>
        </w:rPr>
      </w:pPr>
      <w:r w:rsidRPr="00055B33">
        <w:rPr>
          <w:rFonts w:eastAsia="Times New Roman" w:cs="Times New Roman"/>
          <w:iCs/>
          <w:szCs w:val="24"/>
          <w:lang w:eastAsia="lt-LT"/>
        </w:rPr>
        <w:t xml:space="preserve">1 lentelė. Suderintoje Monitoringo programoje nurodytas tyrimų periodiškumas ir tiriamos </w:t>
      </w:r>
      <w:proofErr w:type="spellStart"/>
      <w:r w:rsidRPr="00055B33">
        <w:rPr>
          <w:rFonts w:eastAsia="Times New Roman" w:cs="Times New Roman"/>
          <w:iCs/>
          <w:szCs w:val="24"/>
          <w:lang w:eastAsia="lt-LT"/>
        </w:rPr>
        <w:t>analitės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54"/>
        <w:gridCol w:w="2270"/>
        <w:gridCol w:w="2492"/>
        <w:gridCol w:w="2038"/>
        <w:gridCol w:w="1692"/>
      </w:tblGrid>
      <w:tr w:rsidR="00055B33" w:rsidRPr="00055B33" w:rsidTr="00CA346F">
        <w:trPr>
          <w:trHeight w:val="794"/>
          <w:jc w:val="center"/>
        </w:trPr>
        <w:tc>
          <w:tcPr>
            <w:tcW w:w="516" w:type="dxa"/>
            <w:vAlign w:val="center"/>
          </w:tcPr>
          <w:p w:rsidR="00055B33" w:rsidRPr="00055B33" w:rsidRDefault="00055B33" w:rsidP="00B23EBF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Times New Roman" w:cs="Times New Roman"/>
                <w:sz w:val="18"/>
                <w:szCs w:val="18"/>
              </w:rPr>
            </w:pPr>
            <w:r w:rsidRPr="00055B33">
              <w:rPr>
                <w:rFonts w:eastAsia="Times New Roman" w:cs="Times New Roman"/>
                <w:sz w:val="18"/>
                <w:szCs w:val="18"/>
              </w:rPr>
              <w:t>Eil. Nr.</w:t>
            </w:r>
          </w:p>
        </w:tc>
        <w:tc>
          <w:tcPr>
            <w:tcW w:w="954" w:type="dxa"/>
            <w:vAlign w:val="center"/>
          </w:tcPr>
          <w:p w:rsidR="00055B33" w:rsidRPr="00055B33" w:rsidRDefault="00055B33" w:rsidP="00B23EBF">
            <w:pPr>
              <w:autoSpaceDE w:val="0"/>
              <w:autoSpaceDN w:val="0"/>
              <w:adjustRightInd w:val="0"/>
              <w:spacing w:line="276" w:lineRule="auto"/>
              <w:ind w:left="142" w:hanging="142"/>
              <w:jc w:val="center"/>
              <w:textAlignment w:val="center"/>
              <w:rPr>
                <w:rFonts w:eastAsia="Times New Roman" w:cs="Times New Roman"/>
                <w:sz w:val="18"/>
                <w:szCs w:val="18"/>
              </w:rPr>
            </w:pPr>
            <w:r w:rsidRPr="00055B33">
              <w:rPr>
                <w:rFonts w:eastAsia="Times New Roman" w:cs="Times New Roman"/>
                <w:sz w:val="18"/>
                <w:szCs w:val="18"/>
              </w:rPr>
              <w:t>Gręžinių Nr.</w:t>
            </w:r>
          </w:p>
        </w:tc>
        <w:tc>
          <w:tcPr>
            <w:tcW w:w="2270" w:type="dxa"/>
            <w:vAlign w:val="center"/>
          </w:tcPr>
          <w:p w:rsidR="00055B33" w:rsidRPr="00055B33" w:rsidRDefault="00055B33" w:rsidP="00B23EBF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Times New Roman" w:cs="Times New Roman"/>
                <w:sz w:val="18"/>
                <w:szCs w:val="18"/>
              </w:rPr>
            </w:pPr>
            <w:r w:rsidRPr="00055B33">
              <w:rPr>
                <w:rFonts w:eastAsia="Times New Roman" w:cs="Times New Roman"/>
                <w:sz w:val="18"/>
                <w:szCs w:val="18"/>
              </w:rPr>
              <w:t>Nustatomi parametrai</w:t>
            </w:r>
          </w:p>
        </w:tc>
        <w:tc>
          <w:tcPr>
            <w:tcW w:w="2492" w:type="dxa"/>
            <w:vAlign w:val="center"/>
          </w:tcPr>
          <w:p w:rsidR="00055B33" w:rsidRPr="00055B33" w:rsidRDefault="00055B33" w:rsidP="00B23EBF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Times New Roman" w:cs="Times New Roman"/>
                <w:sz w:val="18"/>
                <w:szCs w:val="18"/>
              </w:rPr>
            </w:pPr>
            <w:r w:rsidRPr="00055B33">
              <w:rPr>
                <w:rFonts w:eastAsia="Times New Roman" w:cs="Times New Roman"/>
                <w:sz w:val="18"/>
                <w:szCs w:val="18"/>
              </w:rPr>
              <w:t>Matavimo metodas</w:t>
            </w:r>
          </w:p>
        </w:tc>
        <w:tc>
          <w:tcPr>
            <w:tcW w:w="2038" w:type="dxa"/>
            <w:vAlign w:val="center"/>
          </w:tcPr>
          <w:p w:rsidR="00055B33" w:rsidRPr="00055B33" w:rsidRDefault="00055B33" w:rsidP="00B23EBF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Times New Roman" w:cs="Times New Roman"/>
                <w:sz w:val="18"/>
                <w:szCs w:val="18"/>
              </w:rPr>
            </w:pPr>
            <w:r w:rsidRPr="00055B33">
              <w:rPr>
                <w:rFonts w:eastAsia="Times New Roman" w:cs="Times New Roman"/>
                <w:sz w:val="18"/>
                <w:szCs w:val="18"/>
              </w:rPr>
              <w:t>Vertinimo kriterijus</w:t>
            </w:r>
          </w:p>
        </w:tc>
        <w:tc>
          <w:tcPr>
            <w:tcW w:w="1692" w:type="dxa"/>
            <w:vAlign w:val="center"/>
          </w:tcPr>
          <w:p w:rsidR="00055B33" w:rsidRPr="00055B33" w:rsidRDefault="00055B33" w:rsidP="00B23EBF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Times New Roman" w:cs="Times New Roman"/>
                <w:sz w:val="18"/>
                <w:szCs w:val="18"/>
              </w:rPr>
            </w:pPr>
            <w:r w:rsidRPr="00055B33">
              <w:rPr>
                <w:rFonts w:eastAsia="Times New Roman" w:cs="Times New Roman"/>
                <w:sz w:val="18"/>
                <w:szCs w:val="18"/>
              </w:rPr>
              <w:t>Matavimų dažnumas/ periodiškumas</w:t>
            </w:r>
          </w:p>
        </w:tc>
      </w:tr>
      <w:tr w:rsidR="00055B33" w:rsidRPr="00055B33" w:rsidTr="00CA346F">
        <w:trPr>
          <w:jc w:val="center"/>
        </w:trPr>
        <w:tc>
          <w:tcPr>
            <w:tcW w:w="516" w:type="dxa"/>
            <w:vAlign w:val="center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055B33">
              <w:rPr>
                <w:rFonts w:eastAsia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954" w:type="dxa"/>
            <w:vAlign w:val="center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055B33">
              <w:rPr>
                <w:rFonts w:eastAsia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2270" w:type="dxa"/>
            <w:vAlign w:val="center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055B33">
              <w:rPr>
                <w:rFonts w:eastAsia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2492" w:type="dxa"/>
            <w:vAlign w:val="center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055B33">
              <w:rPr>
                <w:rFonts w:eastAsia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2038" w:type="dxa"/>
            <w:vAlign w:val="center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055B33">
              <w:rPr>
                <w:rFonts w:eastAsia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692" w:type="dxa"/>
            <w:vAlign w:val="center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055B33">
              <w:rPr>
                <w:rFonts w:eastAsia="Times New Roman" w:cs="Times New Roman"/>
                <w:i/>
                <w:sz w:val="18"/>
                <w:szCs w:val="18"/>
              </w:rPr>
              <w:t>6</w:t>
            </w:r>
          </w:p>
        </w:tc>
      </w:tr>
      <w:tr w:rsidR="00055B33" w:rsidRPr="00055B33" w:rsidTr="00CA346F">
        <w:trPr>
          <w:trHeight w:val="556"/>
          <w:jc w:val="center"/>
        </w:trPr>
        <w:tc>
          <w:tcPr>
            <w:tcW w:w="516" w:type="dxa"/>
            <w:vMerge w:val="restart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sz w:val="18"/>
                <w:szCs w:val="18"/>
              </w:rPr>
            </w:pPr>
            <w:r w:rsidRPr="00055B33">
              <w:rPr>
                <w:rFonts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954" w:type="dxa"/>
            <w:vMerge w:val="restart"/>
          </w:tcPr>
          <w:p w:rsidR="00055B33" w:rsidRPr="00055B33" w:rsidRDefault="000A203D" w:rsidP="00055B33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</w:rPr>
              <w:t>54241</w:t>
            </w:r>
          </w:p>
        </w:tc>
        <w:tc>
          <w:tcPr>
            <w:tcW w:w="2270" w:type="dxa"/>
          </w:tcPr>
          <w:p w:rsidR="000A203D" w:rsidRDefault="000A203D" w:rsidP="000A203D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sz w:val="13"/>
                <w:szCs w:val="13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Ekspres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tyrimai 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A)</w:t>
            </w:r>
          </w:p>
          <w:p w:rsidR="00055B33" w:rsidRPr="00055B33" w:rsidRDefault="000A203D" w:rsidP="000A203D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 xml:space="preserve">Lengvieji angliavandeniliai 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D)</w:t>
            </w:r>
          </w:p>
        </w:tc>
        <w:tc>
          <w:tcPr>
            <w:tcW w:w="2492" w:type="dxa"/>
            <w:vMerge w:val="restart"/>
          </w:tcPr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Amonio jonai: LST ISO 7150-1:1998, LST EN IS0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14911:2000 (ISO 14911:1998); Bendras kietumas: ISO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6059:1984; Chloridai: LST ISO 10304-1:2009 (ISO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10304-1:2007); CO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2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: LST EN 13577:2007;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Hidrokarbonatai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>: LST ISO 9963-1:1999 (ISO 9963-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1:1994), LST ISO 9963-2:1999 (ISO 9963-2:1994);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Ištirpęs vandenyje deguonis: LST EN 25813:1999 (ISO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5813:1983), LST EN 25814:1999 (ISO 5814:1990);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Kalcis, kalis, magnis, natris: LST EN IS0 14911:2000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(ISO 14911:1998); Nitratai: LST ISO 10304-1:2009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(ISO 10304-1:2007); Nitritai: LST EN 26777:1999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(ISO 6777:1984), LST ISO 10304-1:2009 (ISO 10304-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1:2007); Permanganato indeksas: LST EN ISO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8467:2002 (ISO 8467:1993);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ChDS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>: ISO 15705:2002;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pH: LST EN ISO 10523:2012 (ISO 10523:2008);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Sausa liekana: EPA 160.1:1971; Savitasis elektrinis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laidumas: LST EN 27888:2002 (ISO 7888:1985);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Sulfatai: LST ISO 10304-1:2009 (ISO 10304-1:2007);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Aromatiniai angliavandeniliai: ISO 11423-1:1997;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Benzino eilės (C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6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-C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10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) ir dyzelino eilės (C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10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-C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28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)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angliavandeniliai: US EPA 8015B:1996; Naftos</w:t>
            </w:r>
          </w:p>
          <w:p w:rsidR="00055B33" w:rsidRPr="00055B33" w:rsidRDefault="000A203D" w:rsidP="000A203D">
            <w:pPr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angliavandenilių indeksas : LST EN ISO 9377-2:2002</w:t>
            </w:r>
          </w:p>
        </w:tc>
        <w:tc>
          <w:tcPr>
            <w:tcW w:w="2038" w:type="dxa"/>
            <w:vMerge w:val="restart"/>
          </w:tcPr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Vertinimas vykdomas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pagal Lietuvos higienos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normą „Cheminėmis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medžiagomis užterštų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teritorijų tvarkymo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aplinkos apsaugos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reikalavimai“, patvirtinti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Lietuvos Respublikos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Aplinkos ministro 2008 m.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balandžio 30 d. įsakymu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Nr. D1-230 ir Naftos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produktais užterštų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teritorijų tvarkymo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aplinkos apsaugos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reikalavimai (LAND 9-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2009), patvirtinti Lietuvos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Respublikos aplinkos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ministro 2009 m. lapkričio</w:t>
            </w:r>
          </w:p>
          <w:p w:rsidR="00055B33" w:rsidRPr="00055B33" w:rsidRDefault="000A203D" w:rsidP="000A203D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17 d. įsakymu Nr. D1-694.</w:t>
            </w:r>
          </w:p>
        </w:tc>
        <w:tc>
          <w:tcPr>
            <w:tcW w:w="1692" w:type="dxa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 w:rsidRPr="00055B33">
              <w:rPr>
                <w:rFonts w:eastAsia="Times New Roman" w:cs="Times New Roman"/>
                <w:sz w:val="20"/>
                <w:szCs w:val="20"/>
              </w:rPr>
              <w:lastRenderedPageBreak/>
              <w:t>Pavasarį</w:t>
            </w:r>
          </w:p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 w:rsidRPr="00055B33">
              <w:rPr>
                <w:rFonts w:eastAsia="Calibri" w:cs="Times New Roman"/>
                <w:sz w:val="20"/>
                <w:szCs w:val="20"/>
              </w:rPr>
              <w:lastRenderedPageBreak/>
              <w:t>(balandžio–gegužės mėn.)</w:t>
            </w:r>
          </w:p>
        </w:tc>
      </w:tr>
      <w:tr w:rsidR="00055B33" w:rsidRPr="00055B33" w:rsidTr="00CA346F">
        <w:trPr>
          <w:trHeight w:val="2765"/>
          <w:jc w:val="center"/>
        </w:trPr>
        <w:tc>
          <w:tcPr>
            <w:tcW w:w="516" w:type="dxa"/>
            <w:vMerge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b/>
              </w:rPr>
            </w:pPr>
          </w:p>
        </w:tc>
        <w:tc>
          <w:tcPr>
            <w:tcW w:w="2270" w:type="dxa"/>
          </w:tcPr>
          <w:p w:rsidR="000A203D" w:rsidRDefault="000A203D" w:rsidP="000A203D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sz w:val="13"/>
                <w:szCs w:val="13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Ekspres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tyrimai 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A)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sz w:val="13"/>
                <w:szCs w:val="13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Bendra cheminė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analizė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B</w:t>
            </w:r>
            <w:proofErr w:type="spellEnd"/>
            <w:r>
              <w:rPr>
                <w:rFonts w:ascii="TimesNewRomanPSMT" w:hAnsi="TimesNewRomanPSMT" w:cs="TimesNewRomanPSMT"/>
                <w:sz w:val="13"/>
                <w:szCs w:val="13"/>
              </w:rPr>
              <w:t>)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ChDS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C)</w:t>
            </w:r>
          </w:p>
          <w:p w:rsidR="00055B33" w:rsidRPr="00055B33" w:rsidRDefault="000A203D" w:rsidP="000A203D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Lengvieji angliavandeniliai 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D)</w:t>
            </w:r>
          </w:p>
        </w:tc>
        <w:tc>
          <w:tcPr>
            <w:tcW w:w="2492" w:type="dxa"/>
            <w:vMerge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 w:rsidRPr="00055B33">
              <w:rPr>
                <w:rFonts w:eastAsia="Times New Roman" w:cs="Times New Roman"/>
                <w:sz w:val="20"/>
                <w:szCs w:val="20"/>
              </w:rPr>
              <w:t>Rudenį</w:t>
            </w:r>
          </w:p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 w:rsidRPr="00055B33">
              <w:rPr>
                <w:rFonts w:eastAsia="Calibri" w:cs="Times New Roman"/>
                <w:sz w:val="20"/>
                <w:szCs w:val="20"/>
              </w:rPr>
              <w:t>(rugsėjo–spalio mėn.)</w:t>
            </w:r>
          </w:p>
        </w:tc>
      </w:tr>
      <w:tr w:rsidR="00055B33" w:rsidRPr="00055B33" w:rsidTr="00CA346F">
        <w:trPr>
          <w:trHeight w:val="551"/>
          <w:jc w:val="center"/>
        </w:trPr>
        <w:tc>
          <w:tcPr>
            <w:tcW w:w="516" w:type="dxa"/>
            <w:vMerge w:val="restart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sz w:val="18"/>
                <w:szCs w:val="18"/>
              </w:rPr>
            </w:pPr>
            <w:r w:rsidRPr="00055B33">
              <w:rPr>
                <w:rFonts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954" w:type="dxa"/>
            <w:vMerge w:val="restart"/>
          </w:tcPr>
          <w:p w:rsidR="000A203D" w:rsidRDefault="000A203D" w:rsidP="000A20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</w:rPr>
              <w:t>54238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</w:rPr>
              <w:t>39749</w:t>
            </w:r>
          </w:p>
          <w:p w:rsidR="00055B33" w:rsidRPr="00055B33" w:rsidRDefault="000A203D" w:rsidP="000A203D">
            <w:pPr>
              <w:spacing w:after="200" w:line="276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</w:rPr>
              <w:t>54240</w:t>
            </w:r>
          </w:p>
        </w:tc>
        <w:tc>
          <w:tcPr>
            <w:tcW w:w="2270" w:type="dxa"/>
          </w:tcPr>
          <w:p w:rsidR="00055B33" w:rsidRPr="00055B33" w:rsidRDefault="000A203D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Ekspres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tyrimai 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A)</w:t>
            </w:r>
          </w:p>
        </w:tc>
        <w:tc>
          <w:tcPr>
            <w:tcW w:w="2492" w:type="dxa"/>
            <w:vMerge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 w:rsidRPr="00055B33">
              <w:rPr>
                <w:rFonts w:eastAsia="Times New Roman" w:cs="Times New Roman"/>
                <w:sz w:val="20"/>
                <w:szCs w:val="20"/>
              </w:rPr>
              <w:t>Pavasarį</w:t>
            </w:r>
          </w:p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 w:rsidRPr="00055B33">
              <w:rPr>
                <w:rFonts w:eastAsia="Calibri" w:cs="Times New Roman"/>
                <w:sz w:val="20"/>
                <w:szCs w:val="20"/>
              </w:rPr>
              <w:t>(balandžio–gegužės mėn.)</w:t>
            </w:r>
          </w:p>
        </w:tc>
      </w:tr>
      <w:tr w:rsidR="00055B33" w:rsidRPr="00055B33" w:rsidTr="00CA346F">
        <w:trPr>
          <w:trHeight w:val="1179"/>
          <w:jc w:val="center"/>
        </w:trPr>
        <w:tc>
          <w:tcPr>
            <w:tcW w:w="516" w:type="dxa"/>
            <w:vMerge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55B33" w:rsidRPr="00055B33" w:rsidRDefault="00055B33" w:rsidP="00055B33">
            <w:pPr>
              <w:spacing w:after="200"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270" w:type="dxa"/>
          </w:tcPr>
          <w:p w:rsidR="000A203D" w:rsidRDefault="000A203D" w:rsidP="000A203D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sz w:val="13"/>
                <w:szCs w:val="13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Ekspres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tyrimai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A</w:t>
            </w:r>
            <w:proofErr w:type="spellEnd"/>
            <w:r>
              <w:rPr>
                <w:rFonts w:ascii="TimesNewRomanPSMT" w:hAnsi="TimesNewRomanPSMT" w:cs="TimesNewRomanPSMT"/>
                <w:sz w:val="13"/>
                <w:szCs w:val="13"/>
              </w:rPr>
              <w:t>)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sz w:val="13"/>
                <w:szCs w:val="13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Bendra cheminė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analizė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B</w:t>
            </w:r>
            <w:proofErr w:type="spellEnd"/>
            <w:r>
              <w:rPr>
                <w:rFonts w:ascii="TimesNewRomanPSMT" w:hAnsi="TimesNewRomanPSMT" w:cs="TimesNewRomanPSMT"/>
                <w:sz w:val="13"/>
                <w:szCs w:val="13"/>
              </w:rPr>
              <w:t>)</w:t>
            </w:r>
          </w:p>
          <w:p w:rsidR="000A203D" w:rsidRDefault="000A203D" w:rsidP="000A203D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ChDS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C)</w:t>
            </w:r>
          </w:p>
          <w:p w:rsidR="00055B33" w:rsidRPr="00055B33" w:rsidRDefault="000A203D" w:rsidP="000A203D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Lengvieji angliavandeniliai </w:t>
            </w:r>
            <w:r>
              <w:rPr>
                <w:rFonts w:ascii="TimesNewRomanPSMT" w:hAnsi="TimesNewRomanPSMT" w:cs="TimesNewRomanPSMT"/>
                <w:sz w:val="13"/>
                <w:szCs w:val="13"/>
              </w:rPr>
              <w:t>D)</w:t>
            </w:r>
          </w:p>
        </w:tc>
        <w:tc>
          <w:tcPr>
            <w:tcW w:w="2492" w:type="dxa"/>
            <w:vMerge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 w:rsidRPr="00055B33">
              <w:rPr>
                <w:rFonts w:eastAsia="Times New Roman" w:cs="Times New Roman"/>
                <w:sz w:val="20"/>
                <w:szCs w:val="20"/>
              </w:rPr>
              <w:t>Rudenį</w:t>
            </w:r>
          </w:p>
          <w:p w:rsidR="00055B33" w:rsidRPr="00055B33" w:rsidRDefault="00055B33" w:rsidP="00055B33">
            <w:pPr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eastAsia="Times New Roman" w:cs="Times New Roman"/>
                <w:sz w:val="20"/>
                <w:szCs w:val="20"/>
              </w:rPr>
            </w:pPr>
            <w:r w:rsidRPr="00055B33">
              <w:rPr>
                <w:rFonts w:eastAsia="Calibri" w:cs="Times New Roman"/>
                <w:sz w:val="20"/>
                <w:szCs w:val="20"/>
              </w:rPr>
              <w:t>(rugsėjo–spalio mėn.)</w:t>
            </w:r>
          </w:p>
        </w:tc>
      </w:tr>
    </w:tbl>
    <w:p w:rsidR="00B23EBF" w:rsidRDefault="00B23EBF" w:rsidP="00B23EB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A) pH,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Eh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 ištirpęs deguonis, specifinis elektrinis laidumas vandenyje, temperatūra, vandens lygis gręžinyje.</w:t>
      </w:r>
    </w:p>
    <w:p w:rsidR="00B23EBF" w:rsidRDefault="00B23EBF" w:rsidP="00B23EB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B) Bendras ištirpusių mineralinių medžiagų kiekis, sausa liekana, kietumas (bendras, karbonatinis, nekarbonatinis), permanganato skaičius, Cl, SO</w:t>
      </w:r>
      <w:r>
        <w:rPr>
          <w:rFonts w:ascii="TimesNewRomanPSMT" w:hAnsi="TimesNewRomanPSMT" w:cs="TimesNewRomanPSMT"/>
          <w:sz w:val="13"/>
          <w:szCs w:val="13"/>
        </w:rPr>
        <w:t>4</w:t>
      </w:r>
      <w:r>
        <w:rPr>
          <w:rFonts w:ascii="TimesNewRomanPSMT" w:hAnsi="TimesNewRomanPSMT" w:cs="TimesNewRomanPSMT"/>
          <w:sz w:val="20"/>
          <w:szCs w:val="20"/>
        </w:rPr>
        <w:t>, HCO</w:t>
      </w:r>
      <w:r>
        <w:rPr>
          <w:rFonts w:ascii="TimesNewRomanPSMT" w:hAnsi="TimesNewRomanPSMT" w:cs="TimesNewRomanPSMT"/>
          <w:sz w:val="13"/>
          <w:szCs w:val="13"/>
        </w:rPr>
        <w:t>3</w:t>
      </w:r>
      <w:r>
        <w:rPr>
          <w:rFonts w:ascii="TimesNewRomanPSMT" w:hAnsi="TimesNewRomanPSMT" w:cs="TimesNewRomanPSMT"/>
          <w:sz w:val="20"/>
          <w:szCs w:val="20"/>
        </w:rPr>
        <w:t>, NO</w:t>
      </w:r>
      <w:r>
        <w:rPr>
          <w:rFonts w:ascii="TimesNewRomanPSMT" w:hAnsi="TimesNewRomanPSMT" w:cs="TimesNewRomanPSMT"/>
          <w:sz w:val="13"/>
          <w:szCs w:val="13"/>
        </w:rPr>
        <w:t>2</w:t>
      </w:r>
      <w:r>
        <w:rPr>
          <w:rFonts w:ascii="TimesNewRomanPSMT" w:hAnsi="TimesNewRomanPSMT" w:cs="TimesNewRomanPSMT"/>
          <w:sz w:val="20"/>
          <w:szCs w:val="20"/>
        </w:rPr>
        <w:t>, NO</w:t>
      </w:r>
      <w:r>
        <w:rPr>
          <w:rFonts w:ascii="TimesNewRomanPSMT" w:hAnsi="TimesNewRomanPSMT" w:cs="TimesNewRomanPSMT"/>
          <w:sz w:val="13"/>
          <w:szCs w:val="13"/>
        </w:rPr>
        <w:t>3</w:t>
      </w:r>
      <w:r>
        <w:rPr>
          <w:rFonts w:ascii="TimesNewRomanPSMT" w:hAnsi="TimesNewRomanPSMT" w:cs="TimesNewRomanPSMT"/>
          <w:sz w:val="20"/>
          <w:szCs w:val="20"/>
        </w:rPr>
        <w:t>, Na,</w:t>
      </w:r>
    </w:p>
    <w:p w:rsidR="00B23EBF" w:rsidRPr="00B23EBF" w:rsidRDefault="00B23EBF" w:rsidP="00B23EBF">
      <w:pPr>
        <w:autoSpaceDE w:val="0"/>
        <w:autoSpaceDN w:val="0"/>
        <w:adjustRightInd w:val="0"/>
        <w:rPr>
          <w:rFonts w:ascii="TimesNewRomanPSMT" w:hAnsi="TimesNewRomanPSMT" w:cs="TimesNewRomanPSMT"/>
          <w:sz w:val="13"/>
          <w:szCs w:val="13"/>
        </w:rPr>
      </w:pPr>
      <w:r>
        <w:rPr>
          <w:rFonts w:ascii="TimesNewRomanPSMT" w:hAnsi="TimesNewRomanPSMT" w:cs="TimesNewRomanPSMT"/>
          <w:sz w:val="20"/>
          <w:szCs w:val="20"/>
        </w:rPr>
        <w:t xml:space="preserve">K,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Ca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 Mg, NH</w:t>
      </w:r>
      <w:r>
        <w:rPr>
          <w:rFonts w:ascii="TimesNewRomanPSMT" w:hAnsi="TimesNewRomanPSMT" w:cs="TimesNewRomanPSMT"/>
          <w:sz w:val="13"/>
          <w:szCs w:val="13"/>
        </w:rPr>
        <w:t>4</w:t>
      </w:r>
      <w:r>
        <w:rPr>
          <w:rFonts w:ascii="TimesNewRomanPSMT" w:hAnsi="TimesNewRomanPSMT" w:cs="TimesNewRomanPSMT"/>
          <w:sz w:val="20"/>
          <w:szCs w:val="20"/>
        </w:rPr>
        <w:t>, pH, CO</w:t>
      </w:r>
      <w:r>
        <w:rPr>
          <w:rFonts w:ascii="TimesNewRomanPSMT" w:hAnsi="TimesNewRomanPSMT" w:cs="TimesNewRomanPSMT"/>
          <w:sz w:val="13"/>
          <w:szCs w:val="13"/>
        </w:rPr>
        <w:t xml:space="preserve">2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pusiausvyrinis</w:t>
      </w:r>
      <w:proofErr w:type="spellEnd"/>
      <w:r>
        <w:rPr>
          <w:rFonts w:ascii="TimesNewRomanPSMT" w:hAnsi="TimesNewRomanPSMT" w:cs="TimesNewRomanPSMT"/>
          <w:sz w:val="13"/>
          <w:szCs w:val="13"/>
        </w:rPr>
        <w:t>.</w:t>
      </w:r>
    </w:p>
    <w:p w:rsidR="00B23EBF" w:rsidRDefault="00B23EBF" w:rsidP="00B23EB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C)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ChDS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– cheminis deguonies suvartojimas.</w:t>
      </w:r>
    </w:p>
    <w:p w:rsidR="00B23EBF" w:rsidRDefault="00B23EBF" w:rsidP="00B23EBF">
      <w:pPr>
        <w:jc w:val="both"/>
        <w:rPr>
          <w:rFonts w:eastAsia="Calibri" w:cs="Times New Roman"/>
          <w:b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D)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Benzenas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toluenas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etil-benzenas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o-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ksilenas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p- ir m-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ksilenai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 TMB suma, benzino (C</w:t>
      </w:r>
      <w:r>
        <w:rPr>
          <w:rFonts w:ascii="TimesNewRomanPSMT" w:hAnsi="TimesNewRomanPSMT" w:cs="TimesNewRomanPSMT"/>
          <w:sz w:val="13"/>
          <w:szCs w:val="13"/>
        </w:rPr>
        <w:t>6</w:t>
      </w:r>
      <w:r>
        <w:rPr>
          <w:rFonts w:ascii="TimesNewRomanPSMT" w:hAnsi="TimesNewRomanPSMT" w:cs="TimesNewRomanPSMT"/>
          <w:sz w:val="20"/>
          <w:szCs w:val="20"/>
        </w:rPr>
        <w:t>-C</w:t>
      </w:r>
      <w:r>
        <w:rPr>
          <w:rFonts w:ascii="TimesNewRomanPSMT" w:hAnsi="TimesNewRomanPSMT" w:cs="TimesNewRomanPSMT"/>
          <w:sz w:val="13"/>
          <w:szCs w:val="13"/>
        </w:rPr>
        <w:t>10</w:t>
      </w:r>
      <w:r>
        <w:rPr>
          <w:rFonts w:ascii="TimesNewRomanPSMT" w:hAnsi="TimesNewRomanPSMT" w:cs="TimesNewRomanPSMT"/>
          <w:sz w:val="20"/>
          <w:szCs w:val="20"/>
        </w:rPr>
        <w:t>) ir dyzelino (C</w:t>
      </w:r>
      <w:r>
        <w:rPr>
          <w:rFonts w:ascii="TimesNewRomanPSMT" w:hAnsi="TimesNewRomanPSMT" w:cs="TimesNewRomanPSMT"/>
          <w:sz w:val="13"/>
          <w:szCs w:val="13"/>
        </w:rPr>
        <w:t>10</w:t>
      </w:r>
      <w:r>
        <w:rPr>
          <w:rFonts w:ascii="TimesNewRomanPSMT" w:hAnsi="TimesNewRomanPSMT" w:cs="TimesNewRomanPSMT"/>
          <w:sz w:val="20"/>
          <w:szCs w:val="20"/>
        </w:rPr>
        <w:t>-C</w:t>
      </w:r>
      <w:r>
        <w:rPr>
          <w:rFonts w:ascii="TimesNewRomanPSMT" w:hAnsi="TimesNewRomanPSMT" w:cs="TimesNewRomanPSMT"/>
          <w:sz w:val="13"/>
          <w:szCs w:val="13"/>
        </w:rPr>
        <w:t>28</w:t>
      </w:r>
      <w:r>
        <w:rPr>
          <w:rFonts w:ascii="TimesNewRomanPSMT" w:hAnsi="TimesNewRomanPSMT" w:cs="TimesNewRomanPSMT"/>
          <w:sz w:val="20"/>
          <w:szCs w:val="20"/>
        </w:rPr>
        <w:t>) eilės angliavandeniliai.</w:t>
      </w:r>
    </w:p>
    <w:p w:rsidR="00364299" w:rsidRDefault="00364299" w:rsidP="00516FEE">
      <w:pPr>
        <w:spacing w:after="240"/>
        <w:jc w:val="both"/>
        <w:rPr>
          <w:rFonts w:eastAsia="Calibri" w:cs="Times New Roman"/>
          <w:b/>
          <w:szCs w:val="24"/>
        </w:rPr>
      </w:pPr>
    </w:p>
    <w:p w:rsidR="00BA70BE" w:rsidRDefault="00BA70BE" w:rsidP="00516FEE">
      <w:pPr>
        <w:spacing w:after="240"/>
        <w:jc w:val="both"/>
        <w:rPr>
          <w:rFonts w:eastAsia="Calibri" w:cs="Times New Roman"/>
          <w:b/>
          <w:szCs w:val="24"/>
        </w:rPr>
      </w:pPr>
    </w:p>
    <w:p w:rsidR="004F305D" w:rsidRDefault="004F305D" w:rsidP="00516FEE">
      <w:pPr>
        <w:spacing w:after="240"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Nuorodos į dokumentus</w:t>
      </w:r>
    </w:p>
    <w:p w:rsidR="00516FEE" w:rsidRPr="0021374D" w:rsidRDefault="00516FEE" w:rsidP="0021374D">
      <w:pPr>
        <w:pStyle w:val="ListParagraph"/>
        <w:numPr>
          <w:ilvl w:val="0"/>
          <w:numId w:val="4"/>
        </w:numPr>
        <w:rPr>
          <w:rFonts w:eastAsia="Calibri" w:cs="Times New Roman"/>
          <w:szCs w:val="24"/>
        </w:rPr>
      </w:pPr>
      <w:r w:rsidRPr="00516FEE">
        <w:rPr>
          <w:rFonts w:eastAsia="Calibri" w:cs="Times New Roman"/>
          <w:szCs w:val="24"/>
        </w:rPr>
        <w:t xml:space="preserve">Ūkio subjektų aplinkos monitoringo nuostatai, </w:t>
      </w:r>
      <w:proofErr w:type="spellStart"/>
      <w:r w:rsidRPr="00516FEE">
        <w:rPr>
          <w:rFonts w:eastAsia="Calibri" w:cs="Times New Roman"/>
          <w:szCs w:val="24"/>
        </w:rPr>
        <w:t>patv</w:t>
      </w:r>
      <w:proofErr w:type="spellEnd"/>
      <w:r w:rsidRPr="00516FEE">
        <w:rPr>
          <w:rFonts w:eastAsia="Calibri" w:cs="Times New Roman"/>
          <w:szCs w:val="24"/>
        </w:rPr>
        <w:t xml:space="preserve">. </w:t>
      </w:r>
      <w:r w:rsidR="0021374D" w:rsidRPr="0021374D">
        <w:rPr>
          <w:rFonts w:eastAsia="Calibri" w:cs="Times New Roman"/>
          <w:szCs w:val="24"/>
        </w:rPr>
        <w:t>Lietuvos Respublikos aplinkos ministro</w:t>
      </w:r>
      <w:r w:rsidR="0021374D">
        <w:rPr>
          <w:rFonts w:eastAsia="Calibri" w:cs="Times New Roman"/>
          <w:szCs w:val="24"/>
        </w:rPr>
        <w:t xml:space="preserve"> </w:t>
      </w:r>
      <w:r w:rsidR="0021374D" w:rsidRPr="0021374D">
        <w:rPr>
          <w:rFonts w:eastAsia="Calibri" w:cs="Times New Roman"/>
          <w:szCs w:val="24"/>
        </w:rPr>
        <w:t>2009 m. rugsėjo 16 d. įsakymu Nr. D1-546</w:t>
      </w:r>
      <w:r w:rsidRPr="0021374D">
        <w:rPr>
          <w:rFonts w:eastAsia="Calibri" w:cs="Times New Roman"/>
          <w:szCs w:val="24"/>
        </w:rPr>
        <w:t xml:space="preserve"> (su pakeitimais).</w:t>
      </w:r>
    </w:p>
    <w:p w:rsidR="00516FEE" w:rsidRPr="00516FEE" w:rsidRDefault="00516FEE" w:rsidP="00516FEE">
      <w:pPr>
        <w:pStyle w:val="ListParagraph"/>
        <w:numPr>
          <w:ilvl w:val="0"/>
          <w:numId w:val="4"/>
        </w:numPr>
        <w:rPr>
          <w:rFonts w:eastAsia="Calibri" w:cs="Times New Roman"/>
          <w:szCs w:val="24"/>
        </w:rPr>
      </w:pPr>
      <w:r w:rsidRPr="00516FEE">
        <w:rPr>
          <w:rFonts w:eastAsia="Calibri" w:cs="Times New Roman"/>
          <w:szCs w:val="24"/>
        </w:rPr>
        <w:t xml:space="preserve">Kauno įgulos aptarnavimo centro Marijampolės </w:t>
      </w:r>
      <w:r w:rsidR="002E75C7">
        <w:rPr>
          <w:rFonts w:eastAsia="Calibri" w:cs="Times New Roman"/>
          <w:szCs w:val="24"/>
        </w:rPr>
        <w:t>s</w:t>
      </w:r>
      <w:r w:rsidRPr="00516FEE">
        <w:rPr>
          <w:rFonts w:eastAsia="Calibri" w:cs="Times New Roman"/>
          <w:szCs w:val="24"/>
        </w:rPr>
        <w:t>kyriaus LK didžiojo kunigaikščio Vytenio bendrosios paramos logistikos bataliono skysto kuro degalinės, esančios adresu Vytauto g. 72, Marijampolėje, Aplinkos monitoringo programa 2021 - 2025 metams.</w:t>
      </w:r>
    </w:p>
    <w:p w:rsidR="00516FEE" w:rsidRDefault="00516FEE" w:rsidP="00516FEE">
      <w:pPr>
        <w:jc w:val="both"/>
        <w:rPr>
          <w:rFonts w:eastAsia="Calibri" w:cs="Times New Roman"/>
          <w:b/>
          <w:szCs w:val="24"/>
        </w:rPr>
      </w:pPr>
    </w:p>
    <w:p w:rsidR="00055B33" w:rsidRPr="00055B33" w:rsidRDefault="00055B33" w:rsidP="00516FEE">
      <w:pPr>
        <w:jc w:val="both"/>
        <w:rPr>
          <w:rFonts w:eastAsia="Calibri" w:cs="Times New Roman"/>
          <w:b/>
          <w:szCs w:val="24"/>
        </w:rPr>
      </w:pPr>
      <w:r w:rsidRPr="00055B33">
        <w:rPr>
          <w:rFonts w:eastAsia="Calibri" w:cs="Times New Roman"/>
          <w:b/>
          <w:szCs w:val="24"/>
        </w:rPr>
        <w:t>Pastaba:</w:t>
      </w:r>
    </w:p>
    <w:p w:rsidR="00055B33" w:rsidRPr="00055B33" w:rsidRDefault="00512F79" w:rsidP="00055B33">
      <w:pPr>
        <w:tabs>
          <w:tab w:val="left" w:pos="180"/>
          <w:tab w:val="num" w:pos="1080"/>
        </w:tabs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Dėl monitoringo programos</w:t>
      </w:r>
      <w:r w:rsidR="00055B33" w:rsidRPr="00055B33">
        <w:rPr>
          <w:rFonts w:eastAsia="Calibri" w:cs="Times New Roman"/>
          <w:szCs w:val="24"/>
        </w:rPr>
        <w:t xml:space="preserve"> kopijos gavimo ir degalinės apžiūros galima kreiptis į Įgulų aptarnavimo tarnybos </w:t>
      </w:r>
      <w:r w:rsidR="000411CD">
        <w:rPr>
          <w:rFonts w:eastAsia="Calibri" w:cs="Times New Roman"/>
          <w:szCs w:val="24"/>
        </w:rPr>
        <w:t>Marijampolės</w:t>
      </w:r>
      <w:r w:rsidR="00055B33" w:rsidRPr="00055B33">
        <w:rPr>
          <w:rFonts w:eastAsia="Calibri" w:cs="Times New Roman"/>
          <w:szCs w:val="24"/>
        </w:rPr>
        <w:t xml:space="preserve"> įgulos aptarnavimo centro</w:t>
      </w:r>
      <w:r w:rsidR="00055B33" w:rsidRPr="00055B33">
        <w:rPr>
          <w:rFonts w:ascii="Calibri" w:eastAsia="Calibri" w:hAnsi="Calibri" w:cs="Times New Roman"/>
          <w:szCs w:val="24"/>
        </w:rPr>
        <w:t xml:space="preserve"> </w:t>
      </w:r>
      <w:r w:rsidR="000411CD">
        <w:rPr>
          <w:rFonts w:eastAsia="Calibri" w:cs="Times New Roman"/>
          <w:szCs w:val="24"/>
        </w:rPr>
        <w:t>Infrastruktūros priežiūros</w:t>
      </w:r>
      <w:r w:rsidR="00F836D8">
        <w:rPr>
          <w:rFonts w:eastAsia="Calibri" w:cs="Times New Roman"/>
          <w:szCs w:val="24"/>
        </w:rPr>
        <w:t xml:space="preserve"> skyriaus darbų saugos organizatorę</w:t>
      </w:r>
      <w:r w:rsidR="00055B33" w:rsidRPr="00055B33">
        <w:rPr>
          <w:rFonts w:eastAsia="Calibri" w:cs="Times New Roman"/>
          <w:szCs w:val="24"/>
        </w:rPr>
        <w:t xml:space="preserve"> </w:t>
      </w:r>
      <w:r w:rsidR="00F836D8">
        <w:rPr>
          <w:rFonts w:eastAsia="Calibri" w:cs="Times New Roman"/>
          <w:szCs w:val="24"/>
        </w:rPr>
        <w:t xml:space="preserve">Kristiną </w:t>
      </w:r>
      <w:proofErr w:type="spellStart"/>
      <w:r w:rsidR="00F836D8">
        <w:rPr>
          <w:rFonts w:eastAsia="Calibri" w:cs="Times New Roman"/>
          <w:szCs w:val="24"/>
        </w:rPr>
        <w:t>G</w:t>
      </w:r>
      <w:r w:rsidR="000411CD">
        <w:rPr>
          <w:rFonts w:eastAsia="Calibri" w:cs="Times New Roman"/>
          <w:szCs w:val="24"/>
        </w:rPr>
        <w:t>rabauskienę</w:t>
      </w:r>
      <w:proofErr w:type="spellEnd"/>
      <w:r w:rsidR="00055B33" w:rsidRPr="00055B33">
        <w:rPr>
          <w:rFonts w:eastAsia="Calibri" w:cs="Times New Roman"/>
          <w:szCs w:val="24"/>
        </w:rPr>
        <w:t xml:space="preserve"> tel.</w:t>
      </w:r>
      <w:r w:rsidR="00613676">
        <w:rPr>
          <w:rFonts w:eastAsia="Calibri" w:cs="Times New Roman"/>
          <w:szCs w:val="24"/>
        </w:rPr>
        <w:t xml:space="preserve"> </w:t>
      </w:r>
      <w:r w:rsidR="00613676" w:rsidRPr="00613676">
        <w:rPr>
          <w:rFonts w:eastAsia="Calibri" w:cs="Times New Roman"/>
          <w:szCs w:val="24"/>
        </w:rPr>
        <w:t xml:space="preserve">+370 706 </w:t>
      </w:r>
      <w:r w:rsidR="003460C1">
        <w:rPr>
          <w:rFonts w:eastAsia="Calibri" w:cs="Times New Roman"/>
          <w:szCs w:val="24"/>
        </w:rPr>
        <w:t>93487</w:t>
      </w:r>
      <w:r w:rsidR="00613676">
        <w:rPr>
          <w:rFonts w:eastAsia="Calibri" w:cs="Times New Roman"/>
          <w:szCs w:val="24"/>
        </w:rPr>
        <w:t>.</w:t>
      </w:r>
    </w:p>
    <w:p w:rsidR="00055B33" w:rsidRPr="00055B33" w:rsidRDefault="00055B33" w:rsidP="00055B33">
      <w:pPr>
        <w:spacing w:after="200" w:line="276" w:lineRule="auto"/>
        <w:contextualSpacing/>
        <w:jc w:val="both"/>
        <w:rPr>
          <w:rFonts w:eastAsia="Calibri" w:cs="Times New Roman"/>
          <w:b/>
          <w:szCs w:val="24"/>
        </w:rPr>
      </w:pPr>
    </w:p>
    <w:tbl>
      <w:tblPr>
        <w:tblW w:w="10064" w:type="dxa"/>
        <w:tblInd w:w="851" w:type="dxa"/>
        <w:tblLook w:val="04A0" w:firstRow="1" w:lastRow="0" w:firstColumn="1" w:lastColumn="0" w:noHBand="0" w:noVBand="1"/>
      </w:tblPr>
      <w:tblGrid>
        <w:gridCol w:w="4911"/>
        <w:gridCol w:w="5153"/>
      </w:tblGrid>
      <w:tr w:rsidR="00FE1C51" w:rsidRPr="00511BA0" w:rsidTr="005A70BC">
        <w:tc>
          <w:tcPr>
            <w:tcW w:w="4911" w:type="dxa"/>
            <w:shd w:val="clear" w:color="auto" w:fill="auto"/>
          </w:tcPr>
          <w:p w:rsidR="00FE1C51" w:rsidRPr="00511BA0" w:rsidRDefault="00FE1C51" w:rsidP="005A70BC">
            <w:pPr>
              <w:suppressAutoHyphens/>
              <w:jc w:val="both"/>
              <w:rPr>
                <w:rFonts w:eastAsia="Arial" w:cs="Times New Roman"/>
                <w:szCs w:val="24"/>
                <w:lang w:eastAsia="ar-SA"/>
              </w:rPr>
            </w:pPr>
            <w:r w:rsidRPr="00511BA0">
              <w:rPr>
                <w:rFonts w:eastAsia="Arial" w:cs="Times New Roman"/>
                <w:b/>
                <w:szCs w:val="24"/>
                <w:lang w:eastAsia="ar-SA"/>
              </w:rPr>
              <w:t>PIRKĖJAS</w:t>
            </w:r>
            <w:r w:rsidRPr="00511BA0">
              <w:rPr>
                <w:rFonts w:eastAsia="Arial" w:cs="Times New Roman"/>
                <w:szCs w:val="24"/>
                <w:lang w:eastAsia="ar-SA"/>
              </w:rPr>
              <w:t xml:space="preserve"> </w:t>
            </w:r>
          </w:p>
          <w:p w:rsidR="00FE1C51" w:rsidRPr="00511BA0" w:rsidRDefault="00FE1C51" w:rsidP="005A70BC">
            <w:pPr>
              <w:suppressAutoHyphens/>
              <w:jc w:val="both"/>
              <w:rPr>
                <w:rFonts w:eastAsia="Arial" w:cs="Times New Roman"/>
                <w:szCs w:val="24"/>
                <w:lang w:eastAsia="ar-SA"/>
              </w:rPr>
            </w:pPr>
          </w:p>
          <w:p w:rsidR="00FE1C51" w:rsidRPr="00511BA0" w:rsidRDefault="00FE1C51" w:rsidP="005A70BC">
            <w:pPr>
              <w:suppressAutoHyphens/>
              <w:jc w:val="both"/>
              <w:rPr>
                <w:rFonts w:eastAsia="Arial" w:cs="Times New Roman"/>
                <w:szCs w:val="24"/>
                <w:lang w:eastAsia="ar-SA"/>
              </w:rPr>
            </w:pPr>
            <w:r w:rsidRPr="00511BA0">
              <w:rPr>
                <w:rFonts w:eastAsia="Arial" w:cs="Times New Roman"/>
                <w:szCs w:val="24"/>
                <w:lang w:eastAsia="ar-SA"/>
              </w:rPr>
              <w:t>Vadas</w:t>
            </w:r>
            <w:r w:rsidRPr="00511BA0">
              <w:rPr>
                <w:rFonts w:eastAsia="Arial" w:cs="Times New Roman"/>
                <w:szCs w:val="24"/>
                <w:lang w:eastAsia="ar-SA"/>
              </w:rPr>
              <w:tab/>
            </w:r>
          </w:p>
          <w:p w:rsidR="00FE1C51" w:rsidRPr="00511BA0" w:rsidRDefault="00FE1C51" w:rsidP="005A70BC">
            <w:pPr>
              <w:suppressAutoHyphens/>
              <w:jc w:val="both"/>
              <w:rPr>
                <w:rFonts w:eastAsia="Arial" w:cs="Times New Roman"/>
                <w:szCs w:val="24"/>
                <w:lang w:eastAsia="ar-SA"/>
              </w:rPr>
            </w:pPr>
            <w:r w:rsidRPr="00511BA0">
              <w:rPr>
                <w:rFonts w:eastAsia="Arial" w:cs="Times New Roman"/>
                <w:szCs w:val="24"/>
                <w:lang w:eastAsia="ar-SA"/>
              </w:rPr>
              <w:t xml:space="preserve">plk. ltn. Mindaugas </w:t>
            </w:r>
            <w:proofErr w:type="spellStart"/>
            <w:r w:rsidRPr="00511BA0">
              <w:rPr>
                <w:rFonts w:eastAsia="Arial" w:cs="Times New Roman"/>
                <w:szCs w:val="24"/>
                <w:lang w:eastAsia="ar-SA"/>
              </w:rPr>
              <w:t>Juotkus</w:t>
            </w:r>
            <w:proofErr w:type="spellEnd"/>
          </w:p>
          <w:p w:rsidR="00FE1C51" w:rsidRPr="00511BA0" w:rsidRDefault="00FE1C51" w:rsidP="005A70BC">
            <w:pPr>
              <w:suppressAutoHyphens/>
              <w:jc w:val="both"/>
              <w:rPr>
                <w:rFonts w:eastAsia="Arial" w:cs="Times New Roman"/>
                <w:szCs w:val="24"/>
                <w:lang w:eastAsia="ar-SA"/>
              </w:rPr>
            </w:pPr>
          </w:p>
          <w:p w:rsidR="00FE1C51" w:rsidRPr="00511BA0" w:rsidRDefault="00FE1C51" w:rsidP="005A70BC">
            <w:pPr>
              <w:suppressAutoHyphens/>
              <w:jc w:val="both"/>
              <w:rPr>
                <w:rFonts w:eastAsia="Arial" w:cs="Times New Roman"/>
                <w:szCs w:val="24"/>
                <w:lang w:eastAsia="ar-SA"/>
              </w:rPr>
            </w:pPr>
          </w:p>
          <w:p w:rsidR="00FE1C51" w:rsidRPr="00511BA0" w:rsidRDefault="00FE1C51" w:rsidP="005A70BC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FE1C51" w:rsidRPr="00511BA0" w:rsidRDefault="00FE1C51" w:rsidP="005A70BC">
            <w:pPr>
              <w:suppressAutoHyphens/>
              <w:jc w:val="both"/>
              <w:rPr>
                <w:rFonts w:eastAsia="Arial" w:cs="Times New Roman"/>
                <w:szCs w:val="24"/>
                <w:lang w:eastAsia="ar-SA"/>
              </w:rPr>
            </w:pPr>
            <w:r>
              <w:rPr>
                <w:rFonts w:eastAsia="Arial" w:cs="Times New Roman"/>
                <w:b/>
                <w:szCs w:val="24"/>
                <w:lang w:eastAsia="ar-SA"/>
              </w:rPr>
              <w:t xml:space="preserve">                                </w:t>
            </w:r>
            <w:r w:rsidRPr="00511BA0">
              <w:rPr>
                <w:rFonts w:eastAsia="Arial" w:cs="Times New Roman"/>
                <w:b/>
                <w:szCs w:val="24"/>
                <w:lang w:eastAsia="ar-SA"/>
              </w:rPr>
              <w:t>TEIKĖJAS</w:t>
            </w:r>
            <w:r w:rsidRPr="00511BA0">
              <w:rPr>
                <w:rFonts w:eastAsia="Arial" w:cs="Times New Roman"/>
                <w:szCs w:val="24"/>
                <w:lang w:eastAsia="ar-SA"/>
              </w:rPr>
              <w:t xml:space="preserve"> </w:t>
            </w:r>
          </w:p>
          <w:p w:rsidR="00FE1C51" w:rsidRPr="00511BA0" w:rsidRDefault="00FE1C51" w:rsidP="005A70BC">
            <w:pPr>
              <w:suppressAutoHyphens/>
              <w:jc w:val="both"/>
              <w:rPr>
                <w:rFonts w:eastAsia="Arial" w:cs="Times New Roman"/>
                <w:szCs w:val="24"/>
                <w:lang w:eastAsia="ar-SA"/>
              </w:rPr>
            </w:pPr>
          </w:p>
          <w:p w:rsidR="00FE1C51" w:rsidRPr="00511BA0" w:rsidRDefault="00FE1C51" w:rsidP="005A70BC">
            <w:pPr>
              <w:suppressAutoHyphens/>
              <w:jc w:val="both"/>
              <w:rPr>
                <w:rFonts w:eastAsia="Arial" w:cs="Times New Roman"/>
                <w:szCs w:val="24"/>
                <w:lang w:eastAsia="ar-SA"/>
              </w:rPr>
            </w:pPr>
            <w:r>
              <w:rPr>
                <w:rFonts w:eastAsia="Arial" w:cs="Times New Roman"/>
                <w:szCs w:val="24"/>
                <w:lang w:eastAsia="ar-SA"/>
              </w:rPr>
              <w:t xml:space="preserve">                                </w:t>
            </w:r>
            <w:r w:rsidRPr="00511BA0">
              <w:rPr>
                <w:rFonts w:eastAsia="Arial" w:cs="Times New Roman"/>
                <w:szCs w:val="24"/>
                <w:lang w:eastAsia="ar-SA"/>
              </w:rPr>
              <w:t>Direktorius</w:t>
            </w:r>
          </w:p>
          <w:p w:rsidR="00FE1C51" w:rsidRPr="00511BA0" w:rsidRDefault="00FE1C51" w:rsidP="005A70BC">
            <w:pPr>
              <w:suppressAutoHyphens/>
              <w:jc w:val="both"/>
              <w:rPr>
                <w:rFonts w:eastAsia="Arial" w:cs="Times New Roman"/>
                <w:szCs w:val="24"/>
                <w:lang w:eastAsia="ar-SA"/>
              </w:rPr>
            </w:pPr>
            <w:r>
              <w:rPr>
                <w:rFonts w:cs="Times New Roman"/>
                <w:szCs w:val="24"/>
                <w:lang w:eastAsia="zh-CN"/>
              </w:rPr>
              <w:t xml:space="preserve">                                </w:t>
            </w:r>
            <w:r w:rsidRPr="00511BA0">
              <w:rPr>
                <w:rFonts w:cs="Times New Roman"/>
                <w:szCs w:val="24"/>
                <w:lang w:eastAsia="zh-CN"/>
              </w:rPr>
              <w:t>Kęstutis Saulis</w:t>
            </w:r>
          </w:p>
          <w:p w:rsidR="00FE1C51" w:rsidRPr="00511BA0" w:rsidRDefault="00FE1C51" w:rsidP="005A70BC">
            <w:pPr>
              <w:suppressAutoHyphens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055B33" w:rsidRDefault="00055B33" w:rsidP="00055B33">
      <w:pPr>
        <w:spacing w:after="200" w:line="276" w:lineRule="auto"/>
        <w:jc w:val="both"/>
        <w:rPr>
          <w:rFonts w:eastAsia="Calibri" w:cs="Times New Roman"/>
          <w:szCs w:val="24"/>
        </w:rPr>
      </w:pPr>
    </w:p>
    <w:sectPr w:rsidR="00055B33" w:rsidSect="00E01A4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1047"/>
    <w:multiLevelType w:val="hybridMultilevel"/>
    <w:tmpl w:val="F18AC3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68B"/>
    <w:multiLevelType w:val="hybridMultilevel"/>
    <w:tmpl w:val="4B4E789A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83773"/>
    <w:multiLevelType w:val="hybridMultilevel"/>
    <w:tmpl w:val="B1F8253E"/>
    <w:lvl w:ilvl="0" w:tplc="433E032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04CFE"/>
    <w:multiLevelType w:val="hybridMultilevel"/>
    <w:tmpl w:val="4A808F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9D"/>
    <w:rsid w:val="000411CD"/>
    <w:rsid w:val="00055B33"/>
    <w:rsid w:val="000A203D"/>
    <w:rsid w:val="001A4727"/>
    <w:rsid w:val="001F349D"/>
    <w:rsid w:val="0021374D"/>
    <w:rsid w:val="002866B7"/>
    <w:rsid w:val="002D7CD5"/>
    <w:rsid w:val="002E75C7"/>
    <w:rsid w:val="0033400C"/>
    <w:rsid w:val="003460C1"/>
    <w:rsid w:val="00364299"/>
    <w:rsid w:val="003905B4"/>
    <w:rsid w:val="003B6C34"/>
    <w:rsid w:val="003C4312"/>
    <w:rsid w:val="003D2614"/>
    <w:rsid w:val="003F421A"/>
    <w:rsid w:val="004325D5"/>
    <w:rsid w:val="004344B2"/>
    <w:rsid w:val="00481808"/>
    <w:rsid w:val="004C3C6F"/>
    <w:rsid w:val="004F305D"/>
    <w:rsid w:val="00512F79"/>
    <w:rsid w:val="00516FEE"/>
    <w:rsid w:val="0054459B"/>
    <w:rsid w:val="005A2343"/>
    <w:rsid w:val="005B6823"/>
    <w:rsid w:val="00613676"/>
    <w:rsid w:val="006E054B"/>
    <w:rsid w:val="00751DDF"/>
    <w:rsid w:val="007753F0"/>
    <w:rsid w:val="008424D3"/>
    <w:rsid w:val="00855667"/>
    <w:rsid w:val="00871C09"/>
    <w:rsid w:val="008E6C79"/>
    <w:rsid w:val="009368B4"/>
    <w:rsid w:val="00997418"/>
    <w:rsid w:val="00A3792B"/>
    <w:rsid w:val="00A96426"/>
    <w:rsid w:val="00B23EBF"/>
    <w:rsid w:val="00B25055"/>
    <w:rsid w:val="00B678E5"/>
    <w:rsid w:val="00B76B35"/>
    <w:rsid w:val="00BA70BE"/>
    <w:rsid w:val="00C73819"/>
    <w:rsid w:val="00C91928"/>
    <w:rsid w:val="00CA346F"/>
    <w:rsid w:val="00CD1F3F"/>
    <w:rsid w:val="00CF2C69"/>
    <w:rsid w:val="00DA2D54"/>
    <w:rsid w:val="00DD7FBE"/>
    <w:rsid w:val="00ED47E1"/>
    <w:rsid w:val="00EF67C4"/>
    <w:rsid w:val="00F340F9"/>
    <w:rsid w:val="00F8262E"/>
    <w:rsid w:val="00F836D8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55CF"/>
  <w15:chartTrackingRefBased/>
  <w15:docId w15:val="{1DD221DE-BA11-408B-8DBC-4B9F71C5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61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7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3886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Giraityte</dc:creator>
  <cp:lastModifiedBy>Dainora Kmieliauskiene</cp:lastModifiedBy>
  <cp:revision>12</cp:revision>
  <cp:lastPrinted>2023-10-16T08:13:00Z</cp:lastPrinted>
  <dcterms:created xsi:type="dcterms:W3CDTF">2023-11-15T08:42:00Z</dcterms:created>
  <dcterms:modified xsi:type="dcterms:W3CDTF">2023-11-29T11:51:00Z</dcterms:modified>
</cp:coreProperties>
</file>