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943" w:rsidRPr="00B87165" w:rsidRDefault="004933CD">
      <w:pPr>
        <w:spacing w:before="240" w:after="240" w:line="240" w:lineRule="auto"/>
        <w:rPr>
          <w:lang w:val="lt-LT"/>
        </w:rPr>
      </w:pPr>
      <w:r w:rsidRPr="00B87165">
        <w:rPr>
          <w:noProof/>
          <w:lang w:val="lt-LT"/>
        </w:rPr>
        <w:t>VšĮ</w:t>
      </w:r>
      <w:r w:rsidRPr="00B87165">
        <w:rPr>
          <w:lang w:val="lt-LT"/>
        </w:rPr>
        <w:t xml:space="preserve"> Nacionalinis kraujo centras</w:t>
      </w:r>
    </w:p>
    <w:p w:rsidR="00650943" w:rsidRPr="00B87165" w:rsidRDefault="004933CD">
      <w:pPr>
        <w:spacing w:before="240" w:after="240" w:line="240" w:lineRule="auto"/>
        <w:rPr>
          <w:lang w:val="lt-LT"/>
        </w:rPr>
      </w:pPr>
      <w:r w:rsidRPr="00B87165">
        <w:rPr>
          <w:lang w:val="lt-LT"/>
        </w:rPr>
        <w:t>Žolyno g. 34, 10210, Vilnius</w:t>
      </w:r>
    </w:p>
    <w:p w:rsidR="00650943" w:rsidRPr="00B87165" w:rsidRDefault="00650943">
      <w:pPr>
        <w:spacing w:after="0" w:line="240" w:lineRule="auto"/>
        <w:rPr>
          <w:lang w:val="lt-LT"/>
        </w:rPr>
      </w:pPr>
    </w:p>
    <w:p w:rsidR="00650943" w:rsidRPr="00B87165" w:rsidRDefault="004933CD">
      <w:pPr>
        <w:spacing w:after="0" w:line="240" w:lineRule="auto"/>
        <w:jc w:val="center"/>
        <w:rPr>
          <w:lang w:val="lt-LT"/>
        </w:rPr>
      </w:pPr>
      <w:r w:rsidRPr="00B87165">
        <w:rPr>
          <w:lang w:val="lt-LT"/>
        </w:rPr>
        <w:t>PATIKSLINIMAS DĖL PIRKIMO “MEDICINOS PRIEMONIŲ BEI PRIEDŲ RINKINYS, SKIRTAS KRAUJO DONORO ATRANKINIAM SEROLOGINIAM INFEKCIJŲ ŽYMENŲ IŠTYRIMUI SU ĮRANGOS ĮSIGIJIMU PANAUDOS BŪDU”</w:t>
      </w:r>
    </w:p>
    <w:p w:rsidR="00650943" w:rsidRPr="00B87165" w:rsidRDefault="004933CD">
      <w:pPr>
        <w:spacing w:before="240" w:after="240" w:line="240" w:lineRule="auto"/>
        <w:jc w:val="center"/>
        <w:rPr>
          <w:lang w:val="lt-LT"/>
        </w:rPr>
      </w:pPr>
      <w:r w:rsidRPr="00B87165">
        <w:rPr>
          <w:lang w:val="lt-LT"/>
        </w:rPr>
        <w:t>2023 m. lapkričio 13 d.</w:t>
      </w:r>
    </w:p>
    <w:p w:rsidR="00650943" w:rsidRPr="00B87165" w:rsidRDefault="004933CD">
      <w:pPr>
        <w:spacing w:before="240" w:after="240" w:line="240" w:lineRule="auto"/>
        <w:jc w:val="center"/>
        <w:rPr>
          <w:lang w:val="lt-LT"/>
        </w:rPr>
      </w:pPr>
      <w:r w:rsidRPr="00B87165">
        <w:rPr>
          <w:lang w:val="lt-LT"/>
        </w:rPr>
        <w:t>Vilnius</w:t>
      </w:r>
    </w:p>
    <w:p w:rsidR="00094CC7" w:rsidRPr="00B87165" w:rsidRDefault="00094CC7" w:rsidP="00094CC7">
      <w:pPr>
        <w:spacing w:after="0" w:line="240" w:lineRule="auto"/>
        <w:rPr>
          <w:lang w:val="lt-LT"/>
        </w:rPr>
      </w:pPr>
    </w:p>
    <w:p w:rsidR="00650943" w:rsidRPr="00B87165" w:rsidRDefault="004933CD" w:rsidP="00094CC7">
      <w:pPr>
        <w:spacing w:after="0" w:line="240" w:lineRule="auto"/>
        <w:ind w:left="-1134"/>
        <w:rPr>
          <w:i/>
          <w:color w:val="000000"/>
          <w:lang w:val="lt-LT"/>
        </w:rPr>
      </w:pPr>
      <w:r w:rsidRPr="00B87165">
        <w:rPr>
          <w:i/>
          <w:color w:val="000000"/>
          <w:lang w:val="lt-LT"/>
        </w:rPr>
        <w:t xml:space="preserve">1. </w:t>
      </w:r>
      <w:r w:rsidRPr="00B87165">
        <w:rPr>
          <w:i/>
          <w:color w:val="000000"/>
          <w:lang w:val="lt-LT"/>
        </w:rPr>
        <w:t>Techninės specifikacijos 3.1. p. n</w:t>
      </w:r>
      <w:r w:rsidRPr="00B87165">
        <w:rPr>
          <w:i/>
          <w:color w:val="000000"/>
          <w:lang w:val="lt-LT"/>
        </w:rPr>
        <w:t xml:space="preserve">umatytas reikalavimas „Tyrimo metodas - </w:t>
      </w:r>
      <w:proofErr w:type="spellStart"/>
      <w:r w:rsidRPr="00B87165">
        <w:rPr>
          <w:i/>
          <w:color w:val="000000"/>
          <w:lang w:val="lt-LT"/>
        </w:rPr>
        <w:t>imunofermentinis</w:t>
      </w:r>
      <w:proofErr w:type="spellEnd"/>
      <w:r w:rsidRPr="00B87165">
        <w:rPr>
          <w:i/>
          <w:color w:val="000000"/>
          <w:lang w:val="lt-LT"/>
        </w:rPr>
        <w:t xml:space="preserve"> arba </w:t>
      </w:r>
      <w:proofErr w:type="spellStart"/>
      <w:r w:rsidRPr="00B87165">
        <w:rPr>
          <w:i/>
          <w:color w:val="000000"/>
          <w:lang w:val="lt-LT"/>
        </w:rPr>
        <w:t>chemiliuminiscentinis</w:t>
      </w:r>
      <w:proofErr w:type="spellEnd"/>
      <w:r w:rsidRPr="00B87165">
        <w:rPr>
          <w:i/>
          <w:color w:val="000000"/>
          <w:lang w:val="lt-LT"/>
        </w:rPr>
        <w:t xml:space="preserve"> arba lygiavertis</w:t>
      </w:r>
      <w:r w:rsidRPr="00B87165">
        <w:rPr>
          <w:i/>
          <w:lang w:val="lt-LT"/>
        </w:rPr>
        <w:t>.”</w:t>
      </w:r>
      <w:r w:rsidRPr="00B87165">
        <w:rPr>
          <w:i/>
          <w:color w:val="000000"/>
          <w:lang w:val="lt-LT"/>
        </w:rPr>
        <w:t xml:space="preserve"> </w:t>
      </w:r>
    </w:p>
    <w:p w:rsidR="00650943" w:rsidRPr="00B87165" w:rsidRDefault="00B87165" w:rsidP="00094CC7">
      <w:pPr>
        <w:spacing w:after="0" w:line="240" w:lineRule="auto"/>
        <w:ind w:left="-1134"/>
        <w:rPr>
          <w:i/>
          <w:color w:val="FF0000"/>
          <w:lang w:val="lt-LT"/>
        </w:rPr>
      </w:pPr>
      <w:r w:rsidRPr="00B87165">
        <w:rPr>
          <w:i/>
          <w:color w:val="000000"/>
          <w:lang w:val="lt-LT"/>
        </w:rPr>
        <w:t xml:space="preserve">Pateikti tai </w:t>
      </w:r>
      <w:r w:rsidR="004933CD" w:rsidRPr="00B87165">
        <w:rPr>
          <w:i/>
          <w:color w:val="000000"/>
          <w:lang w:val="lt-LT"/>
        </w:rPr>
        <w:t>įrodančius dokumentus. Tiekėjo vienašališka deklaracija nelaikoma tin</w:t>
      </w:r>
      <w:r w:rsidR="004933CD" w:rsidRPr="00B87165">
        <w:rPr>
          <w:i/>
          <w:color w:val="000000"/>
          <w:lang w:val="lt-LT"/>
        </w:rPr>
        <w:t>kamu įrodymu.</w:t>
      </w:r>
    </w:p>
    <w:p w:rsidR="00650943" w:rsidRPr="00B87165" w:rsidRDefault="004933CD" w:rsidP="00094CC7">
      <w:pPr>
        <w:spacing w:after="0" w:line="240" w:lineRule="auto"/>
        <w:ind w:left="-1134"/>
        <w:rPr>
          <w:color w:val="000000"/>
          <w:lang w:val="lt-LT"/>
        </w:rPr>
      </w:pPr>
      <w:r w:rsidRPr="00B87165">
        <w:rPr>
          <w:i/>
          <w:color w:val="000000"/>
          <w:lang w:val="lt-LT"/>
        </w:rPr>
        <w:t>UAB „</w:t>
      </w:r>
      <w:proofErr w:type="spellStart"/>
      <w:r w:rsidRPr="00B87165">
        <w:rPr>
          <w:i/>
          <w:color w:val="000000"/>
          <w:lang w:val="lt-LT"/>
        </w:rPr>
        <w:t>Roche</w:t>
      </w:r>
      <w:proofErr w:type="spellEnd"/>
      <w:r w:rsidRPr="00B87165">
        <w:rPr>
          <w:i/>
          <w:color w:val="000000"/>
          <w:lang w:val="lt-LT"/>
        </w:rPr>
        <w:t xml:space="preserve"> Lietuva“ turi pateikti pagrindžiantį dokumentą, kad siūlomas tyrimo metodas yra lygiavertis nurodytam techninėje specifikacijoje</w:t>
      </w:r>
      <w:r w:rsidRPr="00B87165">
        <w:rPr>
          <w:color w:val="000000"/>
          <w:lang w:val="lt-LT"/>
        </w:rPr>
        <w:t>.</w:t>
      </w:r>
    </w:p>
    <w:p w:rsidR="00650943" w:rsidRPr="00B87165" w:rsidRDefault="00650943" w:rsidP="00094CC7">
      <w:pPr>
        <w:ind w:left="-1134"/>
        <w:rPr>
          <w:lang w:val="lt-LT"/>
        </w:rPr>
      </w:pPr>
    </w:p>
    <w:p w:rsidR="00650943" w:rsidRPr="00B87165" w:rsidRDefault="004933CD">
      <w:pPr>
        <w:rPr>
          <w:b/>
          <w:lang w:val="lt-LT"/>
        </w:rPr>
      </w:pPr>
      <w:r w:rsidRPr="00B87165">
        <w:rPr>
          <w:b/>
          <w:lang w:val="lt-LT"/>
        </w:rPr>
        <w:t>UAB “</w:t>
      </w:r>
      <w:proofErr w:type="spellStart"/>
      <w:r w:rsidRPr="00B87165">
        <w:rPr>
          <w:b/>
          <w:lang w:val="lt-LT"/>
        </w:rPr>
        <w:t>Roche</w:t>
      </w:r>
      <w:proofErr w:type="spellEnd"/>
      <w:r w:rsidRPr="00B87165">
        <w:rPr>
          <w:b/>
          <w:lang w:val="lt-LT"/>
        </w:rPr>
        <w:t xml:space="preserve"> Lietuva“ pažymi, kad siūlomas tyrimo metodas yra lygiavertis nurodytam techninėje specifi</w:t>
      </w:r>
      <w:r w:rsidRPr="00B87165">
        <w:rPr>
          <w:b/>
          <w:lang w:val="lt-LT"/>
        </w:rPr>
        <w:t xml:space="preserve">kacijoje CLIA metodui. Žemiau pateikiama detalesnė informacija dėl tyrimo metodų lygiavertiškumo. </w:t>
      </w:r>
    </w:p>
    <w:p w:rsidR="00650943" w:rsidRPr="00B87165" w:rsidRDefault="004933CD">
      <w:pPr>
        <w:rPr>
          <w:b/>
          <w:i/>
          <w:lang w:val="lt-LT"/>
        </w:rPr>
      </w:pPr>
      <w:r w:rsidRPr="00B87165">
        <w:rPr>
          <w:b/>
          <w:i/>
          <w:lang w:val="lt-LT"/>
        </w:rPr>
        <w:t xml:space="preserve">Tyrimo principo paaiškinimas pateikiamas </w:t>
      </w:r>
      <w:proofErr w:type="spellStart"/>
      <w:r w:rsidRPr="00B87165">
        <w:rPr>
          <w:b/>
          <w:i/>
          <w:lang w:val="lt-LT"/>
        </w:rPr>
        <w:t>Roche</w:t>
      </w:r>
      <w:proofErr w:type="spellEnd"/>
      <w:r w:rsidRPr="00B87165">
        <w:rPr>
          <w:b/>
          <w:i/>
          <w:lang w:val="lt-LT"/>
        </w:rPr>
        <w:t xml:space="preserve"> reagentų metodiniuose lapuose:</w:t>
      </w:r>
    </w:p>
    <w:p w:rsidR="00650943" w:rsidRPr="00B87165" w:rsidRDefault="004933CD">
      <w:pPr>
        <w:numPr>
          <w:ilvl w:val="0"/>
          <w:numId w:val="2"/>
        </w:numPr>
        <w:spacing w:after="0"/>
        <w:rPr>
          <w:lang w:val="lt-LT"/>
        </w:rPr>
      </w:pPr>
      <w:r w:rsidRPr="00B87165">
        <w:rPr>
          <w:lang w:val="lt-LT"/>
        </w:rPr>
        <w:t xml:space="preserve">1-oji </w:t>
      </w:r>
      <w:proofErr w:type="spellStart"/>
      <w:r w:rsidRPr="00B87165">
        <w:rPr>
          <w:lang w:val="lt-LT"/>
        </w:rPr>
        <w:t>inkubacija</w:t>
      </w:r>
      <w:proofErr w:type="spellEnd"/>
      <w:r w:rsidRPr="00B87165">
        <w:rPr>
          <w:lang w:val="lt-LT"/>
        </w:rPr>
        <w:t xml:space="preserve">:  30 </w:t>
      </w:r>
      <w:proofErr w:type="spellStart"/>
      <w:r w:rsidRPr="00B87165">
        <w:rPr>
          <w:lang w:val="lt-LT"/>
        </w:rPr>
        <w:t>μL</w:t>
      </w:r>
      <w:proofErr w:type="spellEnd"/>
      <w:r w:rsidRPr="00B87165">
        <w:rPr>
          <w:lang w:val="lt-LT"/>
        </w:rPr>
        <w:t xml:space="preserve">  mėginio,  reagento,  sudėtyje  turinčio  </w:t>
      </w:r>
      <w:proofErr w:type="spellStart"/>
      <w:r w:rsidRPr="00B87165">
        <w:rPr>
          <w:lang w:val="lt-LT"/>
        </w:rPr>
        <w:t>biotinilint</w:t>
      </w:r>
      <w:r w:rsidRPr="00B87165">
        <w:rPr>
          <w:lang w:val="lt-LT"/>
        </w:rPr>
        <w:t>ų</w:t>
      </w:r>
      <w:proofErr w:type="spellEnd"/>
      <w:r w:rsidRPr="00B87165">
        <w:rPr>
          <w:lang w:val="lt-LT"/>
        </w:rPr>
        <w:t xml:space="preserve"> HCV‑specifinių antigenų,  ir  reagento,  sudėtyje  turinčio  HCV‑specifinių antigenų, žymėtų  rutenio  kompleksu a)  , reaguoja  sudarydami  sluoksninės struktūros kompleksą.   </w:t>
      </w:r>
    </w:p>
    <w:p w:rsidR="00650943" w:rsidRPr="00B87165" w:rsidRDefault="004933CD">
      <w:pPr>
        <w:numPr>
          <w:ilvl w:val="0"/>
          <w:numId w:val="2"/>
        </w:numPr>
        <w:spacing w:after="0"/>
        <w:rPr>
          <w:lang w:val="lt-LT"/>
        </w:rPr>
      </w:pPr>
      <w:r w:rsidRPr="00B87165">
        <w:rPr>
          <w:lang w:val="lt-LT"/>
        </w:rPr>
        <w:t xml:space="preserve">2-oji </w:t>
      </w:r>
      <w:proofErr w:type="spellStart"/>
      <w:r w:rsidRPr="00B87165">
        <w:rPr>
          <w:lang w:val="lt-LT"/>
        </w:rPr>
        <w:t>inkubacija</w:t>
      </w:r>
      <w:proofErr w:type="spellEnd"/>
      <w:r w:rsidRPr="00B87165">
        <w:rPr>
          <w:lang w:val="lt-LT"/>
        </w:rPr>
        <w:t xml:space="preserve">:  Pridėjus  </w:t>
      </w:r>
      <w:proofErr w:type="spellStart"/>
      <w:r w:rsidRPr="00B87165">
        <w:rPr>
          <w:lang w:val="lt-LT"/>
        </w:rPr>
        <w:t>streptavidinu</w:t>
      </w:r>
      <w:proofErr w:type="spellEnd"/>
      <w:r w:rsidRPr="00B87165">
        <w:rPr>
          <w:lang w:val="lt-LT"/>
        </w:rPr>
        <w:t xml:space="preserve">  dengtų  mikrodalelių,  sąveikauj</w:t>
      </w:r>
      <w:r w:rsidRPr="00B87165">
        <w:rPr>
          <w:lang w:val="lt-LT"/>
        </w:rPr>
        <w:t xml:space="preserve">ant </w:t>
      </w:r>
      <w:proofErr w:type="spellStart"/>
      <w:r w:rsidRPr="00B87165">
        <w:rPr>
          <w:lang w:val="lt-LT"/>
        </w:rPr>
        <w:t>biotinui</w:t>
      </w:r>
      <w:proofErr w:type="spellEnd"/>
      <w:r w:rsidRPr="00B87165">
        <w:rPr>
          <w:lang w:val="lt-LT"/>
        </w:rPr>
        <w:t xml:space="preserve"> ir  </w:t>
      </w:r>
      <w:proofErr w:type="spellStart"/>
      <w:r w:rsidRPr="00B87165">
        <w:rPr>
          <w:lang w:val="lt-LT"/>
        </w:rPr>
        <w:t>streptavidinui</w:t>
      </w:r>
      <w:proofErr w:type="spellEnd"/>
      <w:r w:rsidRPr="00B87165">
        <w:rPr>
          <w:lang w:val="lt-LT"/>
        </w:rPr>
        <w:t xml:space="preserve">,  kompleksas  prisijungia  prie  kietosios  fazės. </w:t>
      </w:r>
    </w:p>
    <w:p w:rsidR="00650943" w:rsidRPr="00B87165" w:rsidRDefault="004933CD">
      <w:pPr>
        <w:numPr>
          <w:ilvl w:val="0"/>
          <w:numId w:val="2"/>
        </w:numPr>
        <w:spacing w:after="0"/>
        <w:rPr>
          <w:lang w:val="lt-LT"/>
        </w:rPr>
      </w:pPr>
      <w:r w:rsidRPr="00B87165">
        <w:rPr>
          <w:lang w:val="lt-LT"/>
        </w:rPr>
        <w:t>Reakcijos mišinys  įsiurbiamas  į  matavimo  kamerą,  kurioje  ant  elektrodo paviršiaus magnetiniu  būdu  surenkamos  mikrodalelės.  Nesurištos medžiagos pašalinamos  naud</w:t>
      </w:r>
      <w:r w:rsidRPr="00B87165">
        <w:rPr>
          <w:lang w:val="lt-LT"/>
        </w:rPr>
        <w:t xml:space="preserve">ojant  </w:t>
      </w:r>
      <w:proofErr w:type="spellStart"/>
      <w:r w:rsidRPr="00B87165">
        <w:rPr>
          <w:lang w:val="lt-LT"/>
        </w:rPr>
        <w:t>ProCell</w:t>
      </w:r>
      <w:proofErr w:type="spellEnd"/>
      <w:r w:rsidRPr="00B87165">
        <w:rPr>
          <w:lang w:val="lt-LT"/>
        </w:rPr>
        <w:t xml:space="preserve"> II M.  P</w:t>
      </w:r>
      <w:r w:rsidRPr="00B87165">
        <w:rPr>
          <w:b/>
          <w:lang w:val="lt-LT"/>
        </w:rPr>
        <w:t xml:space="preserve">rie  elektrodo  prijungus elektros srovę  skatinama  </w:t>
      </w:r>
      <w:proofErr w:type="spellStart"/>
      <w:r w:rsidRPr="00B87165">
        <w:rPr>
          <w:b/>
          <w:lang w:val="lt-LT"/>
        </w:rPr>
        <w:t>chemiliuminescencinė</w:t>
      </w:r>
      <w:proofErr w:type="spellEnd"/>
      <w:r w:rsidRPr="00B87165">
        <w:rPr>
          <w:b/>
          <w:lang w:val="lt-LT"/>
        </w:rPr>
        <w:t xml:space="preserve">  emisija,  kurios  dydis išmatuojamas </w:t>
      </w:r>
      <w:proofErr w:type="spellStart"/>
      <w:r w:rsidRPr="00B87165">
        <w:rPr>
          <w:b/>
          <w:lang w:val="lt-LT"/>
        </w:rPr>
        <w:t>fotodaugintuvu</w:t>
      </w:r>
      <w:proofErr w:type="spellEnd"/>
      <w:r w:rsidRPr="00B87165">
        <w:rPr>
          <w:b/>
          <w:lang w:val="lt-LT"/>
        </w:rPr>
        <w:t>.</w:t>
      </w:r>
    </w:p>
    <w:p w:rsidR="000F2812" w:rsidRPr="00B87165" w:rsidRDefault="004933CD" w:rsidP="00B87165">
      <w:pPr>
        <w:numPr>
          <w:ilvl w:val="0"/>
          <w:numId w:val="2"/>
        </w:numPr>
        <w:rPr>
          <w:i/>
          <w:lang w:val="lt-LT"/>
        </w:rPr>
      </w:pPr>
      <w:r w:rsidRPr="00B87165">
        <w:rPr>
          <w:lang w:val="lt-LT"/>
        </w:rPr>
        <w:t xml:space="preserve">Rezultatai programoje  nustatomi  automatiškai,  palyginant </w:t>
      </w:r>
      <w:r w:rsidRPr="00B87165">
        <w:rPr>
          <w:b/>
          <w:lang w:val="lt-LT"/>
        </w:rPr>
        <w:t xml:space="preserve">elektrocheminės </w:t>
      </w:r>
      <w:proofErr w:type="spellStart"/>
      <w:r w:rsidRPr="00B87165">
        <w:rPr>
          <w:b/>
          <w:lang w:val="lt-LT"/>
        </w:rPr>
        <w:t>luminescencijos</w:t>
      </w:r>
      <w:proofErr w:type="spellEnd"/>
      <w:r w:rsidRPr="00B87165">
        <w:rPr>
          <w:b/>
          <w:lang w:val="lt-LT"/>
        </w:rPr>
        <w:t xml:space="preserve"> </w:t>
      </w:r>
      <w:r w:rsidRPr="00B87165">
        <w:rPr>
          <w:lang w:val="lt-LT"/>
        </w:rPr>
        <w:t xml:space="preserve"> signalą,  ga</w:t>
      </w:r>
      <w:r w:rsidRPr="00B87165">
        <w:rPr>
          <w:lang w:val="lt-LT"/>
        </w:rPr>
        <w:t xml:space="preserve">utą  iš  mėginio  reakcijos produkto, su  anksčiau  kalibravimo  metu  gautu  ribinės  </w:t>
      </w:r>
      <w:r w:rsidRPr="00B87165">
        <w:rPr>
          <w:lang w:val="lt-LT"/>
        </w:rPr>
        <w:t>(</w:t>
      </w:r>
      <w:proofErr w:type="spellStart"/>
      <w:r w:rsidRPr="00B87165">
        <w:rPr>
          <w:lang w:val="lt-LT"/>
        </w:rPr>
        <w:t>cutoff</w:t>
      </w:r>
      <w:proofErr w:type="spellEnd"/>
      <w:r w:rsidRPr="00B87165">
        <w:rPr>
          <w:lang w:val="lt-LT"/>
        </w:rPr>
        <w:t>)  reikšmės signalu.</w:t>
      </w:r>
    </w:p>
    <w:p w:rsidR="00650943" w:rsidRPr="00B87165" w:rsidRDefault="004933CD">
      <w:pPr>
        <w:rPr>
          <w:i/>
          <w:lang w:val="lt-LT"/>
        </w:rPr>
      </w:pPr>
      <w:r w:rsidRPr="00B87165">
        <w:rPr>
          <w:b/>
          <w:i/>
          <w:lang w:val="lt-LT"/>
        </w:rPr>
        <w:t xml:space="preserve">Elektrocheminės </w:t>
      </w:r>
      <w:proofErr w:type="spellStart"/>
      <w:r w:rsidRPr="00B87165">
        <w:rPr>
          <w:b/>
          <w:i/>
          <w:lang w:val="lt-LT"/>
        </w:rPr>
        <w:t>luminescencijos</w:t>
      </w:r>
      <w:proofErr w:type="spellEnd"/>
      <w:r w:rsidRPr="00B87165">
        <w:rPr>
          <w:b/>
          <w:i/>
          <w:lang w:val="lt-LT"/>
        </w:rPr>
        <w:t xml:space="preserve"> technologijos paaiškinimas yra nurodytas pateiktame </w:t>
      </w:r>
      <w:proofErr w:type="spellStart"/>
      <w:r w:rsidRPr="00B87165">
        <w:rPr>
          <w:b/>
          <w:i/>
          <w:lang w:val="lt-LT"/>
        </w:rPr>
        <w:t>cobas</w:t>
      </w:r>
      <w:proofErr w:type="spellEnd"/>
      <w:r w:rsidRPr="00B87165">
        <w:rPr>
          <w:b/>
          <w:i/>
          <w:lang w:val="lt-LT"/>
        </w:rPr>
        <w:t xml:space="preserve"> pro vartotojo vadove: 971 </w:t>
      </w:r>
      <w:proofErr w:type="spellStart"/>
      <w:r w:rsidRPr="00B87165">
        <w:rPr>
          <w:b/>
          <w:i/>
          <w:lang w:val="lt-LT"/>
        </w:rPr>
        <w:t>psl</w:t>
      </w:r>
      <w:proofErr w:type="spellEnd"/>
      <w:r w:rsidRPr="00B87165">
        <w:rPr>
          <w:b/>
          <w:i/>
          <w:lang w:val="lt-LT"/>
        </w:rPr>
        <w:t xml:space="preserve">; 977 </w:t>
      </w:r>
      <w:proofErr w:type="spellStart"/>
      <w:r w:rsidRPr="00B87165">
        <w:rPr>
          <w:b/>
          <w:i/>
          <w:lang w:val="lt-LT"/>
        </w:rPr>
        <w:t>psl</w:t>
      </w:r>
      <w:proofErr w:type="spellEnd"/>
      <w:r w:rsidRPr="00B87165">
        <w:rPr>
          <w:b/>
          <w:i/>
          <w:lang w:val="lt-LT"/>
        </w:rPr>
        <w:t xml:space="preserve">; 1003 </w:t>
      </w:r>
      <w:proofErr w:type="spellStart"/>
      <w:r w:rsidRPr="00B87165">
        <w:rPr>
          <w:b/>
          <w:i/>
          <w:lang w:val="lt-LT"/>
        </w:rPr>
        <w:t>psl</w:t>
      </w:r>
      <w:proofErr w:type="spellEnd"/>
      <w:r w:rsidRPr="00B87165">
        <w:rPr>
          <w:b/>
          <w:i/>
          <w:lang w:val="lt-LT"/>
        </w:rPr>
        <w:t xml:space="preserve">; </w:t>
      </w:r>
      <w:r w:rsidRPr="00B87165">
        <w:rPr>
          <w:b/>
          <w:i/>
          <w:lang w:val="lt-LT"/>
        </w:rPr>
        <w:t xml:space="preserve">1006 </w:t>
      </w:r>
      <w:proofErr w:type="spellStart"/>
      <w:r w:rsidRPr="00B87165">
        <w:rPr>
          <w:b/>
          <w:i/>
          <w:lang w:val="lt-LT"/>
        </w:rPr>
        <w:t>psl</w:t>
      </w:r>
      <w:proofErr w:type="spellEnd"/>
      <w:r w:rsidRPr="00B87165">
        <w:rPr>
          <w:b/>
          <w:i/>
          <w:lang w:val="lt-LT"/>
        </w:rPr>
        <w:t>;</w:t>
      </w:r>
      <w:r w:rsidRPr="00B87165">
        <w:rPr>
          <w:i/>
          <w:lang w:val="lt-LT"/>
        </w:rPr>
        <w:t xml:space="preserve"> </w:t>
      </w:r>
    </w:p>
    <w:p w:rsidR="00650943" w:rsidRPr="00B87165" w:rsidRDefault="00094CC7" w:rsidP="000F2812">
      <w:pPr>
        <w:tabs>
          <w:tab w:val="left" w:pos="709"/>
        </w:tabs>
        <w:ind w:left="709"/>
        <w:rPr>
          <w:i/>
          <w:lang w:val="lt-LT"/>
        </w:rPr>
      </w:pPr>
      <w:r w:rsidRPr="00B87165">
        <w:rPr>
          <w:noProof/>
          <w:lang w:val="lt-LT"/>
        </w:rPr>
        <w:lastRenderedPageBreak/>
        <w:drawing>
          <wp:inline distT="0" distB="0" distL="0" distR="0">
            <wp:extent cx="5233035" cy="3474720"/>
            <wp:effectExtent l="0" t="0" r="5715"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233035" cy="3474720"/>
                    </a:xfrm>
                    <a:prstGeom prst="rect">
                      <a:avLst/>
                    </a:prstGeom>
                    <a:ln/>
                  </pic:spPr>
                </pic:pic>
              </a:graphicData>
            </a:graphic>
          </wp:inline>
        </w:drawing>
      </w:r>
    </w:p>
    <w:p w:rsidR="00650943" w:rsidRPr="00B87165" w:rsidRDefault="004933CD" w:rsidP="000F2812">
      <w:pPr>
        <w:ind w:left="709"/>
        <w:rPr>
          <w:lang w:val="lt-LT"/>
        </w:rPr>
      </w:pPr>
      <w:r w:rsidRPr="00B87165">
        <w:rPr>
          <w:noProof/>
          <w:lang w:val="lt-LT"/>
        </w:rPr>
        <w:drawing>
          <wp:inline distT="114300" distB="114300" distL="114300" distR="114300">
            <wp:extent cx="4976661" cy="2977286"/>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5980"/>
                    <a:stretch>
                      <a:fillRect/>
                    </a:stretch>
                  </pic:blipFill>
                  <pic:spPr>
                    <a:xfrm>
                      <a:off x="0" y="0"/>
                      <a:ext cx="4980210" cy="2979409"/>
                    </a:xfrm>
                    <a:prstGeom prst="rect">
                      <a:avLst/>
                    </a:prstGeom>
                    <a:ln/>
                  </pic:spPr>
                </pic:pic>
              </a:graphicData>
            </a:graphic>
          </wp:inline>
        </w:drawing>
      </w:r>
    </w:p>
    <w:p w:rsidR="00650943" w:rsidRPr="00B87165" w:rsidRDefault="00650943">
      <w:pPr>
        <w:ind w:left="720"/>
        <w:rPr>
          <w:lang w:val="lt-LT"/>
        </w:rPr>
      </w:pPr>
    </w:p>
    <w:p w:rsidR="00650943" w:rsidRPr="00B87165" w:rsidRDefault="004933CD">
      <w:pPr>
        <w:ind w:left="450"/>
        <w:rPr>
          <w:lang w:val="lt-LT"/>
        </w:rPr>
      </w:pPr>
      <w:r w:rsidRPr="00B87165">
        <w:rPr>
          <w:noProof/>
          <w:lang w:val="lt-LT"/>
        </w:rPr>
        <w:lastRenderedPageBreak/>
        <w:drawing>
          <wp:anchor distT="114300" distB="114300" distL="114300" distR="114300" simplePos="0" relativeHeight="251659264" behindDoc="0" locked="0" layoutInCell="1" hidden="0" allowOverlap="1">
            <wp:simplePos x="0" y="0"/>
            <wp:positionH relativeFrom="column">
              <wp:posOffset>609499</wp:posOffset>
            </wp:positionH>
            <wp:positionV relativeFrom="paragraph">
              <wp:posOffset>381</wp:posOffset>
            </wp:positionV>
            <wp:extent cx="4608195" cy="4907915"/>
            <wp:effectExtent l="0" t="0" r="1905" b="6985"/>
            <wp:wrapTopAndBottom/>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608195" cy="4907915"/>
                    </a:xfrm>
                    <a:prstGeom prst="rect">
                      <a:avLst/>
                    </a:prstGeom>
                    <a:ln/>
                  </pic:spPr>
                </pic:pic>
              </a:graphicData>
            </a:graphic>
            <wp14:sizeRelH relativeFrom="margin">
              <wp14:pctWidth>0</wp14:pctWidth>
            </wp14:sizeRelH>
            <wp14:sizeRelV relativeFrom="margin">
              <wp14:pctHeight>0</wp14:pctHeight>
            </wp14:sizeRelV>
          </wp:anchor>
        </w:drawing>
      </w:r>
    </w:p>
    <w:p w:rsidR="00650943" w:rsidRPr="00B87165" w:rsidRDefault="00650943">
      <w:pPr>
        <w:rPr>
          <w:lang w:val="lt-LT"/>
        </w:rPr>
      </w:pPr>
    </w:p>
    <w:p w:rsidR="00650943" w:rsidRPr="00EF744D" w:rsidRDefault="004933CD">
      <w:pPr>
        <w:rPr>
          <w:b/>
          <w:i/>
          <w:lang w:val="lt-LT"/>
        </w:rPr>
      </w:pPr>
      <w:r w:rsidRPr="00EF744D">
        <w:rPr>
          <w:b/>
          <w:i/>
          <w:lang w:val="lt-LT"/>
        </w:rPr>
        <w:t>Kartu pateikiame mokslinių studijų duomenis dėl tyrimo metodų lygiavertiškumo ir pritaikymo kraujo donorų ištyrime:</w:t>
      </w:r>
    </w:p>
    <w:p w:rsidR="00650943" w:rsidRPr="00B87165" w:rsidRDefault="004933CD">
      <w:pPr>
        <w:numPr>
          <w:ilvl w:val="0"/>
          <w:numId w:val="1"/>
        </w:numPr>
        <w:spacing w:after="0"/>
        <w:rPr>
          <w:lang w:val="lt-LT"/>
        </w:rPr>
      </w:pPr>
      <w:proofErr w:type="spellStart"/>
      <w:r w:rsidRPr="00B87165">
        <w:rPr>
          <w:b/>
          <w:i/>
          <w:lang w:val="lt-LT"/>
        </w:rPr>
        <w:t>Clinical</w:t>
      </w:r>
      <w:proofErr w:type="spellEnd"/>
      <w:r w:rsidRPr="00B87165">
        <w:rPr>
          <w:b/>
          <w:i/>
          <w:lang w:val="lt-LT"/>
        </w:rPr>
        <w:t xml:space="preserve"> </w:t>
      </w:r>
      <w:proofErr w:type="spellStart"/>
      <w:r w:rsidRPr="00B87165">
        <w:rPr>
          <w:b/>
          <w:i/>
          <w:lang w:val="lt-LT"/>
        </w:rPr>
        <w:t>performance</w:t>
      </w:r>
      <w:proofErr w:type="spellEnd"/>
      <w:r w:rsidRPr="00B87165">
        <w:rPr>
          <w:b/>
          <w:i/>
          <w:lang w:val="lt-LT"/>
        </w:rPr>
        <w:t xml:space="preserve"> </w:t>
      </w:r>
      <w:proofErr w:type="spellStart"/>
      <w:r w:rsidRPr="00B87165">
        <w:rPr>
          <w:b/>
          <w:i/>
          <w:lang w:val="lt-LT"/>
        </w:rPr>
        <w:t>evaluation</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Elecsys</w:t>
      </w:r>
      <w:proofErr w:type="spellEnd"/>
      <w:r w:rsidRPr="00B87165">
        <w:rPr>
          <w:b/>
          <w:i/>
          <w:lang w:val="lt-LT"/>
        </w:rPr>
        <w:t xml:space="preserve"> HIV </w:t>
      </w:r>
      <w:proofErr w:type="spellStart"/>
      <w:r w:rsidRPr="00B87165">
        <w:rPr>
          <w:b/>
          <w:i/>
          <w:lang w:val="lt-LT"/>
        </w:rPr>
        <w:t>Duo</w:t>
      </w:r>
      <w:proofErr w:type="spellEnd"/>
      <w:r w:rsidRPr="00B87165">
        <w:rPr>
          <w:b/>
          <w:i/>
          <w:lang w:val="lt-LT"/>
        </w:rPr>
        <w:t xml:space="preserve">, </w:t>
      </w:r>
      <w:proofErr w:type="spellStart"/>
      <w:r w:rsidRPr="00B87165">
        <w:rPr>
          <w:b/>
          <w:i/>
          <w:lang w:val="lt-LT"/>
        </w:rPr>
        <w:t>Anti</w:t>
      </w:r>
      <w:proofErr w:type="spellEnd"/>
      <w:r w:rsidRPr="00B87165">
        <w:rPr>
          <w:b/>
          <w:i/>
          <w:lang w:val="lt-LT"/>
        </w:rPr>
        <w:t xml:space="preserve">-HCV II, </w:t>
      </w:r>
      <w:proofErr w:type="spellStart"/>
      <w:r w:rsidRPr="00B87165">
        <w:rPr>
          <w:b/>
          <w:i/>
          <w:lang w:val="lt-LT"/>
        </w:rPr>
        <w:t>HBsAg</w:t>
      </w:r>
      <w:proofErr w:type="spellEnd"/>
      <w:r w:rsidRPr="00B87165">
        <w:rPr>
          <w:b/>
          <w:i/>
          <w:lang w:val="lt-LT"/>
        </w:rPr>
        <w:t xml:space="preserve"> II, </w:t>
      </w:r>
      <w:proofErr w:type="spellStart"/>
      <w:r w:rsidRPr="00B87165">
        <w:rPr>
          <w:b/>
          <w:i/>
          <w:lang w:val="lt-LT"/>
        </w:rPr>
        <w:t>Anti-HBc</w:t>
      </w:r>
      <w:proofErr w:type="spellEnd"/>
      <w:r w:rsidRPr="00B87165">
        <w:rPr>
          <w:b/>
          <w:i/>
          <w:lang w:val="lt-LT"/>
        </w:rPr>
        <w:t xml:space="preserve"> II, </w:t>
      </w:r>
      <w:proofErr w:type="spellStart"/>
      <w:r w:rsidRPr="00B87165">
        <w:rPr>
          <w:b/>
          <w:i/>
          <w:lang w:val="lt-LT"/>
        </w:rPr>
        <w:t>and</w:t>
      </w:r>
      <w:proofErr w:type="spellEnd"/>
      <w:r w:rsidRPr="00B87165">
        <w:rPr>
          <w:b/>
          <w:i/>
          <w:lang w:val="lt-LT"/>
        </w:rPr>
        <w:t xml:space="preserve"> </w:t>
      </w:r>
      <w:proofErr w:type="spellStart"/>
      <w:r w:rsidRPr="00B87165">
        <w:rPr>
          <w:b/>
          <w:i/>
          <w:lang w:val="lt-LT"/>
        </w:rPr>
        <w:t>Syphilis</w:t>
      </w:r>
      <w:proofErr w:type="spellEnd"/>
      <w:r w:rsidRPr="00B87165">
        <w:rPr>
          <w:b/>
          <w:i/>
          <w:lang w:val="lt-LT"/>
        </w:rPr>
        <w:t xml:space="preserve"> </w:t>
      </w:r>
      <w:proofErr w:type="spellStart"/>
      <w:r w:rsidRPr="00B87165">
        <w:rPr>
          <w:b/>
          <w:i/>
          <w:lang w:val="lt-LT"/>
        </w:rPr>
        <w:t>assays</w:t>
      </w:r>
      <w:proofErr w:type="spellEnd"/>
      <w:r w:rsidRPr="00B87165">
        <w:rPr>
          <w:b/>
          <w:i/>
          <w:lang w:val="lt-LT"/>
        </w:rPr>
        <w:t xml:space="preserve"> </w:t>
      </w:r>
      <w:proofErr w:type="spellStart"/>
      <w:r w:rsidRPr="00B87165">
        <w:rPr>
          <w:b/>
          <w:i/>
          <w:lang w:val="lt-LT"/>
        </w:rPr>
        <w:t>for</w:t>
      </w:r>
      <w:proofErr w:type="spellEnd"/>
      <w:r w:rsidRPr="00B87165">
        <w:rPr>
          <w:b/>
          <w:i/>
          <w:lang w:val="lt-LT"/>
        </w:rPr>
        <w:t xml:space="preserve"> </w:t>
      </w:r>
      <w:proofErr w:type="spellStart"/>
      <w:r w:rsidRPr="00B87165">
        <w:rPr>
          <w:b/>
          <w:i/>
          <w:lang w:val="lt-LT"/>
        </w:rPr>
        <w:t>routine</w:t>
      </w:r>
      <w:proofErr w:type="spellEnd"/>
      <w:r w:rsidRPr="00B87165">
        <w:rPr>
          <w:b/>
          <w:i/>
          <w:lang w:val="lt-LT"/>
        </w:rPr>
        <w:t xml:space="preserve"> </w:t>
      </w:r>
      <w:proofErr w:type="spellStart"/>
      <w:r w:rsidRPr="00B87165">
        <w:rPr>
          <w:b/>
          <w:i/>
          <w:lang w:val="lt-LT"/>
        </w:rPr>
        <w:t>screening</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first-time</w:t>
      </w:r>
      <w:proofErr w:type="spellEnd"/>
      <w:r w:rsidRPr="00B87165">
        <w:rPr>
          <w:b/>
          <w:i/>
          <w:lang w:val="lt-LT"/>
        </w:rPr>
        <w:t xml:space="preserve"> </w:t>
      </w:r>
      <w:proofErr w:type="spellStart"/>
      <w:r w:rsidRPr="00B87165">
        <w:rPr>
          <w:b/>
          <w:i/>
          <w:lang w:val="lt-LT"/>
        </w:rPr>
        <w:t>blood</w:t>
      </w:r>
      <w:proofErr w:type="spellEnd"/>
      <w:r w:rsidRPr="00B87165">
        <w:rPr>
          <w:b/>
          <w:i/>
          <w:lang w:val="lt-LT"/>
        </w:rPr>
        <w:t xml:space="preserve"> </w:t>
      </w:r>
      <w:proofErr w:type="spellStart"/>
      <w:r w:rsidRPr="00B87165">
        <w:rPr>
          <w:b/>
          <w:i/>
          <w:lang w:val="lt-LT"/>
        </w:rPr>
        <w:t>donor</w:t>
      </w:r>
      <w:proofErr w:type="spellEnd"/>
      <w:r w:rsidRPr="00B87165">
        <w:rPr>
          <w:b/>
          <w:i/>
          <w:lang w:val="lt-LT"/>
        </w:rPr>
        <w:t xml:space="preserve"> </w:t>
      </w:r>
      <w:proofErr w:type="spellStart"/>
      <w:r w:rsidRPr="00B87165">
        <w:rPr>
          <w:b/>
          <w:i/>
          <w:lang w:val="lt-LT"/>
        </w:rPr>
        <w:t>samples</w:t>
      </w:r>
      <w:proofErr w:type="spellEnd"/>
      <w:r w:rsidRPr="00B87165">
        <w:rPr>
          <w:b/>
          <w:i/>
          <w:lang w:val="lt-LT"/>
        </w:rPr>
        <w:t xml:space="preserve"> at a </w:t>
      </w:r>
      <w:proofErr w:type="spellStart"/>
      <w:r w:rsidRPr="00B87165">
        <w:rPr>
          <w:b/>
          <w:i/>
          <w:lang w:val="lt-LT"/>
        </w:rPr>
        <w:t>French</w:t>
      </w:r>
      <w:proofErr w:type="spellEnd"/>
      <w:r w:rsidRPr="00B87165">
        <w:rPr>
          <w:b/>
          <w:i/>
          <w:lang w:val="lt-LT"/>
        </w:rPr>
        <w:t xml:space="preserve"> </w:t>
      </w:r>
      <w:proofErr w:type="spellStart"/>
      <w:r w:rsidRPr="00B87165">
        <w:rPr>
          <w:b/>
          <w:i/>
          <w:lang w:val="lt-LT"/>
        </w:rPr>
        <w:t>blood</w:t>
      </w:r>
      <w:proofErr w:type="spellEnd"/>
      <w:r w:rsidRPr="00B87165">
        <w:rPr>
          <w:b/>
          <w:i/>
          <w:lang w:val="lt-LT"/>
        </w:rPr>
        <w:t xml:space="preserve"> </w:t>
      </w:r>
      <w:proofErr w:type="spellStart"/>
      <w:r w:rsidRPr="00B87165">
        <w:rPr>
          <w:b/>
          <w:i/>
          <w:lang w:val="lt-LT"/>
        </w:rPr>
        <w:t>donation</w:t>
      </w:r>
      <w:proofErr w:type="spellEnd"/>
      <w:r w:rsidRPr="00B87165">
        <w:rPr>
          <w:b/>
          <w:i/>
          <w:lang w:val="lt-LT"/>
        </w:rPr>
        <w:t xml:space="preserve"> </w:t>
      </w:r>
      <w:proofErr w:type="spellStart"/>
      <w:r w:rsidRPr="00B87165">
        <w:rPr>
          <w:b/>
          <w:i/>
          <w:lang w:val="lt-LT"/>
        </w:rPr>
        <w:t>center</w:t>
      </w:r>
      <w:proofErr w:type="spellEnd"/>
      <w:r w:rsidRPr="00B87165">
        <w:rPr>
          <w:b/>
          <w:i/>
          <w:lang w:val="lt-LT"/>
        </w:rPr>
        <w:t>.</w:t>
      </w:r>
      <w:r w:rsidRPr="00B87165">
        <w:rPr>
          <w:lang w:val="lt-LT"/>
        </w:rPr>
        <w:t xml:space="preserve"> </w:t>
      </w:r>
      <w:proofErr w:type="spellStart"/>
      <w:r w:rsidRPr="00B87165">
        <w:rPr>
          <w:lang w:val="lt-LT"/>
        </w:rPr>
        <w:t>C.Maugard</w:t>
      </w:r>
      <w:proofErr w:type="spellEnd"/>
      <w:r w:rsidRPr="00B87165">
        <w:rPr>
          <w:lang w:val="lt-LT"/>
        </w:rPr>
        <w:t xml:space="preserve">, J. </w:t>
      </w:r>
      <w:proofErr w:type="spellStart"/>
      <w:r w:rsidRPr="00B87165">
        <w:rPr>
          <w:lang w:val="lt-LT"/>
        </w:rPr>
        <w:t>Relave</w:t>
      </w:r>
      <w:proofErr w:type="spellEnd"/>
      <w:r w:rsidRPr="00B87165">
        <w:rPr>
          <w:lang w:val="lt-LT"/>
        </w:rPr>
        <w:t xml:space="preserve">, </w:t>
      </w:r>
      <w:proofErr w:type="spellStart"/>
      <w:r w:rsidRPr="00B87165">
        <w:rPr>
          <w:lang w:val="lt-LT"/>
        </w:rPr>
        <w:t>M.Klinkicht</w:t>
      </w:r>
      <w:proofErr w:type="spellEnd"/>
      <w:r w:rsidRPr="00B87165">
        <w:rPr>
          <w:lang w:val="lt-LT"/>
        </w:rPr>
        <w:t xml:space="preserve">, C. </w:t>
      </w:r>
      <w:proofErr w:type="spellStart"/>
      <w:r w:rsidRPr="00B87165">
        <w:rPr>
          <w:lang w:val="lt-LT"/>
        </w:rPr>
        <w:t>Fabra</w:t>
      </w:r>
      <w:proofErr w:type="spellEnd"/>
      <w:r w:rsidRPr="00B87165">
        <w:rPr>
          <w:lang w:val="lt-LT"/>
        </w:rPr>
        <w:t xml:space="preserve">: </w:t>
      </w:r>
      <w:hyperlink r:id="rId12">
        <w:r w:rsidRPr="00B87165">
          <w:rPr>
            <w:color w:val="1155CC"/>
            <w:u w:val="single"/>
            <w:lang w:val="lt-LT"/>
          </w:rPr>
          <w:t>https://pubmed.ncbi.nlm.nih.gov/34214660/</w:t>
        </w:r>
      </w:hyperlink>
    </w:p>
    <w:p w:rsidR="00650943" w:rsidRPr="00B87165" w:rsidRDefault="004933CD">
      <w:pPr>
        <w:numPr>
          <w:ilvl w:val="0"/>
          <w:numId w:val="1"/>
        </w:numPr>
        <w:spacing w:after="0"/>
        <w:rPr>
          <w:i/>
          <w:lang w:val="lt-LT"/>
        </w:rPr>
      </w:pPr>
      <w:proofErr w:type="spellStart"/>
      <w:r w:rsidRPr="00B87165">
        <w:rPr>
          <w:b/>
          <w:i/>
          <w:lang w:val="lt-LT"/>
        </w:rPr>
        <w:t>Multicenter</w:t>
      </w:r>
      <w:proofErr w:type="spellEnd"/>
      <w:r w:rsidRPr="00B87165">
        <w:rPr>
          <w:b/>
          <w:i/>
          <w:lang w:val="lt-LT"/>
        </w:rPr>
        <w:t xml:space="preserve"> </w:t>
      </w:r>
      <w:proofErr w:type="spellStart"/>
      <w:r w:rsidRPr="00B87165">
        <w:rPr>
          <w:b/>
          <w:i/>
          <w:lang w:val="lt-LT"/>
        </w:rPr>
        <w:t>Performance</w:t>
      </w:r>
      <w:proofErr w:type="spellEnd"/>
      <w:r w:rsidRPr="00B87165">
        <w:rPr>
          <w:b/>
          <w:i/>
          <w:lang w:val="lt-LT"/>
        </w:rPr>
        <w:t xml:space="preserve"> </w:t>
      </w:r>
      <w:proofErr w:type="spellStart"/>
      <w:r w:rsidRPr="00B87165">
        <w:rPr>
          <w:b/>
          <w:i/>
          <w:lang w:val="lt-LT"/>
        </w:rPr>
        <w:t>Evaluation</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Elecsys</w:t>
      </w:r>
      <w:proofErr w:type="spellEnd"/>
      <w:r w:rsidRPr="00B87165">
        <w:rPr>
          <w:b/>
          <w:i/>
          <w:lang w:val="lt-LT"/>
        </w:rPr>
        <w:t xml:space="preserve"> </w:t>
      </w:r>
      <w:proofErr w:type="spellStart"/>
      <w:r w:rsidRPr="00B87165">
        <w:rPr>
          <w:b/>
          <w:i/>
          <w:lang w:val="lt-LT"/>
        </w:rPr>
        <w:t>Anti-HBc</w:t>
      </w:r>
      <w:proofErr w:type="spellEnd"/>
      <w:r w:rsidRPr="00B87165">
        <w:rPr>
          <w:b/>
          <w:i/>
          <w:lang w:val="lt-LT"/>
        </w:rPr>
        <w:t xml:space="preserve"> II, </w:t>
      </w:r>
      <w:proofErr w:type="spellStart"/>
      <w:r w:rsidRPr="00B87165">
        <w:rPr>
          <w:b/>
          <w:i/>
          <w:lang w:val="lt-LT"/>
        </w:rPr>
        <w:t>Anti</w:t>
      </w:r>
      <w:proofErr w:type="spellEnd"/>
      <w:r w:rsidRPr="00B87165">
        <w:rPr>
          <w:b/>
          <w:i/>
          <w:lang w:val="lt-LT"/>
        </w:rPr>
        <w:t xml:space="preserve">-HCV II, HIV </w:t>
      </w:r>
      <w:proofErr w:type="spellStart"/>
      <w:r w:rsidRPr="00B87165">
        <w:rPr>
          <w:b/>
          <w:i/>
          <w:lang w:val="lt-LT"/>
        </w:rPr>
        <w:t>combi</w:t>
      </w:r>
      <w:proofErr w:type="spellEnd"/>
      <w:r w:rsidRPr="00B87165">
        <w:rPr>
          <w:b/>
          <w:i/>
          <w:lang w:val="lt-LT"/>
        </w:rPr>
        <w:t xml:space="preserve"> PT, </w:t>
      </w:r>
      <w:proofErr w:type="spellStart"/>
      <w:r w:rsidRPr="00B87165">
        <w:rPr>
          <w:b/>
          <w:i/>
          <w:lang w:val="lt-LT"/>
        </w:rPr>
        <w:t>HBsAg</w:t>
      </w:r>
      <w:proofErr w:type="spellEnd"/>
      <w:r w:rsidRPr="00B87165">
        <w:rPr>
          <w:b/>
          <w:i/>
          <w:lang w:val="lt-LT"/>
        </w:rPr>
        <w:t xml:space="preserve"> II, </w:t>
      </w:r>
      <w:proofErr w:type="spellStart"/>
      <w:r w:rsidRPr="00B87165">
        <w:rPr>
          <w:b/>
          <w:i/>
          <w:lang w:val="lt-LT"/>
        </w:rPr>
        <w:t>and</w:t>
      </w:r>
      <w:proofErr w:type="spellEnd"/>
      <w:r w:rsidRPr="00B87165">
        <w:rPr>
          <w:b/>
          <w:i/>
          <w:lang w:val="lt-LT"/>
        </w:rPr>
        <w:t xml:space="preserve"> </w:t>
      </w:r>
      <w:proofErr w:type="spellStart"/>
      <w:r w:rsidRPr="00B87165">
        <w:rPr>
          <w:b/>
          <w:i/>
          <w:lang w:val="lt-LT"/>
        </w:rPr>
        <w:t>Syphilis</w:t>
      </w:r>
      <w:proofErr w:type="spellEnd"/>
      <w:r w:rsidRPr="00B87165">
        <w:rPr>
          <w:b/>
          <w:i/>
          <w:lang w:val="lt-LT"/>
        </w:rPr>
        <w:t xml:space="preserve"> </w:t>
      </w:r>
      <w:proofErr w:type="spellStart"/>
      <w:r w:rsidRPr="00B87165">
        <w:rPr>
          <w:b/>
          <w:i/>
          <w:lang w:val="lt-LT"/>
        </w:rPr>
        <w:t>Immunoassays</w:t>
      </w:r>
      <w:proofErr w:type="spellEnd"/>
      <w:r w:rsidRPr="00B87165">
        <w:rPr>
          <w:b/>
          <w:i/>
          <w:lang w:val="lt-LT"/>
        </w:rPr>
        <w:t xml:space="preserve">. </w:t>
      </w:r>
      <w:r w:rsidRPr="00B87165">
        <w:rPr>
          <w:lang w:val="lt-LT"/>
        </w:rPr>
        <w:t xml:space="preserve">Barbara </w:t>
      </w:r>
      <w:proofErr w:type="spellStart"/>
      <w:r w:rsidRPr="00B87165">
        <w:rPr>
          <w:lang w:val="lt-LT"/>
        </w:rPr>
        <w:t>Hottenträger</w:t>
      </w:r>
      <w:proofErr w:type="spellEnd"/>
      <w:r w:rsidRPr="00B87165">
        <w:rPr>
          <w:lang w:val="lt-LT"/>
        </w:rPr>
        <w:t xml:space="preserve">, </w:t>
      </w:r>
      <w:proofErr w:type="spellStart"/>
      <w:r w:rsidRPr="00B87165">
        <w:rPr>
          <w:lang w:val="lt-LT"/>
        </w:rPr>
        <w:t>Hans-Jochen</w:t>
      </w:r>
      <w:proofErr w:type="spellEnd"/>
      <w:r w:rsidRPr="00B87165">
        <w:rPr>
          <w:lang w:val="lt-LT"/>
        </w:rPr>
        <w:t xml:space="preserve"> </w:t>
      </w:r>
      <w:proofErr w:type="spellStart"/>
      <w:r w:rsidRPr="00B87165">
        <w:rPr>
          <w:lang w:val="lt-LT"/>
        </w:rPr>
        <w:t>Hagedorn</w:t>
      </w:r>
      <w:proofErr w:type="spellEnd"/>
      <w:r w:rsidRPr="00B87165">
        <w:rPr>
          <w:lang w:val="lt-LT"/>
        </w:rPr>
        <w:t xml:space="preserve">, </w:t>
      </w:r>
      <w:proofErr w:type="spellStart"/>
      <w:r w:rsidRPr="00B87165">
        <w:rPr>
          <w:lang w:val="lt-LT"/>
        </w:rPr>
        <w:t>Eugen</w:t>
      </w:r>
      <w:proofErr w:type="spellEnd"/>
      <w:r w:rsidRPr="00B87165">
        <w:rPr>
          <w:lang w:val="lt-LT"/>
        </w:rPr>
        <w:t xml:space="preserve"> </w:t>
      </w:r>
      <w:proofErr w:type="spellStart"/>
      <w:r w:rsidRPr="00B87165">
        <w:rPr>
          <w:lang w:val="lt-LT"/>
        </w:rPr>
        <w:t>Bäcker</w:t>
      </w:r>
      <w:proofErr w:type="spellEnd"/>
      <w:r w:rsidRPr="00B87165">
        <w:rPr>
          <w:lang w:val="lt-LT"/>
        </w:rPr>
        <w:t xml:space="preserve">, Barbara </w:t>
      </w:r>
      <w:proofErr w:type="spellStart"/>
      <w:r w:rsidRPr="00B87165">
        <w:rPr>
          <w:lang w:val="lt-LT"/>
        </w:rPr>
        <w:t>Bleekmann</w:t>
      </w:r>
      <w:proofErr w:type="spellEnd"/>
      <w:r w:rsidRPr="00B87165">
        <w:rPr>
          <w:lang w:val="lt-LT"/>
        </w:rPr>
        <w:t xml:space="preserve">, </w:t>
      </w:r>
      <w:proofErr w:type="spellStart"/>
      <w:r w:rsidRPr="00B87165">
        <w:rPr>
          <w:lang w:val="lt-LT"/>
        </w:rPr>
        <w:t>Andre</w:t>
      </w:r>
      <w:proofErr w:type="spellEnd"/>
      <w:r w:rsidRPr="00B87165">
        <w:rPr>
          <w:lang w:val="lt-LT"/>
        </w:rPr>
        <w:t xml:space="preserve"> </w:t>
      </w:r>
      <w:proofErr w:type="spellStart"/>
      <w:r w:rsidRPr="00B87165">
        <w:rPr>
          <w:lang w:val="lt-LT"/>
        </w:rPr>
        <w:t>Gessner</w:t>
      </w:r>
      <w:proofErr w:type="spellEnd"/>
      <w:r w:rsidRPr="00B87165">
        <w:rPr>
          <w:lang w:val="lt-LT"/>
        </w:rPr>
        <w:t xml:space="preserve">, </w:t>
      </w:r>
      <w:proofErr w:type="spellStart"/>
      <w:r w:rsidRPr="00B87165">
        <w:rPr>
          <w:lang w:val="lt-LT"/>
        </w:rPr>
        <w:t>Nadine</w:t>
      </w:r>
      <w:proofErr w:type="spellEnd"/>
      <w:r w:rsidRPr="00B87165">
        <w:rPr>
          <w:lang w:val="lt-LT"/>
        </w:rPr>
        <w:t xml:space="preserve"> </w:t>
      </w:r>
      <w:proofErr w:type="spellStart"/>
      <w:r w:rsidRPr="00B87165">
        <w:rPr>
          <w:lang w:val="lt-LT"/>
        </w:rPr>
        <w:t>Lübke</w:t>
      </w:r>
      <w:proofErr w:type="spellEnd"/>
      <w:r w:rsidRPr="00B87165">
        <w:rPr>
          <w:lang w:val="lt-LT"/>
        </w:rPr>
        <w:t xml:space="preserve">, </w:t>
      </w:r>
      <w:proofErr w:type="spellStart"/>
      <w:r w:rsidRPr="00B87165">
        <w:rPr>
          <w:lang w:val="lt-LT"/>
        </w:rPr>
        <w:t>Jürgen</w:t>
      </w:r>
      <w:proofErr w:type="spellEnd"/>
      <w:r w:rsidRPr="00B87165">
        <w:rPr>
          <w:lang w:val="lt-LT"/>
        </w:rPr>
        <w:t xml:space="preserve"> J </w:t>
      </w:r>
      <w:proofErr w:type="spellStart"/>
      <w:r w:rsidRPr="00B87165">
        <w:rPr>
          <w:lang w:val="lt-LT"/>
        </w:rPr>
        <w:t>Wenzel</w:t>
      </w:r>
      <w:proofErr w:type="spellEnd"/>
      <w:r w:rsidRPr="00B87165">
        <w:rPr>
          <w:lang w:val="lt-LT"/>
        </w:rPr>
        <w:t xml:space="preserve">, </w:t>
      </w:r>
      <w:proofErr w:type="spellStart"/>
      <w:r w:rsidRPr="00B87165">
        <w:rPr>
          <w:lang w:val="lt-LT"/>
        </w:rPr>
        <w:t>Marek</w:t>
      </w:r>
      <w:proofErr w:type="spellEnd"/>
      <w:r w:rsidRPr="00B87165">
        <w:rPr>
          <w:lang w:val="lt-LT"/>
        </w:rPr>
        <w:t xml:space="preserve"> </w:t>
      </w:r>
      <w:proofErr w:type="spellStart"/>
      <w:r w:rsidRPr="00B87165">
        <w:rPr>
          <w:lang w:val="lt-LT"/>
        </w:rPr>
        <w:t>Widera</w:t>
      </w:r>
      <w:proofErr w:type="spellEnd"/>
      <w:r w:rsidRPr="00B87165">
        <w:rPr>
          <w:lang w:val="lt-LT"/>
        </w:rPr>
        <w:t xml:space="preserve">, </w:t>
      </w:r>
      <w:proofErr w:type="spellStart"/>
      <w:r w:rsidRPr="00B87165">
        <w:rPr>
          <w:lang w:val="lt-LT"/>
        </w:rPr>
        <w:t>Stephan</w:t>
      </w:r>
      <w:proofErr w:type="spellEnd"/>
      <w:r w:rsidRPr="00B87165">
        <w:rPr>
          <w:lang w:val="lt-LT"/>
        </w:rPr>
        <w:t xml:space="preserve"> </w:t>
      </w:r>
      <w:proofErr w:type="spellStart"/>
      <w:r w:rsidRPr="00B87165">
        <w:rPr>
          <w:lang w:val="lt-LT"/>
        </w:rPr>
        <w:t>Pabinger</w:t>
      </w:r>
      <w:proofErr w:type="spellEnd"/>
      <w:r w:rsidRPr="00B87165">
        <w:rPr>
          <w:lang w:val="lt-LT"/>
        </w:rPr>
        <w:t xml:space="preserve">, </w:t>
      </w:r>
      <w:proofErr w:type="spellStart"/>
      <w:r w:rsidRPr="00B87165">
        <w:rPr>
          <w:lang w:val="lt-LT"/>
        </w:rPr>
        <w:t>Peter</w:t>
      </w:r>
      <w:proofErr w:type="spellEnd"/>
      <w:r w:rsidRPr="00B87165">
        <w:rPr>
          <w:lang w:val="lt-LT"/>
        </w:rPr>
        <w:t xml:space="preserve"> </w:t>
      </w:r>
      <w:proofErr w:type="spellStart"/>
      <w:r w:rsidRPr="00B87165">
        <w:rPr>
          <w:lang w:val="lt-LT"/>
        </w:rPr>
        <w:t>Ramge</w:t>
      </w:r>
      <w:proofErr w:type="spellEnd"/>
      <w:r w:rsidRPr="00B87165">
        <w:rPr>
          <w:lang w:val="lt-LT"/>
        </w:rPr>
        <w:t xml:space="preserve">, </w:t>
      </w:r>
      <w:proofErr w:type="spellStart"/>
      <w:r w:rsidRPr="00B87165">
        <w:rPr>
          <w:lang w:val="lt-LT"/>
        </w:rPr>
        <w:t>Jörg</w:t>
      </w:r>
      <w:proofErr w:type="spellEnd"/>
      <w:r w:rsidRPr="00B87165">
        <w:rPr>
          <w:lang w:val="lt-LT"/>
        </w:rPr>
        <w:t xml:space="preserve"> </w:t>
      </w:r>
      <w:proofErr w:type="spellStart"/>
      <w:r w:rsidRPr="00B87165">
        <w:rPr>
          <w:lang w:val="lt-LT"/>
        </w:rPr>
        <w:t>Timm</w:t>
      </w:r>
      <w:proofErr w:type="spellEnd"/>
      <w:r w:rsidRPr="00B87165">
        <w:rPr>
          <w:lang w:val="lt-LT"/>
        </w:rPr>
        <w:t xml:space="preserve">: </w:t>
      </w:r>
      <w:hyperlink r:id="rId13">
        <w:r w:rsidRPr="00B87165">
          <w:rPr>
            <w:color w:val="1155CC"/>
            <w:u w:val="single"/>
            <w:lang w:val="lt-LT"/>
          </w:rPr>
          <w:t>https://pubmed.n</w:t>
        </w:r>
        <w:r w:rsidRPr="00B87165">
          <w:rPr>
            <w:color w:val="1155CC"/>
            <w:u w:val="single"/>
            <w:lang w:val="lt-LT"/>
          </w:rPr>
          <w:t>cbi.nlm.nih.gov/34758213/</w:t>
        </w:r>
      </w:hyperlink>
    </w:p>
    <w:p w:rsidR="00650943" w:rsidRPr="00B87165" w:rsidRDefault="004933CD">
      <w:pPr>
        <w:numPr>
          <w:ilvl w:val="0"/>
          <w:numId w:val="1"/>
        </w:numPr>
        <w:spacing w:after="0"/>
        <w:rPr>
          <w:i/>
          <w:lang w:val="lt-LT"/>
        </w:rPr>
      </w:pPr>
      <w:proofErr w:type="spellStart"/>
      <w:r w:rsidRPr="00B87165">
        <w:rPr>
          <w:b/>
          <w:i/>
          <w:lang w:val="lt-LT"/>
        </w:rPr>
        <w:lastRenderedPageBreak/>
        <w:t>Head</w:t>
      </w:r>
      <w:proofErr w:type="spellEnd"/>
      <w:r w:rsidRPr="00B87165">
        <w:rPr>
          <w:b/>
          <w:i/>
          <w:lang w:val="lt-LT"/>
        </w:rPr>
        <w:t>-to-</w:t>
      </w:r>
      <w:proofErr w:type="spellStart"/>
      <w:r w:rsidRPr="00B87165">
        <w:rPr>
          <w:b/>
          <w:i/>
          <w:lang w:val="lt-LT"/>
        </w:rPr>
        <w:t>head</w:t>
      </w:r>
      <w:proofErr w:type="spellEnd"/>
      <w:r w:rsidRPr="00B87165">
        <w:rPr>
          <w:b/>
          <w:i/>
          <w:lang w:val="lt-LT"/>
        </w:rPr>
        <w:t xml:space="preserve"> </w:t>
      </w:r>
      <w:proofErr w:type="spellStart"/>
      <w:r w:rsidRPr="00B87165">
        <w:rPr>
          <w:b/>
          <w:i/>
          <w:lang w:val="lt-LT"/>
        </w:rPr>
        <w:t>comparison</w:t>
      </w:r>
      <w:proofErr w:type="spellEnd"/>
      <w:r w:rsidRPr="00B87165">
        <w:rPr>
          <w:b/>
          <w:i/>
          <w:lang w:val="lt-LT"/>
        </w:rPr>
        <w:t xml:space="preserve"> </w:t>
      </w:r>
      <w:proofErr w:type="spellStart"/>
      <w:r w:rsidRPr="00B87165">
        <w:rPr>
          <w:b/>
          <w:i/>
          <w:lang w:val="lt-LT"/>
        </w:rPr>
        <w:t>between</w:t>
      </w:r>
      <w:proofErr w:type="spellEnd"/>
      <w:r w:rsidRPr="00B87165">
        <w:rPr>
          <w:b/>
          <w:i/>
          <w:lang w:val="lt-LT"/>
        </w:rPr>
        <w:t xml:space="preserve"> </w:t>
      </w:r>
      <w:proofErr w:type="spellStart"/>
      <w:r w:rsidRPr="00B87165">
        <w:rPr>
          <w:b/>
          <w:i/>
          <w:lang w:val="lt-LT"/>
        </w:rPr>
        <w:t>two</w:t>
      </w:r>
      <w:proofErr w:type="spellEnd"/>
      <w:r w:rsidRPr="00B87165">
        <w:rPr>
          <w:b/>
          <w:i/>
          <w:lang w:val="lt-LT"/>
        </w:rPr>
        <w:t xml:space="preserve"> </w:t>
      </w:r>
      <w:proofErr w:type="spellStart"/>
      <w:r w:rsidRPr="00B87165">
        <w:rPr>
          <w:b/>
          <w:i/>
          <w:lang w:val="lt-LT"/>
        </w:rPr>
        <w:t>screening</w:t>
      </w:r>
      <w:proofErr w:type="spellEnd"/>
      <w:r w:rsidRPr="00B87165">
        <w:rPr>
          <w:b/>
          <w:i/>
          <w:lang w:val="lt-LT"/>
        </w:rPr>
        <w:t xml:space="preserve"> </w:t>
      </w:r>
      <w:proofErr w:type="spellStart"/>
      <w:r w:rsidRPr="00B87165">
        <w:rPr>
          <w:b/>
          <w:i/>
          <w:lang w:val="lt-LT"/>
        </w:rPr>
        <w:t>systems</w:t>
      </w:r>
      <w:proofErr w:type="spellEnd"/>
      <w:r w:rsidRPr="00B87165">
        <w:rPr>
          <w:b/>
          <w:i/>
          <w:lang w:val="lt-LT"/>
        </w:rPr>
        <w:t xml:space="preserve"> </w:t>
      </w:r>
      <w:proofErr w:type="spellStart"/>
      <w:r w:rsidRPr="00B87165">
        <w:rPr>
          <w:b/>
          <w:i/>
          <w:lang w:val="lt-LT"/>
        </w:rPr>
        <w:t>for</w:t>
      </w:r>
      <w:proofErr w:type="spellEnd"/>
      <w:r w:rsidRPr="00B87165">
        <w:rPr>
          <w:b/>
          <w:i/>
          <w:lang w:val="lt-LT"/>
        </w:rPr>
        <w:t xml:space="preserve"> </w:t>
      </w:r>
      <w:proofErr w:type="spellStart"/>
      <w:r w:rsidRPr="00B87165">
        <w:rPr>
          <w:b/>
          <w:i/>
          <w:lang w:val="lt-LT"/>
        </w:rPr>
        <w:t>HBsAG</w:t>
      </w:r>
      <w:proofErr w:type="spellEnd"/>
      <w:r w:rsidRPr="00B87165">
        <w:rPr>
          <w:b/>
          <w:i/>
          <w:lang w:val="lt-LT"/>
        </w:rPr>
        <w:t xml:space="preserve">, </w:t>
      </w:r>
      <w:proofErr w:type="spellStart"/>
      <w:r w:rsidRPr="00B87165">
        <w:rPr>
          <w:b/>
          <w:i/>
          <w:lang w:val="lt-LT"/>
        </w:rPr>
        <w:t>anti-HBc</w:t>
      </w:r>
      <w:proofErr w:type="spellEnd"/>
      <w:r w:rsidRPr="00B87165">
        <w:rPr>
          <w:b/>
          <w:i/>
          <w:lang w:val="lt-LT"/>
        </w:rPr>
        <w:t xml:space="preserve">, </w:t>
      </w:r>
      <w:proofErr w:type="spellStart"/>
      <w:r w:rsidRPr="00B87165">
        <w:rPr>
          <w:b/>
          <w:i/>
          <w:lang w:val="lt-LT"/>
        </w:rPr>
        <w:t>anti</w:t>
      </w:r>
      <w:proofErr w:type="spellEnd"/>
      <w:r w:rsidRPr="00B87165">
        <w:rPr>
          <w:b/>
          <w:i/>
          <w:lang w:val="lt-LT"/>
        </w:rPr>
        <w:t xml:space="preserve">-HCV </w:t>
      </w:r>
      <w:proofErr w:type="spellStart"/>
      <w:r w:rsidRPr="00B87165">
        <w:rPr>
          <w:b/>
          <w:i/>
          <w:lang w:val="lt-LT"/>
        </w:rPr>
        <w:t>and</w:t>
      </w:r>
      <w:proofErr w:type="spellEnd"/>
      <w:r w:rsidRPr="00B87165">
        <w:rPr>
          <w:b/>
          <w:i/>
          <w:lang w:val="lt-LT"/>
        </w:rPr>
        <w:t xml:space="preserve"> HIV </w:t>
      </w:r>
      <w:proofErr w:type="spellStart"/>
      <w:r w:rsidRPr="00B87165">
        <w:rPr>
          <w:b/>
          <w:i/>
          <w:lang w:val="lt-LT"/>
        </w:rPr>
        <w:t>combination</w:t>
      </w:r>
      <w:proofErr w:type="spellEnd"/>
      <w:r w:rsidRPr="00B87165">
        <w:rPr>
          <w:b/>
          <w:i/>
          <w:lang w:val="lt-LT"/>
        </w:rPr>
        <w:t xml:space="preserve"> </w:t>
      </w:r>
      <w:proofErr w:type="spellStart"/>
      <w:r w:rsidRPr="00B87165">
        <w:rPr>
          <w:b/>
          <w:i/>
          <w:lang w:val="lt-LT"/>
        </w:rPr>
        <w:t>immunoassays</w:t>
      </w:r>
      <w:proofErr w:type="spellEnd"/>
      <w:r w:rsidRPr="00B87165">
        <w:rPr>
          <w:b/>
          <w:i/>
          <w:lang w:val="lt-LT"/>
        </w:rPr>
        <w:t xml:space="preserve"> </w:t>
      </w:r>
      <w:proofErr w:type="spellStart"/>
      <w:r w:rsidRPr="00B87165">
        <w:rPr>
          <w:b/>
          <w:i/>
          <w:lang w:val="lt-LT"/>
        </w:rPr>
        <w:t>in</w:t>
      </w:r>
      <w:proofErr w:type="spellEnd"/>
      <w:r w:rsidRPr="00B87165">
        <w:rPr>
          <w:b/>
          <w:i/>
          <w:lang w:val="lt-LT"/>
        </w:rPr>
        <w:t xml:space="preserve"> </w:t>
      </w:r>
      <w:proofErr w:type="spellStart"/>
      <w:r w:rsidRPr="00B87165">
        <w:rPr>
          <w:b/>
          <w:i/>
          <w:lang w:val="lt-LT"/>
        </w:rPr>
        <w:t>an</w:t>
      </w:r>
      <w:proofErr w:type="spellEnd"/>
      <w:r w:rsidRPr="00B87165">
        <w:rPr>
          <w:b/>
          <w:i/>
          <w:lang w:val="lt-LT"/>
        </w:rPr>
        <w:t xml:space="preserve"> </w:t>
      </w:r>
      <w:proofErr w:type="spellStart"/>
      <w:r w:rsidRPr="00B87165">
        <w:rPr>
          <w:b/>
          <w:i/>
          <w:lang w:val="lt-LT"/>
        </w:rPr>
        <w:t>international</w:t>
      </w:r>
      <w:proofErr w:type="spellEnd"/>
      <w:r w:rsidRPr="00B87165">
        <w:rPr>
          <w:b/>
          <w:i/>
          <w:lang w:val="lt-LT"/>
        </w:rPr>
        <w:t xml:space="preserve">, </w:t>
      </w:r>
      <w:proofErr w:type="spellStart"/>
      <w:r w:rsidRPr="00B87165">
        <w:rPr>
          <w:b/>
          <w:i/>
          <w:lang w:val="lt-LT"/>
        </w:rPr>
        <w:t>multicentre</w:t>
      </w:r>
      <w:proofErr w:type="spellEnd"/>
      <w:r w:rsidRPr="00B87165">
        <w:rPr>
          <w:b/>
          <w:i/>
          <w:lang w:val="lt-LT"/>
        </w:rPr>
        <w:t xml:space="preserve"> </w:t>
      </w:r>
      <w:proofErr w:type="spellStart"/>
      <w:r w:rsidRPr="00B87165">
        <w:rPr>
          <w:b/>
          <w:i/>
          <w:lang w:val="lt-LT"/>
        </w:rPr>
        <w:t>evaluation</w:t>
      </w:r>
      <w:proofErr w:type="spellEnd"/>
      <w:r w:rsidRPr="00B87165">
        <w:rPr>
          <w:b/>
          <w:i/>
          <w:lang w:val="lt-LT"/>
        </w:rPr>
        <w:t xml:space="preserve"> </w:t>
      </w:r>
      <w:proofErr w:type="spellStart"/>
      <w:r w:rsidRPr="00B87165">
        <w:rPr>
          <w:b/>
          <w:i/>
          <w:lang w:val="lt-LT"/>
        </w:rPr>
        <w:t>study</w:t>
      </w:r>
      <w:proofErr w:type="spellEnd"/>
      <w:r w:rsidRPr="00B87165">
        <w:rPr>
          <w:b/>
          <w:i/>
          <w:lang w:val="lt-LT"/>
        </w:rPr>
        <w:t>.</w:t>
      </w:r>
      <w:r w:rsidRPr="00B87165">
        <w:rPr>
          <w:i/>
          <w:lang w:val="lt-LT"/>
        </w:rPr>
        <w:t xml:space="preserve"> </w:t>
      </w:r>
      <w:r w:rsidRPr="00B87165">
        <w:rPr>
          <w:lang w:val="lt-LT"/>
        </w:rPr>
        <w:t xml:space="preserve">M. </w:t>
      </w:r>
      <w:proofErr w:type="spellStart"/>
      <w:r w:rsidRPr="00B87165">
        <w:rPr>
          <w:lang w:val="lt-LT"/>
        </w:rPr>
        <w:t>Schmidt</w:t>
      </w:r>
      <w:proofErr w:type="spellEnd"/>
      <w:r w:rsidRPr="00B87165">
        <w:rPr>
          <w:lang w:val="lt-LT"/>
        </w:rPr>
        <w:t xml:space="preserve">, A. </w:t>
      </w:r>
      <w:proofErr w:type="spellStart"/>
      <w:r w:rsidRPr="00B87165">
        <w:rPr>
          <w:lang w:val="lt-LT"/>
        </w:rPr>
        <w:t>Jimenez</w:t>
      </w:r>
      <w:proofErr w:type="spellEnd"/>
      <w:r w:rsidRPr="00B87165">
        <w:rPr>
          <w:lang w:val="lt-LT"/>
        </w:rPr>
        <w:t xml:space="preserve">, A. </w:t>
      </w:r>
      <w:proofErr w:type="spellStart"/>
      <w:r w:rsidRPr="00B87165">
        <w:rPr>
          <w:lang w:val="lt-LT"/>
        </w:rPr>
        <w:t>Mühlbacher</w:t>
      </w:r>
      <w:proofErr w:type="spellEnd"/>
      <w:r w:rsidRPr="00B87165">
        <w:rPr>
          <w:lang w:val="lt-LT"/>
        </w:rPr>
        <w:t xml:space="preserve">, S. </w:t>
      </w:r>
      <w:proofErr w:type="spellStart"/>
      <w:r w:rsidRPr="00B87165">
        <w:rPr>
          <w:lang w:val="lt-LT"/>
        </w:rPr>
        <w:t>Oota</w:t>
      </w:r>
      <w:proofErr w:type="spellEnd"/>
      <w:r w:rsidRPr="00B87165">
        <w:rPr>
          <w:lang w:val="lt-LT"/>
        </w:rPr>
        <w:t xml:space="preserve">, L. </w:t>
      </w:r>
      <w:proofErr w:type="spellStart"/>
      <w:r w:rsidRPr="00B87165">
        <w:rPr>
          <w:lang w:val="lt-LT"/>
        </w:rPr>
        <w:t>Blanco</w:t>
      </w:r>
      <w:proofErr w:type="spellEnd"/>
      <w:r w:rsidRPr="00B87165">
        <w:rPr>
          <w:lang w:val="lt-LT"/>
        </w:rPr>
        <w:t xml:space="preserve">, T. </w:t>
      </w:r>
      <w:proofErr w:type="spellStart"/>
      <w:r w:rsidRPr="00B87165">
        <w:rPr>
          <w:lang w:val="lt-LT"/>
        </w:rPr>
        <w:t>Sakuldamrongpanich</w:t>
      </w:r>
      <w:proofErr w:type="spellEnd"/>
      <w:r w:rsidRPr="00B87165">
        <w:rPr>
          <w:lang w:val="lt-LT"/>
        </w:rPr>
        <w:t xml:space="preserve">, H. </w:t>
      </w:r>
      <w:proofErr w:type="spellStart"/>
      <w:r w:rsidRPr="00B87165">
        <w:rPr>
          <w:lang w:val="lt-LT"/>
        </w:rPr>
        <w:t>Schennach</w:t>
      </w:r>
      <w:proofErr w:type="spellEnd"/>
      <w:r w:rsidRPr="00B87165">
        <w:rPr>
          <w:lang w:val="lt-LT"/>
        </w:rPr>
        <w:t xml:space="preserve">, </w:t>
      </w:r>
      <w:proofErr w:type="spellStart"/>
      <w:r w:rsidRPr="00B87165">
        <w:rPr>
          <w:lang w:val="lt-LT"/>
        </w:rPr>
        <w:t>E.Seifried</w:t>
      </w:r>
      <w:proofErr w:type="spellEnd"/>
      <w:r w:rsidRPr="00B87165">
        <w:rPr>
          <w:lang w:val="lt-LT"/>
        </w:rPr>
        <w:t xml:space="preserve">: </w:t>
      </w:r>
      <w:hyperlink r:id="rId14">
        <w:r w:rsidRPr="00B87165">
          <w:rPr>
            <w:color w:val="1155CC"/>
            <w:u w:val="single"/>
            <w:lang w:val="lt-LT"/>
          </w:rPr>
          <w:t>https://pubmed.ncbi.nlm.nih.gov/25899479/</w:t>
        </w:r>
      </w:hyperlink>
    </w:p>
    <w:p w:rsidR="00650943" w:rsidRPr="00B87165" w:rsidRDefault="004933CD">
      <w:pPr>
        <w:numPr>
          <w:ilvl w:val="0"/>
          <w:numId w:val="1"/>
        </w:numPr>
        <w:spacing w:after="0"/>
        <w:rPr>
          <w:lang w:val="lt-LT"/>
        </w:rPr>
      </w:pPr>
      <w:proofErr w:type="spellStart"/>
      <w:r w:rsidRPr="00B87165">
        <w:rPr>
          <w:b/>
          <w:i/>
          <w:lang w:val="lt-LT"/>
        </w:rPr>
        <w:t>Head</w:t>
      </w:r>
      <w:proofErr w:type="spellEnd"/>
      <w:r w:rsidRPr="00B87165">
        <w:rPr>
          <w:b/>
          <w:i/>
          <w:lang w:val="lt-LT"/>
        </w:rPr>
        <w:t>-to-</w:t>
      </w:r>
      <w:proofErr w:type="spellStart"/>
      <w:r w:rsidRPr="00B87165">
        <w:rPr>
          <w:b/>
          <w:i/>
          <w:lang w:val="lt-LT"/>
        </w:rPr>
        <w:t>head</w:t>
      </w:r>
      <w:proofErr w:type="spellEnd"/>
      <w:r w:rsidRPr="00B87165">
        <w:rPr>
          <w:b/>
          <w:i/>
          <w:lang w:val="lt-LT"/>
        </w:rPr>
        <w:t xml:space="preserve"> </w:t>
      </w:r>
      <w:proofErr w:type="spellStart"/>
      <w:r w:rsidRPr="00B87165">
        <w:rPr>
          <w:b/>
          <w:i/>
          <w:lang w:val="lt-LT"/>
        </w:rPr>
        <w:t>comparison</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Enzyme</w:t>
      </w:r>
      <w:proofErr w:type="spellEnd"/>
      <w:r w:rsidRPr="00B87165">
        <w:rPr>
          <w:b/>
          <w:i/>
          <w:lang w:val="lt-LT"/>
        </w:rPr>
        <w:t xml:space="preserve"> </w:t>
      </w:r>
      <w:proofErr w:type="spellStart"/>
      <w:r w:rsidRPr="00B87165">
        <w:rPr>
          <w:b/>
          <w:i/>
          <w:lang w:val="lt-LT"/>
        </w:rPr>
        <w:t>Linked</w:t>
      </w:r>
      <w:proofErr w:type="spellEnd"/>
      <w:r w:rsidRPr="00B87165">
        <w:rPr>
          <w:b/>
          <w:i/>
          <w:lang w:val="lt-LT"/>
        </w:rPr>
        <w:t xml:space="preserve"> </w:t>
      </w:r>
      <w:proofErr w:type="spellStart"/>
      <w:r w:rsidRPr="00B87165">
        <w:rPr>
          <w:b/>
          <w:i/>
          <w:lang w:val="lt-LT"/>
        </w:rPr>
        <w:t>Immunosorbent</w:t>
      </w:r>
      <w:proofErr w:type="spellEnd"/>
      <w:r w:rsidRPr="00B87165">
        <w:rPr>
          <w:b/>
          <w:i/>
          <w:lang w:val="lt-LT"/>
        </w:rPr>
        <w:t xml:space="preserve"> </w:t>
      </w:r>
      <w:proofErr w:type="spellStart"/>
      <w:r w:rsidRPr="00B87165">
        <w:rPr>
          <w:b/>
          <w:i/>
          <w:lang w:val="lt-LT"/>
        </w:rPr>
        <w:t>Assay</w:t>
      </w:r>
      <w:proofErr w:type="spellEnd"/>
      <w:r w:rsidRPr="00B87165">
        <w:rPr>
          <w:b/>
          <w:i/>
          <w:lang w:val="lt-LT"/>
        </w:rPr>
        <w:t xml:space="preserve"> (ELISA) </w:t>
      </w:r>
      <w:proofErr w:type="spellStart"/>
      <w:r w:rsidRPr="00B87165">
        <w:rPr>
          <w:b/>
          <w:i/>
          <w:lang w:val="lt-LT"/>
        </w:rPr>
        <w:t>and</w:t>
      </w:r>
      <w:proofErr w:type="spellEnd"/>
      <w:r w:rsidRPr="00B87165">
        <w:rPr>
          <w:b/>
          <w:i/>
          <w:lang w:val="lt-LT"/>
        </w:rPr>
        <w:t xml:space="preserve"> </w:t>
      </w:r>
      <w:proofErr w:type="spellStart"/>
      <w:r w:rsidRPr="00B87165">
        <w:rPr>
          <w:b/>
          <w:i/>
          <w:lang w:val="lt-LT"/>
        </w:rPr>
        <w:t>Enhanced</w:t>
      </w:r>
      <w:proofErr w:type="spellEnd"/>
      <w:r w:rsidRPr="00B87165">
        <w:rPr>
          <w:b/>
          <w:i/>
          <w:lang w:val="lt-LT"/>
        </w:rPr>
        <w:t xml:space="preserve"> </w:t>
      </w:r>
      <w:proofErr w:type="spellStart"/>
      <w:r w:rsidRPr="00B87165">
        <w:rPr>
          <w:b/>
          <w:i/>
          <w:lang w:val="lt-LT"/>
        </w:rPr>
        <w:t>Chemiluminescence</w:t>
      </w:r>
      <w:proofErr w:type="spellEnd"/>
      <w:r w:rsidRPr="00B87165">
        <w:rPr>
          <w:b/>
          <w:i/>
          <w:lang w:val="lt-LT"/>
        </w:rPr>
        <w:t xml:space="preserve"> </w:t>
      </w:r>
      <w:proofErr w:type="spellStart"/>
      <w:r w:rsidRPr="00B87165">
        <w:rPr>
          <w:b/>
          <w:i/>
          <w:lang w:val="lt-LT"/>
        </w:rPr>
        <w:t>Immunoa</w:t>
      </w:r>
      <w:r w:rsidRPr="00B87165">
        <w:rPr>
          <w:b/>
          <w:i/>
          <w:lang w:val="lt-LT"/>
        </w:rPr>
        <w:t>ssay</w:t>
      </w:r>
      <w:proofErr w:type="spellEnd"/>
      <w:r w:rsidRPr="00B87165">
        <w:rPr>
          <w:b/>
          <w:i/>
          <w:lang w:val="lt-LT"/>
        </w:rPr>
        <w:t xml:space="preserve"> (ECLIA) </w:t>
      </w:r>
      <w:proofErr w:type="spellStart"/>
      <w:r w:rsidRPr="00B87165">
        <w:rPr>
          <w:b/>
          <w:i/>
          <w:lang w:val="lt-LT"/>
        </w:rPr>
        <w:t>for</w:t>
      </w:r>
      <w:proofErr w:type="spellEnd"/>
      <w:r w:rsidRPr="00B87165">
        <w:rPr>
          <w:b/>
          <w:i/>
          <w:lang w:val="lt-LT"/>
        </w:rPr>
        <w:t xml:space="preserve"> </w:t>
      </w:r>
      <w:proofErr w:type="spellStart"/>
      <w:r w:rsidRPr="00B87165">
        <w:rPr>
          <w:b/>
          <w:i/>
          <w:lang w:val="lt-LT"/>
        </w:rPr>
        <w:t>the</w:t>
      </w:r>
      <w:proofErr w:type="spellEnd"/>
      <w:r w:rsidRPr="00B87165">
        <w:rPr>
          <w:b/>
          <w:i/>
          <w:lang w:val="lt-LT"/>
        </w:rPr>
        <w:t xml:space="preserve"> </w:t>
      </w:r>
      <w:proofErr w:type="spellStart"/>
      <w:r w:rsidRPr="00B87165">
        <w:rPr>
          <w:b/>
          <w:i/>
          <w:lang w:val="lt-LT"/>
        </w:rPr>
        <w:t>detection</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Transfusion</w:t>
      </w:r>
      <w:proofErr w:type="spellEnd"/>
      <w:r w:rsidRPr="00B87165">
        <w:rPr>
          <w:b/>
          <w:i/>
          <w:lang w:val="lt-LT"/>
        </w:rPr>
        <w:t xml:space="preserve"> </w:t>
      </w:r>
      <w:proofErr w:type="spellStart"/>
      <w:r w:rsidRPr="00B87165">
        <w:rPr>
          <w:b/>
          <w:i/>
          <w:lang w:val="lt-LT"/>
        </w:rPr>
        <w:t>Transmitted</w:t>
      </w:r>
      <w:proofErr w:type="spellEnd"/>
      <w:r w:rsidRPr="00B87165">
        <w:rPr>
          <w:b/>
          <w:i/>
          <w:lang w:val="lt-LT"/>
        </w:rPr>
        <w:t xml:space="preserve"> </w:t>
      </w:r>
      <w:proofErr w:type="spellStart"/>
      <w:r w:rsidRPr="00B87165">
        <w:rPr>
          <w:b/>
          <w:i/>
          <w:lang w:val="lt-LT"/>
        </w:rPr>
        <w:t>Disease</w:t>
      </w:r>
      <w:proofErr w:type="spellEnd"/>
      <w:r w:rsidRPr="00B87165">
        <w:rPr>
          <w:b/>
          <w:i/>
          <w:lang w:val="lt-LT"/>
        </w:rPr>
        <w:t xml:space="preserve"> (TTD) </w:t>
      </w:r>
      <w:proofErr w:type="spellStart"/>
      <w:r w:rsidRPr="00B87165">
        <w:rPr>
          <w:b/>
          <w:i/>
          <w:lang w:val="lt-LT"/>
        </w:rPr>
        <w:t>Markers</w:t>
      </w:r>
      <w:proofErr w:type="spellEnd"/>
      <w:r w:rsidRPr="00B87165">
        <w:rPr>
          <w:b/>
          <w:i/>
          <w:lang w:val="lt-LT"/>
        </w:rPr>
        <w:t xml:space="preserve">; HIV, HCV </w:t>
      </w:r>
      <w:proofErr w:type="spellStart"/>
      <w:r w:rsidRPr="00B87165">
        <w:rPr>
          <w:b/>
          <w:i/>
          <w:lang w:val="lt-LT"/>
        </w:rPr>
        <w:t>and</w:t>
      </w:r>
      <w:proofErr w:type="spellEnd"/>
      <w:r w:rsidRPr="00B87165">
        <w:rPr>
          <w:b/>
          <w:i/>
          <w:lang w:val="lt-LT"/>
        </w:rPr>
        <w:t xml:space="preserve"> HBV </w:t>
      </w:r>
      <w:proofErr w:type="spellStart"/>
      <w:r w:rsidRPr="00B87165">
        <w:rPr>
          <w:b/>
          <w:i/>
          <w:lang w:val="lt-LT"/>
        </w:rPr>
        <w:t>in</w:t>
      </w:r>
      <w:proofErr w:type="spellEnd"/>
      <w:r w:rsidRPr="00B87165">
        <w:rPr>
          <w:b/>
          <w:i/>
          <w:lang w:val="lt-LT"/>
        </w:rPr>
        <w:t xml:space="preserve"> </w:t>
      </w:r>
      <w:proofErr w:type="spellStart"/>
      <w:r w:rsidRPr="00B87165">
        <w:rPr>
          <w:b/>
          <w:i/>
          <w:lang w:val="lt-LT"/>
        </w:rPr>
        <w:t>blood</w:t>
      </w:r>
      <w:proofErr w:type="spellEnd"/>
      <w:r w:rsidRPr="00B87165">
        <w:rPr>
          <w:b/>
          <w:i/>
          <w:lang w:val="lt-LT"/>
        </w:rPr>
        <w:t xml:space="preserve"> </w:t>
      </w:r>
      <w:proofErr w:type="spellStart"/>
      <w:r w:rsidRPr="00B87165">
        <w:rPr>
          <w:b/>
          <w:i/>
          <w:lang w:val="lt-LT"/>
        </w:rPr>
        <w:t>donors</w:t>
      </w:r>
      <w:proofErr w:type="spellEnd"/>
      <w:r w:rsidRPr="00B87165">
        <w:rPr>
          <w:b/>
          <w:i/>
          <w:lang w:val="lt-LT"/>
        </w:rPr>
        <w:t xml:space="preserve">, </w:t>
      </w:r>
      <w:proofErr w:type="spellStart"/>
      <w:r w:rsidRPr="00B87165">
        <w:rPr>
          <w:b/>
          <w:i/>
          <w:lang w:val="lt-LT"/>
        </w:rPr>
        <w:t>in</w:t>
      </w:r>
      <w:proofErr w:type="spellEnd"/>
      <w:r w:rsidRPr="00B87165">
        <w:rPr>
          <w:b/>
          <w:i/>
          <w:lang w:val="lt-LT"/>
        </w:rPr>
        <w:t xml:space="preserve"> </w:t>
      </w:r>
      <w:proofErr w:type="spellStart"/>
      <w:r w:rsidRPr="00B87165">
        <w:rPr>
          <w:b/>
          <w:i/>
          <w:lang w:val="lt-LT"/>
        </w:rPr>
        <w:t>India</w:t>
      </w:r>
      <w:proofErr w:type="spellEnd"/>
      <w:r w:rsidRPr="00B87165">
        <w:rPr>
          <w:lang w:val="lt-LT"/>
        </w:rPr>
        <w:t xml:space="preserve">. </w:t>
      </w:r>
      <w:proofErr w:type="spellStart"/>
      <w:r w:rsidRPr="00B87165">
        <w:rPr>
          <w:lang w:val="lt-LT"/>
        </w:rPr>
        <w:t>Aseem</w:t>
      </w:r>
      <w:proofErr w:type="spellEnd"/>
      <w:r w:rsidRPr="00B87165">
        <w:rPr>
          <w:lang w:val="lt-LT"/>
        </w:rPr>
        <w:t xml:space="preserve"> </w:t>
      </w:r>
      <w:proofErr w:type="spellStart"/>
      <w:r w:rsidRPr="00B87165">
        <w:rPr>
          <w:lang w:val="lt-LT"/>
        </w:rPr>
        <w:t>Kumar</w:t>
      </w:r>
      <w:proofErr w:type="spellEnd"/>
      <w:r w:rsidRPr="00B87165">
        <w:rPr>
          <w:lang w:val="lt-LT"/>
        </w:rPr>
        <w:t xml:space="preserve"> </w:t>
      </w:r>
      <w:proofErr w:type="spellStart"/>
      <w:r w:rsidRPr="00B87165">
        <w:rPr>
          <w:lang w:val="lt-LT"/>
        </w:rPr>
        <w:t>Tiwari</w:t>
      </w:r>
      <w:proofErr w:type="spellEnd"/>
      <w:r w:rsidRPr="00B87165">
        <w:rPr>
          <w:lang w:val="lt-LT"/>
        </w:rPr>
        <w:t xml:space="preserve">, </w:t>
      </w:r>
      <w:proofErr w:type="spellStart"/>
      <w:r w:rsidRPr="00B87165">
        <w:rPr>
          <w:lang w:val="lt-LT"/>
        </w:rPr>
        <w:t>Anand</w:t>
      </w:r>
      <w:proofErr w:type="spellEnd"/>
      <w:r w:rsidRPr="00B87165">
        <w:rPr>
          <w:lang w:val="lt-LT"/>
        </w:rPr>
        <w:t xml:space="preserve"> </w:t>
      </w:r>
      <w:proofErr w:type="spellStart"/>
      <w:r w:rsidRPr="00B87165">
        <w:rPr>
          <w:lang w:val="lt-LT"/>
        </w:rPr>
        <w:t>Prakash</w:t>
      </w:r>
      <w:proofErr w:type="spellEnd"/>
      <w:r w:rsidRPr="00B87165">
        <w:rPr>
          <w:lang w:val="lt-LT"/>
        </w:rPr>
        <w:t xml:space="preserve"> </w:t>
      </w:r>
      <w:proofErr w:type="spellStart"/>
      <w:r w:rsidRPr="00B87165">
        <w:rPr>
          <w:lang w:val="lt-LT"/>
        </w:rPr>
        <w:t>Upadhyay</w:t>
      </w:r>
      <w:proofErr w:type="spellEnd"/>
      <w:r w:rsidRPr="00B87165">
        <w:rPr>
          <w:lang w:val="lt-LT"/>
        </w:rPr>
        <w:t xml:space="preserve">, </w:t>
      </w:r>
      <w:proofErr w:type="spellStart"/>
      <w:r w:rsidRPr="00B87165">
        <w:rPr>
          <w:lang w:val="lt-LT"/>
        </w:rPr>
        <w:t>Dinesh</w:t>
      </w:r>
      <w:proofErr w:type="spellEnd"/>
      <w:r w:rsidRPr="00B87165">
        <w:rPr>
          <w:lang w:val="lt-LT"/>
        </w:rPr>
        <w:t xml:space="preserve"> </w:t>
      </w:r>
      <w:proofErr w:type="spellStart"/>
      <w:r w:rsidRPr="00B87165">
        <w:rPr>
          <w:lang w:val="lt-LT"/>
        </w:rPr>
        <w:t>Arora</w:t>
      </w:r>
      <w:proofErr w:type="spellEnd"/>
      <w:r w:rsidRPr="00B87165">
        <w:rPr>
          <w:lang w:val="lt-LT"/>
        </w:rPr>
        <w:t xml:space="preserve">, </w:t>
      </w:r>
      <w:proofErr w:type="spellStart"/>
      <w:r w:rsidRPr="00B87165">
        <w:rPr>
          <w:lang w:val="lt-LT"/>
        </w:rPr>
        <w:t>Tina</w:t>
      </w:r>
      <w:proofErr w:type="spellEnd"/>
      <w:r w:rsidRPr="00B87165">
        <w:rPr>
          <w:lang w:val="lt-LT"/>
        </w:rPr>
        <w:t xml:space="preserve"> </w:t>
      </w:r>
      <w:proofErr w:type="spellStart"/>
      <w:r w:rsidRPr="00B87165">
        <w:rPr>
          <w:lang w:val="lt-LT"/>
        </w:rPr>
        <w:t>Wadhwa</w:t>
      </w:r>
      <w:proofErr w:type="spellEnd"/>
      <w:r w:rsidRPr="00B87165">
        <w:rPr>
          <w:lang w:val="lt-LT"/>
        </w:rPr>
        <w:t xml:space="preserve">, </w:t>
      </w:r>
      <w:proofErr w:type="spellStart"/>
      <w:r w:rsidRPr="00B87165">
        <w:rPr>
          <w:lang w:val="lt-LT"/>
        </w:rPr>
        <w:t>Geet</w:t>
      </w:r>
      <w:proofErr w:type="spellEnd"/>
      <w:r w:rsidRPr="00B87165">
        <w:rPr>
          <w:lang w:val="lt-LT"/>
        </w:rPr>
        <w:t xml:space="preserve"> </w:t>
      </w:r>
      <w:proofErr w:type="spellStart"/>
      <w:r w:rsidRPr="00B87165">
        <w:rPr>
          <w:lang w:val="lt-LT"/>
        </w:rPr>
        <w:t>Aggarwal</w:t>
      </w:r>
      <w:proofErr w:type="spellEnd"/>
      <w:r w:rsidRPr="00B87165">
        <w:rPr>
          <w:lang w:val="lt-LT"/>
        </w:rPr>
        <w:t xml:space="preserve">, </w:t>
      </w:r>
      <w:proofErr w:type="spellStart"/>
      <w:r w:rsidRPr="00B87165">
        <w:rPr>
          <w:lang w:val="lt-LT"/>
        </w:rPr>
        <w:t>Swati</w:t>
      </w:r>
      <w:proofErr w:type="spellEnd"/>
      <w:r w:rsidRPr="00B87165">
        <w:rPr>
          <w:lang w:val="lt-LT"/>
        </w:rPr>
        <w:t xml:space="preserve"> </w:t>
      </w:r>
      <w:proofErr w:type="spellStart"/>
      <w:r w:rsidRPr="00B87165">
        <w:rPr>
          <w:lang w:val="lt-LT"/>
        </w:rPr>
        <w:t>Pabbi</w:t>
      </w:r>
      <w:proofErr w:type="spellEnd"/>
      <w:r w:rsidRPr="00B87165">
        <w:rPr>
          <w:lang w:val="lt-LT"/>
        </w:rPr>
        <w:t xml:space="preserve">, </w:t>
      </w:r>
      <w:proofErr w:type="spellStart"/>
      <w:r w:rsidRPr="00B87165">
        <w:rPr>
          <w:lang w:val="lt-LT"/>
        </w:rPr>
        <w:t>Aanchal</w:t>
      </w:r>
      <w:proofErr w:type="spellEnd"/>
      <w:r w:rsidRPr="00B87165">
        <w:rPr>
          <w:lang w:val="lt-LT"/>
        </w:rPr>
        <w:t xml:space="preserve"> </w:t>
      </w:r>
      <w:proofErr w:type="spellStart"/>
      <w:r w:rsidRPr="00B87165">
        <w:rPr>
          <w:lang w:val="lt-LT"/>
        </w:rPr>
        <w:t>Sunil</w:t>
      </w:r>
      <w:proofErr w:type="spellEnd"/>
      <w:r w:rsidRPr="00B87165">
        <w:rPr>
          <w:lang w:val="lt-LT"/>
        </w:rPr>
        <w:t xml:space="preserve"> </w:t>
      </w:r>
      <w:proofErr w:type="spellStart"/>
      <w:r w:rsidRPr="00B87165">
        <w:rPr>
          <w:lang w:val="lt-LT"/>
        </w:rPr>
        <w:t>Luthra</w:t>
      </w:r>
      <w:proofErr w:type="spellEnd"/>
      <w:r w:rsidRPr="00B87165">
        <w:rPr>
          <w:lang w:val="lt-LT"/>
        </w:rPr>
        <w:t xml:space="preserve">, </w:t>
      </w:r>
      <w:proofErr w:type="spellStart"/>
      <w:r w:rsidRPr="00B87165">
        <w:rPr>
          <w:lang w:val="lt-LT"/>
        </w:rPr>
        <w:t>Sunder</w:t>
      </w:r>
      <w:proofErr w:type="spellEnd"/>
      <w:r w:rsidRPr="00B87165">
        <w:rPr>
          <w:lang w:val="lt-LT"/>
        </w:rPr>
        <w:t xml:space="preserve"> </w:t>
      </w:r>
      <w:proofErr w:type="spellStart"/>
      <w:r w:rsidRPr="00B87165">
        <w:rPr>
          <w:lang w:val="lt-LT"/>
        </w:rPr>
        <w:t>Sin</w:t>
      </w:r>
      <w:r w:rsidRPr="00B87165">
        <w:rPr>
          <w:lang w:val="lt-LT"/>
        </w:rPr>
        <w:t>gh</w:t>
      </w:r>
      <w:proofErr w:type="spellEnd"/>
      <w:r w:rsidRPr="00B87165">
        <w:rPr>
          <w:lang w:val="lt-LT"/>
        </w:rPr>
        <w:t xml:space="preserve"> </w:t>
      </w:r>
      <w:proofErr w:type="spellStart"/>
      <w:r w:rsidRPr="00B87165">
        <w:rPr>
          <w:lang w:val="lt-LT"/>
        </w:rPr>
        <w:t>Rawat</w:t>
      </w:r>
      <w:proofErr w:type="spellEnd"/>
      <w:r w:rsidRPr="00B87165">
        <w:rPr>
          <w:lang w:val="lt-LT"/>
        </w:rPr>
        <w:t xml:space="preserve">: </w:t>
      </w:r>
      <w:hyperlink r:id="rId15">
        <w:r w:rsidRPr="00B87165">
          <w:rPr>
            <w:color w:val="1155CC"/>
            <w:u w:val="single"/>
            <w:lang w:val="lt-LT"/>
          </w:rPr>
          <w:t>https://pubmed.ncbi.nlm.nih.gov/32860798/</w:t>
        </w:r>
      </w:hyperlink>
    </w:p>
    <w:p w:rsidR="00650943" w:rsidRPr="00B87165" w:rsidRDefault="004933CD">
      <w:pPr>
        <w:numPr>
          <w:ilvl w:val="0"/>
          <w:numId w:val="1"/>
        </w:numPr>
        <w:spacing w:after="0"/>
        <w:rPr>
          <w:rFonts w:ascii="Arial" w:eastAsia="Arial" w:hAnsi="Arial" w:cs="Arial"/>
          <w:i/>
          <w:lang w:val="lt-LT"/>
        </w:rPr>
      </w:pPr>
      <w:proofErr w:type="spellStart"/>
      <w:r w:rsidRPr="00B87165">
        <w:rPr>
          <w:b/>
          <w:i/>
          <w:lang w:val="lt-LT"/>
        </w:rPr>
        <w:t>Comparative</w:t>
      </w:r>
      <w:proofErr w:type="spellEnd"/>
      <w:r w:rsidRPr="00B87165">
        <w:rPr>
          <w:b/>
          <w:i/>
          <w:lang w:val="lt-LT"/>
        </w:rPr>
        <w:t xml:space="preserve"> </w:t>
      </w:r>
      <w:proofErr w:type="spellStart"/>
      <w:r w:rsidRPr="00B87165">
        <w:rPr>
          <w:b/>
          <w:i/>
          <w:lang w:val="lt-LT"/>
        </w:rPr>
        <w:t>Evaluation</w:t>
      </w:r>
      <w:proofErr w:type="spellEnd"/>
      <w:r w:rsidRPr="00B87165">
        <w:rPr>
          <w:b/>
          <w:i/>
          <w:lang w:val="lt-LT"/>
        </w:rPr>
        <w:t xml:space="preserve"> </w:t>
      </w:r>
      <w:proofErr w:type="spellStart"/>
      <w:r w:rsidRPr="00B87165">
        <w:rPr>
          <w:b/>
          <w:i/>
          <w:lang w:val="lt-LT"/>
        </w:rPr>
        <w:t>and</w:t>
      </w:r>
      <w:proofErr w:type="spellEnd"/>
      <w:r w:rsidRPr="00B87165">
        <w:rPr>
          <w:b/>
          <w:i/>
          <w:lang w:val="lt-LT"/>
        </w:rPr>
        <w:t xml:space="preserve"> </w:t>
      </w:r>
      <w:proofErr w:type="spellStart"/>
      <w:r w:rsidRPr="00B87165">
        <w:rPr>
          <w:b/>
          <w:i/>
          <w:lang w:val="lt-LT"/>
        </w:rPr>
        <w:t>Measure</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Accuracy</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ELISAs</w:t>
      </w:r>
      <w:proofErr w:type="spellEnd"/>
      <w:r w:rsidRPr="00B87165">
        <w:rPr>
          <w:b/>
          <w:i/>
          <w:lang w:val="lt-LT"/>
        </w:rPr>
        <w:t xml:space="preserve">, </w:t>
      </w:r>
      <w:proofErr w:type="spellStart"/>
      <w:r w:rsidRPr="00B87165">
        <w:rPr>
          <w:b/>
          <w:i/>
          <w:lang w:val="lt-LT"/>
        </w:rPr>
        <w:t>CLIAs</w:t>
      </w:r>
      <w:proofErr w:type="spellEnd"/>
      <w:r w:rsidRPr="00B87165">
        <w:rPr>
          <w:b/>
          <w:i/>
          <w:lang w:val="lt-LT"/>
        </w:rPr>
        <w:t xml:space="preserve">, </w:t>
      </w:r>
      <w:proofErr w:type="spellStart"/>
      <w:r w:rsidRPr="00B87165">
        <w:rPr>
          <w:b/>
          <w:i/>
          <w:lang w:val="lt-LT"/>
        </w:rPr>
        <w:t>and</w:t>
      </w:r>
      <w:proofErr w:type="spellEnd"/>
      <w:r w:rsidRPr="00B87165">
        <w:rPr>
          <w:b/>
          <w:i/>
          <w:lang w:val="lt-LT"/>
        </w:rPr>
        <w:t xml:space="preserve"> </w:t>
      </w:r>
      <w:proofErr w:type="spellStart"/>
      <w:r w:rsidRPr="00B87165">
        <w:rPr>
          <w:b/>
          <w:i/>
          <w:lang w:val="lt-LT"/>
        </w:rPr>
        <w:t>ECLIAs</w:t>
      </w:r>
      <w:proofErr w:type="spellEnd"/>
      <w:r w:rsidRPr="00B87165">
        <w:rPr>
          <w:b/>
          <w:i/>
          <w:lang w:val="lt-LT"/>
        </w:rPr>
        <w:t xml:space="preserve"> </w:t>
      </w:r>
      <w:proofErr w:type="spellStart"/>
      <w:r w:rsidRPr="00B87165">
        <w:rPr>
          <w:b/>
          <w:i/>
          <w:lang w:val="lt-LT"/>
        </w:rPr>
        <w:t>for</w:t>
      </w:r>
      <w:proofErr w:type="spellEnd"/>
      <w:r w:rsidRPr="00B87165">
        <w:rPr>
          <w:b/>
          <w:i/>
          <w:lang w:val="lt-LT"/>
        </w:rPr>
        <w:t xml:space="preserve"> </w:t>
      </w:r>
      <w:proofErr w:type="spellStart"/>
      <w:r w:rsidRPr="00B87165">
        <w:rPr>
          <w:b/>
          <w:i/>
          <w:lang w:val="lt-LT"/>
        </w:rPr>
        <w:t>the</w:t>
      </w:r>
      <w:proofErr w:type="spellEnd"/>
      <w:r w:rsidRPr="00B87165">
        <w:rPr>
          <w:b/>
          <w:i/>
          <w:lang w:val="lt-LT"/>
        </w:rPr>
        <w:t xml:space="preserve"> </w:t>
      </w:r>
      <w:proofErr w:type="spellStart"/>
      <w:r w:rsidRPr="00B87165">
        <w:rPr>
          <w:b/>
          <w:i/>
          <w:lang w:val="lt-LT"/>
        </w:rPr>
        <w:t>Detection</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HIV </w:t>
      </w:r>
      <w:proofErr w:type="spellStart"/>
      <w:r w:rsidRPr="00B87165">
        <w:rPr>
          <w:b/>
          <w:i/>
          <w:lang w:val="lt-LT"/>
        </w:rPr>
        <w:t>Infection</w:t>
      </w:r>
      <w:proofErr w:type="spellEnd"/>
      <w:r w:rsidRPr="00B87165">
        <w:rPr>
          <w:b/>
          <w:i/>
          <w:lang w:val="lt-LT"/>
        </w:rPr>
        <w:t xml:space="preserve"> </w:t>
      </w:r>
      <w:proofErr w:type="spellStart"/>
      <w:r w:rsidRPr="00B87165">
        <w:rPr>
          <w:b/>
          <w:i/>
          <w:lang w:val="lt-LT"/>
        </w:rPr>
        <w:t>among</w:t>
      </w:r>
      <w:proofErr w:type="spellEnd"/>
      <w:r w:rsidRPr="00B87165">
        <w:rPr>
          <w:b/>
          <w:i/>
          <w:lang w:val="lt-LT"/>
        </w:rPr>
        <w:t xml:space="preserve"> </w:t>
      </w:r>
      <w:proofErr w:type="spellStart"/>
      <w:r w:rsidRPr="00B87165">
        <w:rPr>
          <w:b/>
          <w:i/>
          <w:lang w:val="lt-LT"/>
        </w:rPr>
        <w:t>Blood</w:t>
      </w:r>
      <w:proofErr w:type="spellEnd"/>
      <w:r w:rsidRPr="00B87165">
        <w:rPr>
          <w:b/>
          <w:i/>
          <w:lang w:val="lt-LT"/>
        </w:rPr>
        <w:t xml:space="preserve"> </w:t>
      </w:r>
      <w:proofErr w:type="spellStart"/>
      <w:r w:rsidRPr="00B87165">
        <w:rPr>
          <w:b/>
          <w:i/>
          <w:lang w:val="lt-LT"/>
        </w:rPr>
        <w:t>Donors</w:t>
      </w:r>
      <w:proofErr w:type="spellEnd"/>
      <w:r w:rsidRPr="00B87165">
        <w:rPr>
          <w:b/>
          <w:i/>
          <w:lang w:val="lt-LT"/>
        </w:rPr>
        <w:t xml:space="preserve"> </w:t>
      </w:r>
      <w:proofErr w:type="spellStart"/>
      <w:r w:rsidRPr="00B87165">
        <w:rPr>
          <w:b/>
          <w:i/>
          <w:lang w:val="lt-LT"/>
        </w:rPr>
        <w:t>in</w:t>
      </w:r>
      <w:proofErr w:type="spellEnd"/>
      <w:r w:rsidRPr="00B87165">
        <w:rPr>
          <w:b/>
          <w:i/>
          <w:lang w:val="lt-LT"/>
        </w:rPr>
        <w:t xml:space="preserve"> </w:t>
      </w:r>
      <w:proofErr w:type="spellStart"/>
      <w:r w:rsidRPr="00B87165">
        <w:rPr>
          <w:b/>
          <w:i/>
          <w:lang w:val="lt-LT"/>
        </w:rPr>
        <w:t>China</w:t>
      </w:r>
      <w:proofErr w:type="spellEnd"/>
      <w:r w:rsidRPr="00B87165">
        <w:rPr>
          <w:b/>
          <w:i/>
          <w:lang w:val="lt-LT"/>
        </w:rPr>
        <w:t xml:space="preserve">. </w:t>
      </w:r>
      <w:proofErr w:type="spellStart"/>
      <w:r w:rsidRPr="00B87165">
        <w:rPr>
          <w:lang w:val="lt-LT"/>
        </w:rPr>
        <w:t>Le</w:t>
      </w:r>
      <w:proofErr w:type="spellEnd"/>
      <w:r w:rsidRPr="00B87165">
        <w:rPr>
          <w:lang w:val="lt-LT"/>
        </w:rPr>
        <w:t xml:space="preserve"> </w:t>
      </w:r>
      <w:proofErr w:type="spellStart"/>
      <w:r w:rsidRPr="00B87165">
        <w:rPr>
          <w:lang w:val="lt-LT"/>
        </w:rPr>
        <w:t>Chang</w:t>
      </w:r>
      <w:proofErr w:type="spellEnd"/>
      <w:r w:rsidRPr="00B87165">
        <w:rPr>
          <w:lang w:val="lt-LT"/>
        </w:rPr>
        <w:t xml:space="preserve">, </w:t>
      </w:r>
      <w:proofErr w:type="spellStart"/>
      <w:r w:rsidRPr="00B87165">
        <w:rPr>
          <w:lang w:val="lt-LT"/>
        </w:rPr>
        <w:t>Junpeng</w:t>
      </w:r>
      <w:proofErr w:type="spellEnd"/>
      <w:r w:rsidRPr="00B87165">
        <w:rPr>
          <w:lang w:val="lt-LT"/>
        </w:rPr>
        <w:t xml:space="preserve"> </w:t>
      </w:r>
      <w:proofErr w:type="spellStart"/>
      <w:r w:rsidRPr="00B87165">
        <w:rPr>
          <w:lang w:val="lt-LT"/>
        </w:rPr>
        <w:t>Zhao</w:t>
      </w:r>
      <w:proofErr w:type="spellEnd"/>
      <w:r w:rsidRPr="00B87165">
        <w:rPr>
          <w:lang w:val="lt-LT"/>
        </w:rPr>
        <w:t xml:space="preserve">, </w:t>
      </w:r>
      <w:proofErr w:type="spellStart"/>
      <w:r w:rsidRPr="00B87165">
        <w:rPr>
          <w:lang w:val="lt-LT"/>
        </w:rPr>
        <w:t>Fei</w:t>
      </w:r>
      <w:proofErr w:type="spellEnd"/>
      <w:r w:rsidRPr="00B87165">
        <w:rPr>
          <w:lang w:val="lt-LT"/>
        </w:rPr>
        <w:t xml:space="preserve"> </w:t>
      </w:r>
      <w:proofErr w:type="spellStart"/>
      <w:r w:rsidRPr="00B87165">
        <w:rPr>
          <w:lang w:val="lt-LT"/>
        </w:rPr>
        <w:t>Guo</w:t>
      </w:r>
      <w:proofErr w:type="spellEnd"/>
      <w:r w:rsidRPr="00B87165">
        <w:rPr>
          <w:lang w:val="lt-LT"/>
        </w:rPr>
        <w:t xml:space="preserve">, </w:t>
      </w:r>
      <w:proofErr w:type="spellStart"/>
      <w:r w:rsidRPr="00B87165">
        <w:rPr>
          <w:lang w:val="lt-LT"/>
        </w:rPr>
        <w:t>Huimin</w:t>
      </w:r>
      <w:proofErr w:type="spellEnd"/>
      <w:r w:rsidRPr="00B87165">
        <w:rPr>
          <w:lang w:val="lt-LT"/>
        </w:rPr>
        <w:t xml:space="preserve"> Ji, </w:t>
      </w:r>
      <w:proofErr w:type="spellStart"/>
      <w:r w:rsidRPr="00B87165">
        <w:rPr>
          <w:lang w:val="lt-LT"/>
        </w:rPr>
        <w:t>Lu</w:t>
      </w:r>
      <w:proofErr w:type="spellEnd"/>
      <w:r w:rsidRPr="00B87165">
        <w:rPr>
          <w:lang w:val="lt-LT"/>
        </w:rPr>
        <w:t xml:space="preserve"> </w:t>
      </w:r>
      <w:proofErr w:type="spellStart"/>
      <w:r w:rsidRPr="00B87165">
        <w:rPr>
          <w:lang w:val="lt-LT"/>
        </w:rPr>
        <w:t>Zhang</w:t>
      </w:r>
      <w:proofErr w:type="spellEnd"/>
      <w:r w:rsidRPr="00B87165">
        <w:rPr>
          <w:lang w:val="lt-LT"/>
        </w:rPr>
        <w:t xml:space="preserve">, </w:t>
      </w:r>
      <w:proofErr w:type="spellStart"/>
      <w:r w:rsidRPr="00B87165">
        <w:rPr>
          <w:lang w:val="lt-LT"/>
        </w:rPr>
        <w:t>Xinyi</w:t>
      </w:r>
      <w:proofErr w:type="spellEnd"/>
      <w:r w:rsidRPr="00B87165">
        <w:rPr>
          <w:lang w:val="lt-LT"/>
        </w:rPr>
        <w:t xml:space="preserve"> </w:t>
      </w:r>
      <w:proofErr w:type="spellStart"/>
      <w:r w:rsidRPr="00B87165">
        <w:rPr>
          <w:lang w:val="lt-LT"/>
        </w:rPr>
        <w:t>Jiang</w:t>
      </w:r>
      <w:proofErr w:type="spellEnd"/>
      <w:r w:rsidRPr="00B87165">
        <w:rPr>
          <w:lang w:val="lt-LT"/>
        </w:rPr>
        <w:t xml:space="preserve">, </w:t>
      </w:r>
      <w:proofErr w:type="spellStart"/>
      <w:r w:rsidRPr="00B87165">
        <w:rPr>
          <w:lang w:val="lt-LT"/>
        </w:rPr>
        <w:t>Lunan</w:t>
      </w:r>
      <w:proofErr w:type="spellEnd"/>
      <w:r w:rsidRPr="00B87165">
        <w:rPr>
          <w:lang w:val="lt-LT"/>
        </w:rPr>
        <w:t xml:space="preserve"> </w:t>
      </w:r>
      <w:proofErr w:type="spellStart"/>
      <w:r w:rsidRPr="00B87165">
        <w:rPr>
          <w:lang w:val="lt-LT"/>
        </w:rPr>
        <w:t>Wang</w:t>
      </w:r>
      <w:proofErr w:type="spellEnd"/>
      <w:r w:rsidRPr="00B87165">
        <w:rPr>
          <w:lang w:val="lt-LT"/>
        </w:rPr>
        <w:t xml:space="preserve">: </w:t>
      </w:r>
      <w:hyperlink r:id="rId16">
        <w:r w:rsidRPr="00B87165">
          <w:rPr>
            <w:color w:val="1155CC"/>
            <w:u w:val="single"/>
            <w:lang w:val="lt-LT"/>
          </w:rPr>
          <w:t>https://pubmed.ncbi.nlm.nih.gov/32855748/</w:t>
        </w:r>
      </w:hyperlink>
    </w:p>
    <w:p w:rsidR="00650943" w:rsidRPr="00B87165" w:rsidRDefault="004933CD">
      <w:pPr>
        <w:numPr>
          <w:ilvl w:val="0"/>
          <w:numId w:val="1"/>
        </w:numPr>
        <w:rPr>
          <w:lang w:val="lt-LT"/>
        </w:rPr>
      </w:pPr>
      <w:proofErr w:type="spellStart"/>
      <w:r w:rsidRPr="00B87165">
        <w:rPr>
          <w:b/>
          <w:i/>
          <w:lang w:val="lt-LT"/>
        </w:rPr>
        <w:t>Chemiluminescence</w:t>
      </w:r>
      <w:proofErr w:type="spellEnd"/>
      <w:r w:rsidRPr="00B87165">
        <w:rPr>
          <w:b/>
          <w:i/>
          <w:lang w:val="lt-LT"/>
        </w:rPr>
        <w:t xml:space="preserve"> </w:t>
      </w:r>
      <w:proofErr w:type="spellStart"/>
      <w:r w:rsidRPr="00B87165">
        <w:rPr>
          <w:b/>
          <w:i/>
          <w:lang w:val="lt-LT"/>
        </w:rPr>
        <w:t>Immunoassay</w:t>
      </w:r>
      <w:proofErr w:type="spellEnd"/>
      <w:r w:rsidRPr="00B87165">
        <w:rPr>
          <w:b/>
          <w:i/>
          <w:lang w:val="lt-LT"/>
        </w:rPr>
        <w:t xml:space="preserve"> </w:t>
      </w:r>
      <w:proofErr w:type="spellStart"/>
      <w:r w:rsidRPr="00B87165">
        <w:rPr>
          <w:b/>
          <w:i/>
          <w:lang w:val="lt-LT"/>
        </w:rPr>
        <w:t>and</w:t>
      </w:r>
      <w:proofErr w:type="spellEnd"/>
      <w:r w:rsidRPr="00B87165">
        <w:rPr>
          <w:b/>
          <w:i/>
          <w:lang w:val="lt-LT"/>
        </w:rPr>
        <w:t xml:space="preserve"> </w:t>
      </w:r>
      <w:proofErr w:type="spellStart"/>
      <w:r w:rsidRPr="00B87165">
        <w:rPr>
          <w:b/>
          <w:i/>
          <w:lang w:val="lt-LT"/>
        </w:rPr>
        <w:t>Electrochemiluminescence</w:t>
      </w:r>
      <w:proofErr w:type="spellEnd"/>
      <w:r w:rsidRPr="00B87165">
        <w:rPr>
          <w:b/>
          <w:i/>
          <w:lang w:val="lt-LT"/>
        </w:rPr>
        <w:t xml:space="preserve"> </w:t>
      </w:r>
      <w:proofErr w:type="spellStart"/>
      <w:r w:rsidRPr="00B87165">
        <w:rPr>
          <w:b/>
          <w:i/>
          <w:lang w:val="lt-LT"/>
        </w:rPr>
        <w:t>Immunoassay</w:t>
      </w:r>
      <w:proofErr w:type="spellEnd"/>
      <w:r w:rsidRPr="00B87165">
        <w:rPr>
          <w:b/>
          <w:i/>
          <w:lang w:val="lt-LT"/>
        </w:rPr>
        <w:t xml:space="preserve"> are </w:t>
      </w:r>
      <w:proofErr w:type="spellStart"/>
      <w:r w:rsidRPr="00B87165">
        <w:rPr>
          <w:b/>
          <w:i/>
          <w:lang w:val="lt-LT"/>
        </w:rPr>
        <w:t>bo</w:t>
      </w:r>
      <w:r w:rsidRPr="00B87165">
        <w:rPr>
          <w:b/>
          <w:i/>
          <w:lang w:val="lt-LT"/>
        </w:rPr>
        <w:t>th</w:t>
      </w:r>
      <w:proofErr w:type="spellEnd"/>
      <w:r w:rsidRPr="00B87165">
        <w:rPr>
          <w:b/>
          <w:i/>
          <w:lang w:val="lt-LT"/>
        </w:rPr>
        <w:t xml:space="preserve"> </w:t>
      </w:r>
      <w:proofErr w:type="spellStart"/>
      <w:r w:rsidRPr="00B87165">
        <w:rPr>
          <w:b/>
          <w:i/>
          <w:lang w:val="lt-LT"/>
        </w:rPr>
        <w:t>types</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immunoassay</w:t>
      </w:r>
      <w:proofErr w:type="spellEnd"/>
      <w:r w:rsidRPr="00B87165">
        <w:rPr>
          <w:b/>
          <w:i/>
          <w:lang w:val="lt-LT"/>
        </w:rPr>
        <w:t xml:space="preserve"> </w:t>
      </w:r>
      <w:proofErr w:type="spellStart"/>
      <w:r w:rsidRPr="00B87165">
        <w:rPr>
          <w:b/>
          <w:i/>
          <w:lang w:val="lt-LT"/>
        </w:rPr>
        <w:t>technologies</w:t>
      </w:r>
      <w:proofErr w:type="spellEnd"/>
      <w:r w:rsidRPr="00B87165">
        <w:rPr>
          <w:b/>
          <w:i/>
          <w:lang w:val="lt-LT"/>
        </w:rPr>
        <w:t xml:space="preserve"> </w:t>
      </w:r>
      <w:proofErr w:type="spellStart"/>
      <w:r w:rsidRPr="00B87165">
        <w:rPr>
          <w:b/>
          <w:i/>
          <w:lang w:val="lt-LT"/>
        </w:rPr>
        <w:t>used</w:t>
      </w:r>
      <w:proofErr w:type="spellEnd"/>
      <w:r w:rsidRPr="00B87165">
        <w:rPr>
          <w:b/>
          <w:i/>
          <w:lang w:val="lt-LT"/>
        </w:rPr>
        <w:t xml:space="preserve"> </w:t>
      </w:r>
      <w:proofErr w:type="spellStart"/>
      <w:r w:rsidRPr="00B87165">
        <w:rPr>
          <w:b/>
          <w:i/>
          <w:lang w:val="lt-LT"/>
        </w:rPr>
        <w:t>in</w:t>
      </w:r>
      <w:proofErr w:type="spellEnd"/>
      <w:r w:rsidRPr="00B87165">
        <w:rPr>
          <w:b/>
          <w:i/>
          <w:lang w:val="lt-LT"/>
        </w:rPr>
        <w:t xml:space="preserve"> </w:t>
      </w:r>
      <w:proofErr w:type="spellStart"/>
      <w:r w:rsidRPr="00B87165">
        <w:rPr>
          <w:b/>
          <w:i/>
          <w:lang w:val="lt-LT"/>
        </w:rPr>
        <w:t>clinical</w:t>
      </w:r>
      <w:proofErr w:type="spellEnd"/>
      <w:r w:rsidRPr="00B87165">
        <w:rPr>
          <w:b/>
          <w:i/>
          <w:lang w:val="lt-LT"/>
        </w:rPr>
        <w:t xml:space="preserve"> </w:t>
      </w:r>
      <w:proofErr w:type="spellStart"/>
      <w:r w:rsidRPr="00B87165">
        <w:rPr>
          <w:b/>
          <w:i/>
          <w:lang w:val="lt-LT"/>
        </w:rPr>
        <w:t>laboratories</w:t>
      </w:r>
      <w:proofErr w:type="spellEnd"/>
      <w:r w:rsidRPr="00B87165">
        <w:rPr>
          <w:b/>
          <w:i/>
          <w:lang w:val="lt-LT"/>
        </w:rPr>
        <w:t xml:space="preserve"> to </w:t>
      </w:r>
      <w:proofErr w:type="spellStart"/>
      <w:r w:rsidRPr="00B87165">
        <w:rPr>
          <w:b/>
          <w:i/>
          <w:lang w:val="lt-LT"/>
        </w:rPr>
        <w:t>measure</w:t>
      </w:r>
      <w:proofErr w:type="spellEnd"/>
      <w:r w:rsidRPr="00B87165">
        <w:rPr>
          <w:b/>
          <w:i/>
          <w:lang w:val="lt-LT"/>
        </w:rPr>
        <w:t xml:space="preserve"> </w:t>
      </w:r>
      <w:proofErr w:type="spellStart"/>
      <w:r w:rsidRPr="00B87165">
        <w:rPr>
          <w:b/>
          <w:i/>
          <w:lang w:val="lt-LT"/>
        </w:rPr>
        <w:t>the</w:t>
      </w:r>
      <w:proofErr w:type="spellEnd"/>
      <w:r w:rsidRPr="00B87165">
        <w:rPr>
          <w:b/>
          <w:i/>
          <w:lang w:val="lt-LT"/>
        </w:rPr>
        <w:t xml:space="preserve"> </w:t>
      </w:r>
      <w:proofErr w:type="spellStart"/>
      <w:r w:rsidRPr="00B87165">
        <w:rPr>
          <w:b/>
          <w:i/>
          <w:lang w:val="lt-LT"/>
        </w:rPr>
        <w:t>concentration</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specific</w:t>
      </w:r>
      <w:proofErr w:type="spellEnd"/>
      <w:r w:rsidRPr="00B87165">
        <w:rPr>
          <w:b/>
          <w:i/>
          <w:lang w:val="lt-LT"/>
        </w:rPr>
        <w:t xml:space="preserve"> </w:t>
      </w:r>
      <w:proofErr w:type="spellStart"/>
      <w:r w:rsidRPr="00B87165">
        <w:rPr>
          <w:b/>
          <w:i/>
          <w:lang w:val="lt-LT"/>
        </w:rPr>
        <w:t>analytes</w:t>
      </w:r>
      <w:proofErr w:type="spellEnd"/>
      <w:r w:rsidRPr="00B87165">
        <w:rPr>
          <w:b/>
          <w:i/>
          <w:lang w:val="lt-LT"/>
        </w:rPr>
        <w:t xml:space="preserve"> </w:t>
      </w:r>
      <w:proofErr w:type="spellStart"/>
      <w:r w:rsidRPr="00B87165">
        <w:rPr>
          <w:b/>
          <w:i/>
          <w:lang w:val="lt-LT"/>
        </w:rPr>
        <w:t>in</w:t>
      </w:r>
      <w:proofErr w:type="spellEnd"/>
      <w:r w:rsidRPr="00B87165">
        <w:rPr>
          <w:b/>
          <w:i/>
          <w:lang w:val="lt-LT"/>
        </w:rPr>
        <w:t xml:space="preserve"> </w:t>
      </w:r>
      <w:proofErr w:type="spellStart"/>
      <w:r w:rsidRPr="00B87165">
        <w:rPr>
          <w:b/>
          <w:i/>
          <w:lang w:val="lt-LT"/>
        </w:rPr>
        <w:t>patient</w:t>
      </w:r>
      <w:proofErr w:type="spellEnd"/>
      <w:r w:rsidRPr="00B87165">
        <w:rPr>
          <w:b/>
          <w:i/>
          <w:lang w:val="lt-LT"/>
        </w:rPr>
        <w:t xml:space="preserve"> </w:t>
      </w:r>
      <w:proofErr w:type="spellStart"/>
      <w:r w:rsidRPr="00B87165">
        <w:rPr>
          <w:b/>
          <w:i/>
          <w:lang w:val="lt-LT"/>
        </w:rPr>
        <w:t>samples</w:t>
      </w:r>
      <w:proofErr w:type="spellEnd"/>
      <w:r w:rsidRPr="00B87165">
        <w:rPr>
          <w:b/>
          <w:i/>
          <w:lang w:val="lt-LT"/>
        </w:rPr>
        <w:t>:</w:t>
      </w:r>
      <w:r w:rsidRPr="00B87165">
        <w:rPr>
          <w:lang w:val="lt-LT"/>
        </w:rPr>
        <w:t xml:space="preserve"> </w:t>
      </w:r>
      <w:hyperlink r:id="rId17">
        <w:r w:rsidRPr="00B87165">
          <w:rPr>
            <w:color w:val="1155CC"/>
            <w:u w:val="single"/>
            <w:lang w:val="lt-LT"/>
          </w:rPr>
          <w:t>https://www.labtestsguide.com/clia-vs-eclia</w:t>
        </w:r>
      </w:hyperlink>
    </w:p>
    <w:p w:rsidR="00650943" w:rsidRPr="00B87165" w:rsidRDefault="004933CD">
      <w:pPr>
        <w:numPr>
          <w:ilvl w:val="0"/>
          <w:numId w:val="1"/>
        </w:numPr>
        <w:rPr>
          <w:rFonts w:ascii="Arial" w:eastAsia="Arial" w:hAnsi="Arial" w:cs="Arial"/>
          <w:i/>
          <w:lang w:val="lt-LT"/>
        </w:rPr>
      </w:pPr>
      <w:proofErr w:type="spellStart"/>
      <w:r w:rsidRPr="00B87165">
        <w:rPr>
          <w:b/>
          <w:i/>
          <w:lang w:val="lt-LT"/>
        </w:rPr>
        <w:t>Electrochemi</w:t>
      </w:r>
      <w:r w:rsidRPr="00B87165">
        <w:rPr>
          <w:b/>
          <w:i/>
          <w:lang w:val="lt-LT"/>
        </w:rPr>
        <w:t>luminescence</w:t>
      </w:r>
      <w:proofErr w:type="spellEnd"/>
      <w:r w:rsidRPr="00B87165">
        <w:rPr>
          <w:b/>
          <w:i/>
          <w:lang w:val="lt-LT"/>
        </w:rPr>
        <w:t xml:space="preserve"> </w:t>
      </w:r>
      <w:proofErr w:type="spellStart"/>
      <w:r w:rsidRPr="00B87165">
        <w:rPr>
          <w:b/>
          <w:i/>
          <w:lang w:val="lt-LT"/>
        </w:rPr>
        <w:t>Method</w:t>
      </w:r>
      <w:proofErr w:type="spellEnd"/>
      <w:r w:rsidRPr="00B87165">
        <w:rPr>
          <w:b/>
          <w:i/>
          <w:lang w:val="lt-LT"/>
        </w:rPr>
        <w:t xml:space="preserve">. </w:t>
      </w:r>
      <w:proofErr w:type="spellStart"/>
      <w:r w:rsidRPr="00B87165">
        <w:rPr>
          <w:rFonts w:ascii="Arial" w:eastAsia="Arial" w:hAnsi="Arial" w:cs="Arial"/>
          <w:sz w:val="19"/>
          <w:szCs w:val="19"/>
          <w:highlight w:val="white"/>
          <w:lang w:val="lt-LT"/>
        </w:rPr>
        <w:t>Sujatha</w:t>
      </w:r>
      <w:proofErr w:type="spellEnd"/>
      <w:r w:rsidRPr="00B87165">
        <w:rPr>
          <w:rFonts w:ascii="Arial" w:eastAsia="Arial" w:hAnsi="Arial" w:cs="Arial"/>
          <w:sz w:val="19"/>
          <w:szCs w:val="19"/>
          <w:highlight w:val="white"/>
          <w:lang w:val="lt-LT"/>
        </w:rPr>
        <w:t xml:space="preserve"> </w:t>
      </w:r>
      <w:proofErr w:type="spellStart"/>
      <w:r w:rsidRPr="00B87165">
        <w:rPr>
          <w:rFonts w:ascii="Arial" w:eastAsia="Arial" w:hAnsi="Arial" w:cs="Arial"/>
          <w:sz w:val="19"/>
          <w:szCs w:val="19"/>
          <w:highlight w:val="white"/>
          <w:lang w:val="lt-LT"/>
        </w:rPr>
        <w:t>Mahadevarao</w:t>
      </w:r>
      <w:proofErr w:type="spellEnd"/>
      <w:r w:rsidRPr="00B87165">
        <w:rPr>
          <w:rFonts w:ascii="Arial" w:eastAsia="Arial" w:hAnsi="Arial" w:cs="Arial"/>
          <w:sz w:val="19"/>
          <w:szCs w:val="19"/>
          <w:highlight w:val="white"/>
          <w:lang w:val="lt-LT"/>
        </w:rPr>
        <w:t xml:space="preserve"> </w:t>
      </w:r>
      <w:proofErr w:type="spellStart"/>
      <w:r w:rsidRPr="00B87165">
        <w:rPr>
          <w:rFonts w:ascii="Arial" w:eastAsia="Arial" w:hAnsi="Arial" w:cs="Arial"/>
          <w:sz w:val="19"/>
          <w:szCs w:val="19"/>
          <w:highlight w:val="white"/>
          <w:lang w:val="lt-LT"/>
        </w:rPr>
        <w:t>Premnath</w:t>
      </w:r>
      <w:proofErr w:type="spellEnd"/>
      <w:r w:rsidRPr="00B87165">
        <w:rPr>
          <w:rFonts w:ascii="Arial" w:eastAsia="Arial" w:hAnsi="Arial" w:cs="Arial"/>
          <w:sz w:val="19"/>
          <w:szCs w:val="19"/>
          <w:highlight w:val="white"/>
          <w:lang w:val="lt-LT"/>
        </w:rPr>
        <w:t xml:space="preserve">; </w:t>
      </w:r>
      <w:proofErr w:type="spellStart"/>
      <w:r w:rsidRPr="00B87165">
        <w:rPr>
          <w:rFonts w:ascii="Arial" w:eastAsia="Arial" w:hAnsi="Arial" w:cs="Arial"/>
          <w:sz w:val="19"/>
          <w:szCs w:val="19"/>
          <w:highlight w:val="white"/>
          <w:lang w:val="lt-LT"/>
        </w:rPr>
        <w:t>Muhammad</w:t>
      </w:r>
      <w:proofErr w:type="spellEnd"/>
      <w:r w:rsidRPr="00B87165">
        <w:rPr>
          <w:rFonts w:ascii="Arial" w:eastAsia="Arial" w:hAnsi="Arial" w:cs="Arial"/>
          <w:sz w:val="19"/>
          <w:szCs w:val="19"/>
          <w:highlight w:val="white"/>
          <w:lang w:val="lt-LT"/>
        </w:rPr>
        <w:t xml:space="preserve"> </w:t>
      </w:r>
      <w:proofErr w:type="spellStart"/>
      <w:r w:rsidRPr="00B87165">
        <w:rPr>
          <w:rFonts w:ascii="Arial" w:eastAsia="Arial" w:hAnsi="Arial" w:cs="Arial"/>
          <w:sz w:val="19"/>
          <w:szCs w:val="19"/>
          <w:highlight w:val="white"/>
          <w:lang w:val="lt-LT"/>
        </w:rPr>
        <w:t>Zubair:https</w:t>
      </w:r>
      <w:proofErr w:type="spellEnd"/>
      <w:r w:rsidRPr="00B87165">
        <w:rPr>
          <w:rFonts w:ascii="Arial" w:eastAsia="Arial" w:hAnsi="Arial" w:cs="Arial"/>
          <w:sz w:val="19"/>
          <w:szCs w:val="19"/>
          <w:highlight w:val="white"/>
          <w:lang w:val="lt-LT"/>
        </w:rPr>
        <w:t xml:space="preserve">: </w:t>
      </w:r>
      <w:r w:rsidRPr="00B87165">
        <w:rPr>
          <w:color w:val="1155CC"/>
          <w:u w:val="single"/>
          <w:lang w:val="lt-LT"/>
        </w:rPr>
        <w:t>//</w:t>
      </w:r>
      <w:hyperlink r:id="rId18">
        <w:r w:rsidRPr="00B87165">
          <w:rPr>
            <w:color w:val="1155CC"/>
            <w:u w:val="single"/>
            <w:lang w:val="lt-LT"/>
          </w:rPr>
          <w:t>www.ncbi.nlm.nih.gov/books/NBK594228/</w:t>
        </w:r>
      </w:hyperlink>
    </w:p>
    <w:p w:rsidR="00650943" w:rsidRPr="00B87165" w:rsidRDefault="004933CD">
      <w:pPr>
        <w:numPr>
          <w:ilvl w:val="0"/>
          <w:numId w:val="1"/>
        </w:numPr>
        <w:rPr>
          <w:rFonts w:ascii="Arial" w:eastAsia="Arial" w:hAnsi="Arial" w:cs="Arial"/>
          <w:highlight w:val="white"/>
          <w:lang w:val="lt-LT"/>
        </w:rPr>
      </w:pPr>
      <w:proofErr w:type="spellStart"/>
      <w:r w:rsidRPr="00B87165">
        <w:rPr>
          <w:b/>
          <w:i/>
          <w:lang w:val="lt-LT"/>
        </w:rPr>
        <w:t>Difference</w:t>
      </w:r>
      <w:proofErr w:type="spellEnd"/>
      <w:r w:rsidRPr="00B87165">
        <w:rPr>
          <w:b/>
          <w:i/>
          <w:lang w:val="lt-LT"/>
        </w:rPr>
        <w:t xml:space="preserve"> </w:t>
      </w:r>
      <w:proofErr w:type="spellStart"/>
      <w:r w:rsidRPr="00B87165">
        <w:rPr>
          <w:b/>
          <w:i/>
          <w:lang w:val="lt-LT"/>
        </w:rPr>
        <w:t>Between</w:t>
      </w:r>
      <w:proofErr w:type="spellEnd"/>
      <w:r w:rsidRPr="00B87165">
        <w:rPr>
          <w:b/>
          <w:i/>
          <w:lang w:val="lt-LT"/>
        </w:rPr>
        <w:t xml:space="preserve"> CLIA </w:t>
      </w:r>
      <w:proofErr w:type="spellStart"/>
      <w:r w:rsidRPr="00B87165">
        <w:rPr>
          <w:b/>
          <w:i/>
          <w:lang w:val="lt-LT"/>
        </w:rPr>
        <w:t>and</w:t>
      </w:r>
      <w:proofErr w:type="spellEnd"/>
      <w:r w:rsidRPr="00B87165">
        <w:rPr>
          <w:b/>
          <w:i/>
          <w:lang w:val="lt-LT"/>
        </w:rPr>
        <w:t xml:space="preserve"> ECLIA: </w:t>
      </w:r>
      <w:hyperlink r:id="rId19" w:anchor=":~:text=The%20key%20difference%20between%20CLIA%20and%20ECLIA%20is%20the%20method,techniques%20are%20rapid%20and%20specific">
        <w:r w:rsidRPr="00B87165">
          <w:rPr>
            <w:color w:val="1155CC"/>
            <w:u w:val="single"/>
            <w:lang w:val="lt-LT"/>
          </w:rPr>
          <w:t>https://www.differencebetween.com/difference-between-clia-and-eclia/#:~:text=The%2</w:t>
        </w:r>
        <w:r w:rsidRPr="00B87165">
          <w:rPr>
            <w:color w:val="1155CC"/>
            <w:u w:val="single"/>
            <w:lang w:val="lt-LT"/>
          </w:rPr>
          <w:t>0key%20difference%20between%20CLIA%20and%20ECLIA%20is%20the%20method,techniques%20are%20rapid%20and%20specific</w:t>
        </w:r>
      </w:hyperlink>
    </w:p>
    <w:p w:rsidR="00650943" w:rsidRPr="00B87165" w:rsidRDefault="004933CD">
      <w:pPr>
        <w:numPr>
          <w:ilvl w:val="0"/>
          <w:numId w:val="1"/>
        </w:numPr>
        <w:rPr>
          <w:rFonts w:ascii="Arial" w:eastAsia="Arial" w:hAnsi="Arial" w:cs="Arial"/>
          <w:sz w:val="19"/>
          <w:szCs w:val="19"/>
          <w:highlight w:val="white"/>
          <w:lang w:val="lt-LT"/>
        </w:rPr>
      </w:pPr>
      <w:proofErr w:type="spellStart"/>
      <w:r w:rsidRPr="00B87165">
        <w:rPr>
          <w:b/>
          <w:i/>
          <w:lang w:val="lt-LT"/>
        </w:rPr>
        <w:t>Multicenter</w:t>
      </w:r>
      <w:proofErr w:type="spellEnd"/>
      <w:r w:rsidRPr="00B87165">
        <w:rPr>
          <w:b/>
          <w:i/>
          <w:lang w:val="lt-LT"/>
        </w:rPr>
        <w:t xml:space="preserve"> </w:t>
      </w:r>
      <w:proofErr w:type="spellStart"/>
      <w:r w:rsidRPr="00B87165">
        <w:rPr>
          <w:b/>
          <w:i/>
          <w:lang w:val="lt-LT"/>
        </w:rPr>
        <w:t>evaluation</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the</w:t>
      </w:r>
      <w:proofErr w:type="spellEnd"/>
      <w:r w:rsidRPr="00B87165">
        <w:rPr>
          <w:b/>
          <w:i/>
          <w:lang w:val="lt-LT"/>
        </w:rPr>
        <w:t xml:space="preserve"> </w:t>
      </w:r>
      <w:proofErr w:type="spellStart"/>
      <w:r w:rsidRPr="00B87165">
        <w:rPr>
          <w:b/>
          <w:i/>
          <w:lang w:val="lt-LT"/>
        </w:rPr>
        <w:t>Elecsys</w:t>
      </w:r>
      <w:proofErr w:type="spellEnd"/>
      <w:r w:rsidRPr="00B87165">
        <w:rPr>
          <w:b/>
          <w:i/>
          <w:lang w:val="lt-LT"/>
        </w:rPr>
        <w:t xml:space="preserve">® </w:t>
      </w:r>
      <w:proofErr w:type="spellStart"/>
      <w:r w:rsidRPr="00B87165">
        <w:rPr>
          <w:b/>
          <w:i/>
          <w:lang w:val="lt-LT"/>
        </w:rPr>
        <w:t>anti</w:t>
      </w:r>
      <w:proofErr w:type="spellEnd"/>
      <w:r w:rsidRPr="00B87165">
        <w:rPr>
          <w:b/>
          <w:i/>
          <w:lang w:val="lt-LT"/>
        </w:rPr>
        <w:t xml:space="preserve">-HCV II </w:t>
      </w:r>
      <w:proofErr w:type="spellStart"/>
      <w:r w:rsidRPr="00B87165">
        <w:rPr>
          <w:b/>
          <w:i/>
          <w:lang w:val="lt-LT"/>
        </w:rPr>
        <w:t>assay</w:t>
      </w:r>
      <w:proofErr w:type="spellEnd"/>
      <w:r w:rsidRPr="00B87165">
        <w:rPr>
          <w:b/>
          <w:i/>
          <w:lang w:val="lt-LT"/>
        </w:rPr>
        <w:t xml:space="preserve"> </w:t>
      </w:r>
      <w:proofErr w:type="spellStart"/>
      <w:r w:rsidRPr="00B87165">
        <w:rPr>
          <w:b/>
          <w:i/>
          <w:lang w:val="lt-LT"/>
        </w:rPr>
        <w:t>for</w:t>
      </w:r>
      <w:proofErr w:type="spellEnd"/>
      <w:r w:rsidRPr="00B87165">
        <w:rPr>
          <w:b/>
          <w:i/>
          <w:lang w:val="lt-LT"/>
        </w:rPr>
        <w:t xml:space="preserve"> </w:t>
      </w:r>
      <w:proofErr w:type="spellStart"/>
      <w:r w:rsidRPr="00B87165">
        <w:rPr>
          <w:b/>
          <w:i/>
          <w:lang w:val="lt-LT"/>
        </w:rPr>
        <w:t>the</w:t>
      </w:r>
      <w:proofErr w:type="spellEnd"/>
      <w:r w:rsidRPr="00B87165">
        <w:rPr>
          <w:b/>
          <w:i/>
          <w:lang w:val="lt-LT"/>
        </w:rPr>
        <w:t xml:space="preserve"> </w:t>
      </w:r>
      <w:proofErr w:type="spellStart"/>
      <w:r w:rsidRPr="00B87165">
        <w:rPr>
          <w:b/>
          <w:i/>
          <w:lang w:val="lt-LT"/>
        </w:rPr>
        <w:t>diagnosis</w:t>
      </w:r>
      <w:proofErr w:type="spellEnd"/>
      <w:r w:rsidRPr="00B87165">
        <w:rPr>
          <w:b/>
          <w:i/>
          <w:lang w:val="lt-LT"/>
        </w:rPr>
        <w:t xml:space="preserve"> </w:t>
      </w:r>
      <w:proofErr w:type="spellStart"/>
      <w:r w:rsidRPr="00B87165">
        <w:rPr>
          <w:b/>
          <w:i/>
          <w:lang w:val="lt-LT"/>
        </w:rPr>
        <w:t>of</w:t>
      </w:r>
      <w:proofErr w:type="spellEnd"/>
      <w:r w:rsidRPr="00B87165">
        <w:rPr>
          <w:b/>
          <w:i/>
          <w:lang w:val="lt-LT"/>
        </w:rPr>
        <w:t xml:space="preserve"> </w:t>
      </w:r>
      <w:proofErr w:type="spellStart"/>
      <w:r w:rsidRPr="00B87165">
        <w:rPr>
          <w:b/>
          <w:i/>
          <w:lang w:val="lt-LT"/>
        </w:rPr>
        <w:t>hepatitis</w:t>
      </w:r>
      <w:proofErr w:type="spellEnd"/>
      <w:r w:rsidRPr="00B87165">
        <w:rPr>
          <w:b/>
          <w:i/>
          <w:lang w:val="lt-LT"/>
        </w:rPr>
        <w:t xml:space="preserve"> C virus </w:t>
      </w:r>
      <w:proofErr w:type="spellStart"/>
      <w:r w:rsidRPr="00B87165">
        <w:rPr>
          <w:b/>
          <w:i/>
          <w:lang w:val="lt-LT"/>
        </w:rPr>
        <w:t>infection</w:t>
      </w:r>
      <w:proofErr w:type="spellEnd"/>
      <w:r w:rsidRPr="00B87165">
        <w:rPr>
          <w:b/>
          <w:i/>
          <w:lang w:val="lt-LT"/>
        </w:rPr>
        <w:t xml:space="preserve">. </w:t>
      </w:r>
      <w:hyperlink r:id="rId20">
        <w:r w:rsidRPr="00B87165">
          <w:rPr>
            <w:rFonts w:ascii="Arial" w:eastAsia="Arial" w:hAnsi="Arial" w:cs="Arial"/>
            <w:sz w:val="19"/>
            <w:szCs w:val="19"/>
            <w:highlight w:val="white"/>
            <w:lang w:val="lt-LT"/>
          </w:rPr>
          <w:t>Juan I Esteban</w:t>
        </w:r>
      </w:hyperlink>
      <w:r w:rsidRPr="00B87165">
        <w:rPr>
          <w:rFonts w:ascii="Arial" w:eastAsia="Arial" w:hAnsi="Arial" w:cs="Arial"/>
          <w:sz w:val="19"/>
          <w:szCs w:val="19"/>
          <w:highlight w:val="white"/>
          <w:lang w:val="lt-LT"/>
        </w:rPr>
        <w:t xml:space="preserve"> , </w:t>
      </w:r>
      <w:hyperlink r:id="rId21">
        <w:r w:rsidRPr="00B87165">
          <w:rPr>
            <w:rFonts w:ascii="Arial" w:eastAsia="Arial" w:hAnsi="Arial" w:cs="Arial"/>
            <w:sz w:val="19"/>
            <w:szCs w:val="19"/>
            <w:highlight w:val="white"/>
            <w:lang w:val="lt-LT"/>
          </w:rPr>
          <w:t>Josef van Helden</w:t>
        </w:r>
      </w:hyperlink>
      <w:r w:rsidRPr="00B87165">
        <w:rPr>
          <w:rFonts w:ascii="Arial" w:eastAsia="Arial" w:hAnsi="Arial" w:cs="Arial"/>
          <w:sz w:val="19"/>
          <w:szCs w:val="19"/>
          <w:highlight w:val="white"/>
          <w:lang w:val="lt-LT"/>
        </w:rPr>
        <w:t xml:space="preserve">, </w:t>
      </w:r>
      <w:hyperlink r:id="rId22">
        <w:r w:rsidRPr="00B87165">
          <w:rPr>
            <w:rFonts w:ascii="Arial" w:eastAsia="Arial" w:hAnsi="Arial" w:cs="Arial"/>
            <w:sz w:val="19"/>
            <w:szCs w:val="19"/>
            <w:highlight w:val="white"/>
            <w:lang w:val="lt-LT"/>
          </w:rPr>
          <w:t>Flora Alborino</w:t>
        </w:r>
      </w:hyperlink>
      <w:r w:rsidRPr="00B87165">
        <w:rPr>
          <w:rFonts w:ascii="Arial" w:eastAsia="Arial" w:hAnsi="Arial" w:cs="Arial"/>
          <w:sz w:val="19"/>
          <w:szCs w:val="19"/>
          <w:highlight w:val="white"/>
          <w:lang w:val="lt-LT"/>
        </w:rPr>
        <w:t xml:space="preserve">, </w:t>
      </w:r>
      <w:hyperlink r:id="rId23">
        <w:r w:rsidRPr="00B87165">
          <w:rPr>
            <w:rFonts w:ascii="Arial" w:eastAsia="Arial" w:hAnsi="Arial" w:cs="Arial"/>
            <w:sz w:val="19"/>
            <w:szCs w:val="19"/>
            <w:highlight w:val="white"/>
            <w:lang w:val="lt-LT"/>
          </w:rPr>
          <w:t>Philippe Bürgisser</w:t>
        </w:r>
      </w:hyperlink>
      <w:r w:rsidRPr="00B87165">
        <w:rPr>
          <w:rFonts w:ascii="Arial" w:eastAsia="Arial" w:hAnsi="Arial" w:cs="Arial"/>
          <w:sz w:val="19"/>
          <w:szCs w:val="19"/>
          <w:highlight w:val="white"/>
          <w:lang w:val="lt-LT"/>
        </w:rPr>
        <w:t xml:space="preserve">, </w:t>
      </w:r>
      <w:hyperlink r:id="rId24">
        <w:r w:rsidRPr="00B87165">
          <w:rPr>
            <w:rFonts w:ascii="Arial" w:eastAsia="Arial" w:hAnsi="Arial" w:cs="Arial"/>
            <w:sz w:val="19"/>
            <w:szCs w:val="19"/>
            <w:highlight w:val="white"/>
            <w:lang w:val="lt-LT"/>
          </w:rPr>
          <w:t>Cristina Cellerai</w:t>
        </w:r>
      </w:hyperlink>
      <w:r w:rsidRPr="00B87165">
        <w:rPr>
          <w:rFonts w:ascii="Arial" w:eastAsia="Arial" w:hAnsi="Arial" w:cs="Arial"/>
          <w:sz w:val="19"/>
          <w:szCs w:val="19"/>
          <w:highlight w:val="white"/>
          <w:lang w:val="lt-LT"/>
        </w:rPr>
        <w:t xml:space="preserve">, </w:t>
      </w:r>
      <w:hyperlink r:id="rId25">
        <w:r w:rsidRPr="00B87165">
          <w:rPr>
            <w:rFonts w:ascii="Arial" w:eastAsia="Arial" w:hAnsi="Arial" w:cs="Arial"/>
            <w:sz w:val="19"/>
            <w:szCs w:val="19"/>
            <w:highlight w:val="white"/>
            <w:lang w:val="lt-LT"/>
          </w:rPr>
          <w:t>Giuseppe Pantaleo</w:t>
        </w:r>
      </w:hyperlink>
      <w:r w:rsidRPr="00B87165">
        <w:rPr>
          <w:rFonts w:ascii="Arial" w:eastAsia="Arial" w:hAnsi="Arial" w:cs="Arial"/>
          <w:sz w:val="19"/>
          <w:szCs w:val="19"/>
          <w:highlight w:val="white"/>
          <w:lang w:val="lt-LT"/>
        </w:rPr>
        <w:t xml:space="preserve">, </w:t>
      </w:r>
      <w:hyperlink r:id="rId26">
        <w:r w:rsidRPr="00B87165">
          <w:rPr>
            <w:rFonts w:ascii="Arial" w:eastAsia="Arial" w:hAnsi="Arial" w:cs="Arial"/>
            <w:sz w:val="19"/>
            <w:szCs w:val="19"/>
            <w:highlight w:val="white"/>
            <w:lang w:val="lt-LT"/>
          </w:rPr>
          <w:t>Adolfo Eiras</w:t>
        </w:r>
      </w:hyperlink>
      <w:r w:rsidRPr="00B87165">
        <w:rPr>
          <w:rFonts w:ascii="Arial" w:eastAsia="Arial" w:hAnsi="Arial" w:cs="Arial"/>
          <w:sz w:val="19"/>
          <w:szCs w:val="19"/>
          <w:highlight w:val="white"/>
          <w:lang w:val="lt-LT"/>
        </w:rPr>
        <w:t xml:space="preserve">, </w:t>
      </w:r>
      <w:hyperlink r:id="rId27">
        <w:r w:rsidRPr="00B87165">
          <w:rPr>
            <w:rFonts w:ascii="Arial" w:eastAsia="Arial" w:hAnsi="Arial" w:cs="Arial"/>
            <w:sz w:val="19"/>
            <w:szCs w:val="19"/>
            <w:highlight w:val="white"/>
            <w:lang w:val="lt-LT"/>
          </w:rPr>
          <w:t>Maria I Rodriguez</w:t>
        </w:r>
      </w:hyperlink>
      <w:r w:rsidRPr="00B87165">
        <w:rPr>
          <w:rFonts w:ascii="Arial" w:eastAsia="Arial" w:hAnsi="Arial" w:cs="Arial"/>
          <w:sz w:val="19"/>
          <w:szCs w:val="19"/>
          <w:highlight w:val="white"/>
          <w:lang w:val="lt-LT"/>
        </w:rPr>
        <w:t xml:space="preserve">, </w:t>
      </w:r>
      <w:hyperlink r:id="rId28">
        <w:r w:rsidRPr="00B87165">
          <w:rPr>
            <w:rFonts w:ascii="Arial" w:eastAsia="Arial" w:hAnsi="Arial" w:cs="Arial"/>
            <w:sz w:val="19"/>
            <w:szCs w:val="19"/>
            <w:highlight w:val="white"/>
            <w:lang w:val="lt-LT"/>
          </w:rPr>
          <w:t>Valeria Ghisetti</w:t>
        </w:r>
      </w:hyperlink>
      <w:r w:rsidRPr="00B87165">
        <w:rPr>
          <w:rFonts w:ascii="Arial" w:eastAsia="Arial" w:hAnsi="Arial" w:cs="Arial"/>
          <w:sz w:val="19"/>
          <w:szCs w:val="19"/>
          <w:highlight w:val="white"/>
          <w:lang w:val="lt-LT"/>
        </w:rPr>
        <w:t xml:space="preserve">, </w:t>
      </w:r>
      <w:hyperlink r:id="rId29">
        <w:r w:rsidRPr="00B87165">
          <w:rPr>
            <w:rFonts w:ascii="Arial" w:eastAsia="Arial" w:hAnsi="Arial" w:cs="Arial"/>
            <w:sz w:val="19"/>
            <w:szCs w:val="19"/>
            <w:highlight w:val="white"/>
            <w:lang w:val="lt-LT"/>
          </w:rPr>
          <w:t>Michael</w:t>
        </w:r>
        <w:r w:rsidRPr="00B87165">
          <w:rPr>
            <w:rFonts w:ascii="Arial" w:eastAsia="Arial" w:hAnsi="Arial" w:cs="Arial"/>
            <w:sz w:val="19"/>
            <w:szCs w:val="19"/>
            <w:highlight w:val="white"/>
            <w:lang w:val="lt-LT"/>
          </w:rPr>
          <w:t xml:space="preserve"> Gleich</w:t>
        </w:r>
      </w:hyperlink>
      <w:r w:rsidRPr="00B87165">
        <w:rPr>
          <w:rFonts w:ascii="Arial" w:eastAsia="Arial" w:hAnsi="Arial" w:cs="Arial"/>
          <w:sz w:val="19"/>
          <w:szCs w:val="19"/>
          <w:highlight w:val="white"/>
          <w:lang w:val="lt-LT"/>
        </w:rPr>
        <w:t xml:space="preserve">, </w:t>
      </w:r>
      <w:hyperlink r:id="rId30">
        <w:r w:rsidRPr="00B87165">
          <w:rPr>
            <w:rFonts w:ascii="Arial" w:eastAsia="Arial" w:hAnsi="Arial" w:cs="Arial"/>
            <w:sz w:val="19"/>
            <w:szCs w:val="19"/>
            <w:highlight w:val="white"/>
            <w:lang w:val="lt-LT"/>
          </w:rPr>
          <w:t>Roland Imdahl</w:t>
        </w:r>
      </w:hyperlink>
      <w:r w:rsidRPr="00B87165">
        <w:rPr>
          <w:rFonts w:ascii="Arial" w:eastAsia="Arial" w:hAnsi="Arial" w:cs="Arial"/>
          <w:sz w:val="19"/>
          <w:szCs w:val="19"/>
          <w:highlight w:val="white"/>
          <w:lang w:val="lt-LT"/>
        </w:rPr>
        <w:t xml:space="preserve">, </w:t>
      </w:r>
      <w:hyperlink r:id="rId31">
        <w:r w:rsidRPr="00B87165">
          <w:rPr>
            <w:rFonts w:ascii="Arial" w:eastAsia="Arial" w:hAnsi="Arial" w:cs="Arial"/>
            <w:sz w:val="19"/>
            <w:szCs w:val="19"/>
            <w:highlight w:val="white"/>
            <w:lang w:val="lt-LT"/>
          </w:rPr>
          <w:t>Claudia Kaiser</w:t>
        </w:r>
      </w:hyperlink>
      <w:r w:rsidRPr="00B87165">
        <w:rPr>
          <w:rFonts w:ascii="Arial" w:eastAsia="Arial" w:hAnsi="Arial" w:cs="Arial"/>
          <w:sz w:val="19"/>
          <w:szCs w:val="19"/>
          <w:highlight w:val="white"/>
          <w:lang w:val="lt-LT"/>
        </w:rPr>
        <w:t xml:space="preserve">, </w:t>
      </w:r>
      <w:hyperlink r:id="rId32">
        <w:r w:rsidRPr="00B87165">
          <w:rPr>
            <w:rFonts w:ascii="Arial" w:eastAsia="Arial" w:hAnsi="Arial" w:cs="Arial"/>
            <w:sz w:val="19"/>
            <w:szCs w:val="19"/>
            <w:highlight w:val="white"/>
            <w:lang w:val="lt-LT"/>
          </w:rPr>
          <w:t>Petra Möller</w:t>
        </w:r>
      </w:hyperlink>
      <w:r w:rsidRPr="00B87165">
        <w:rPr>
          <w:rFonts w:ascii="Arial" w:eastAsia="Arial" w:hAnsi="Arial" w:cs="Arial"/>
          <w:sz w:val="19"/>
          <w:szCs w:val="19"/>
          <w:highlight w:val="white"/>
          <w:lang w:val="lt-LT"/>
        </w:rPr>
        <w:t xml:space="preserve">, </w:t>
      </w:r>
      <w:hyperlink r:id="rId33">
        <w:r w:rsidRPr="00B87165">
          <w:rPr>
            <w:rFonts w:ascii="Arial" w:eastAsia="Arial" w:hAnsi="Arial" w:cs="Arial"/>
            <w:sz w:val="19"/>
            <w:szCs w:val="19"/>
            <w:highlight w:val="white"/>
            <w:lang w:val="lt-LT"/>
          </w:rPr>
          <w:t>Olaf Wetlitzky</w:t>
        </w:r>
      </w:hyperlink>
      <w:r w:rsidRPr="00B87165">
        <w:rPr>
          <w:rFonts w:ascii="Arial" w:eastAsia="Arial" w:hAnsi="Arial" w:cs="Arial"/>
          <w:sz w:val="19"/>
          <w:szCs w:val="19"/>
          <w:highlight w:val="white"/>
          <w:lang w:val="lt-LT"/>
        </w:rPr>
        <w:t xml:space="preserve">, </w:t>
      </w:r>
      <w:hyperlink r:id="rId34">
        <w:r w:rsidRPr="00B87165">
          <w:rPr>
            <w:rFonts w:ascii="Arial" w:eastAsia="Arial" w:hAnsi="Arial" w:cs="Arial"/>
            <w:sz w:val="19"/>
            <w:szCs w:val="19"/>
            <w:highlight w:val="white"/>
            <w:lang w:val="lt-LT"/>
          </w:rPr>
          <w:t>Man</w:t>
        </w:r>
        <w:r w:rsidRPr="00B87165">
          <w:rPr>
            <w:rFonts w:ascii="Arial" w:eastAsia="Arial" w:hAnsi="Arial" w:cs="Arial"/>
            <w:sz w:val="19"/>
            <w:szCs w:val="19"/>
            <w:highlight w:val="white"/>
            <w:lang w:val="lt-LT"/>
          </w:rPr>
          <w:t>uel Segovia</w:t>
        </w:r>
      </w:hyperlink>
      <w:r w:rsidRPr="00B87165">
        <w:rPr>
          <w:rFonts w:ascii="Arial" w:eastAsia="Arial" w:hAnsi="Arial" w:cs="Arial"/>
          <w:sz w:val="19"/>
          <w:szCs w:val="19"/>
          <w:highlight w:val="white"/>
          <w:lang w:val="lt-LT"/>
        </w:rPr>
        <w:t xml:space="preserve">, </w:t>
      </w:r>
      <w:hyperlink r:id="rId35">
        <w:r w:rsidRPr="00B87165">
          <w:rPr>
            <w:rFonts w:ascii="Arial" w:eastAsia="Arial" w:hAnsi="Arial" w:cs="Arial"/>
            <w:sz w:val="19"/>
            <w:szCs w:val="19"/>
            <w:highlight w:val="white"/>
            <w:lang w:val="lt-LT"/>
          </w:rPr>
          <w:t>Harald Schennach</w:t>
        </w:r>
      </w:hyperlink>
      <w:r w:rsidRPr="00B87165">
        <w:rPr>
          <w:rFonts w:ascii="Arial" w:eastAsia="Arial" w:hAnsi="Arial" w:cs="Arial"/>
          <w:sz w:val="19"/>
          <w:szCs w:val="19"/>
          <w:highlight w:val="white"/>
          <w:lang w:val="lt-LT"/>
        </w:rPr>
        <w:t xml:space="preserve">, </w:t>
      </w:r>
      <w:hyperlink r:id="rId36">
        <w:r w:rsidRPr="00B87165">
          <w:rPr>
            <w:rFonts w:ascii="Arial" w:eastAsia="Arial" w:hAnsi="Arial" w:cs="Arial"/>
            <w:sz w:val="19"/>
            <w:szCs w:val="19"/>
            <w:highlight w:val="white"/>
            <w:lang w:val="lt-LT"/>
          </w:rPr>
          <w:t>Annelies Mühlbacher</w:t>
        </w:r>
      </w:hyperlink>
      <w:r w:rsidRPr="00B87165">
        <w:rPr>
          <w:b/>
          <w:i/>
          <w:lang w:val="lt-LT"/>
        </w:rPr>
        <w:t xml:space="preserve">: </w:t>
      </w:r>
      <w:hyperlink r:id="rId37">
        <w:r w:rsidRPr="00B87165">
          <w:rPr>
            <w:b/>
            <w:i/>
            <w:color w:val="1155CC"/>
            <w:u w:val="single"/>
            <w:lang w:val="lt-LT"/>
          </w:rPr>
          <w:t>https://pubmed.ncbi.nlm.nih.gov/23765774/</w:t>
        </w:r>
      </w:hyperlink>
    </w:p>
    <w:p w:rsidR="00650943" w:rsidRPr="00B87165" w:rsidRDefault="00650943">
      <w:pPr>
        <w:rPr>
          <w:b/>
          <w:i/>
          <w:lang w:val="lt-LT"/>
        </w:rPr>
      </w:pPr>
    </w:p>
    <w:p w:rsidR="00650943" w:rsidRPr="00B87165" w:rsidRDefault="004933CD">
      <w:pPr>
        <w:rPr>
          <w:color w:val="000000"/>
          <w:lang w:val="lt-LT"/>
        </w:rPr>
      </w:pPr>
      <w:r w:rsidRPr="00B87165">
        <w:rPr>
          <w:lang w:val="lt-LT"/>
        </w:rPr>
        <w:t>Papildomai UAB „</w:t>
      </w:r>
      <w:proofErr w:type="spellStart"/>
      <w:r w:rsidRPr="00B87165">
        <w:rPr>
          <w:lang w:val="lt-LT"/>
        </w:rPr>
        <w:t>Roche</w:t>
      </w:r>
      <w:proofErr w:type="spellEnd"/>
      <w:r w:rsidRPr="00B87165">
        <w:rPr>
          <w:lang w:val="lt-LT"/>
        </w:rPr>
        <w:t xml:space="preserve"> Lietuva“ nori pabrėžti, jog vadovaujantis Vokietijoje taikoma klinikine praktika, visi infekcinių ligų tyrimai Vokietijoje turi turėti </w:t>
      </w:r>
      <w:proofErr w:type="spellStart"/>
      <w:r w:rsidRPr="00B87165">
        <w:rPr>
          <w:lang w:val="lt-LT"/>
        </w:rPr>
        <w:t>Paul-Ehrlich</w:t>
      </w:r>
      <w:proofErr w:type="spellEnd"/>
      <w:r w:rsidRPr="00B87165">
        <w:rPr>
          <w:lang w:val="lt-LT"/>
        </w:rPr>
        <w:t xml:space="preserve"> In</w:t>
      </w:r>
      <w:r w:rsidRPr="00B87165">
        <w:rPr>
          <w:lang w:val="lt-LT"/>
        </w:rPr>
        <w:t>stituto sertifikatą, žinomą kaip - PEI</w:t>
      </w:r>
      <w:r w:rsidRPr="00B87165">
        <w:rPr>
          <w:b/>
          <w:lang w:val="lt-LT"/>
        </w:rPr>
        <w:t xml:space="preserve"> </w:t>
      </w:r>
      <w:r w:rsidRPr="00B87165">
        <w:rPr>
          <w:lang w:val="lt-LT"/>
        </w:rPr>
        <w:t xml:space="preserve">sertifikatas. Tai dar vienas išorinės institucijos dokumentas, įrodantis, kad ECL metodas yra tinkamas kraujo donorų patikrai. </w:t>
      </w:r>
      <w:r w:rsidR="00EF744D">
        <w:rPr>
          <w:lang w:val="lt-LT"/>
        </w:rPr>
        <w:t>Kartu pridedama</w:t>
      </w:r>
      <w:r w:rsidR="00A6023D" w:rsidRPr="00B87165">
        <w:rPr>
          <w:lang w:val="lt-LT"/>
        </w:rPr>
        <w:t xml:space="preserve"> PEI kelia</w:t>
      </w:r>
      <w:r w:rsidR="00EF744D">
        <w:rPr>
          <w:lang w:val="lt-LT"/>
        </w:rPr>
        <w:t>mi reikalavimai</w:t>
      </w:r>
      <w:r w:rsidR="00A6023D" w:rsidRPr="00B87165">
        <w:rPr>
          <w:lang w:val="lt-LT"/>
        </w:rPr>
        <w:t xml:space="preserve"> tyrimams.</w:t>
      </w: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0F2812" w:rsidRPr="00B87165" w:rsidRDefault="000F2812" w:rsidP="00094CC7">
      <w:pPr>
        <w:spacing w:after="0" w:line="240" w:lineRule="auto"/>
        <w:ind w:left="-1134"/>
        <w:rPr>
          <w:i/>
          <w:color w:val="000000"/>
          <w:lang w:val="lt-LT"/>
        </w:rPr>
      </w:pPr>
    </w:p>
    <w:p w:rsidR="00650943" w:rsidRPr="00B87165" w:rsidRDefault="004933CD" w:rsidP="00094CC7">
      <w:pPr>
        <w:spacing w:after="0" w:line="240" w:lineRule="auto"/>
        <w:ind w:left="-1134"/>
        <w:rPr>
          <w:i/>
          <w:lang w:val="lt-LT"/>
        </w:rPr>
      </w:pPr>
      <w:r w:rsidRPr="00B87165">
        <w:rPr>
          <w:i/>
          <w:color w:val="000000"/>
          <w:lang w:val="lt-LT"/>
        </w:rPr>
        <w:lastRenderedPageBreak/>
        <w:t xml:space="preserve">2. </w:t>
      </w:r>
      <w:r w:rsidRPr="00B87165">
        <w:rPr>
          <w:i/>
          <w:color w:val="000000"/>
          <w:lang w:val="lt-LT"/>
        </w:rPr>
        <w:t>Techninės specifikacijos 3.4 p</w:t>
      </w:r>
      <w:r w:rsidRPr="00B87165">
        <w:rPr>
          <w:i/>
          <w:color w:val="000000"/>
          <w:lang w:val="lt-LT"/>
        </w:rPr>
        <w:t xml:space="preserve">. numatytas reikalavimas „Tiekėjas pasiūlyme turi įrašyti visas tyrimų atlikimui (pagal gamintojo rekomendacijas) reikalingas Medicinos priemones bei priedus ir orientacinį jų kiekį, reikalingą nurodytam tyrimų kiekiui ištirti. Tiekėjas turi įvertinti tai </w:t>
      </w:r>
      <w:r w:rsidRPr="00B87165">
        <w:rPr>
          <w:i/>
          <w:color w:val="000000"/>
          <w:lang w:val="lt-LT"/>
        </w:rPr>
        <w:t>kad, Medicinos priemonės bus naudojamos atsižvelgiant į gamintojo nurodytus galiojimo, stabilumo terminus bei galutiniam rezultatui pasiekti, reikalingą kartojamų tyrimų skaičių, kaip numatyta gamintojo Medicinos priemonių naudojimo instrukcijoje. Tyrimų v</w:t>
      </w:r>
      <w:r w:rsidRPr="00B87165">
        <w:rPr>
          <w:i/>
          <w:color w:val="000000"/>
          <w:lang w:val="lt-LT"/>
        </w:rPr>
        <w:t xml:space="preserve">idaus kokybės kontrolės bus atliekamos tiek kartų kiek rekomenduoja </w:t>
      </w:r>
      <w:proofErr w:type="spellStart"/>
      <w:r w:rsidRPr="00B87165">
        <w:rPr>
          <w:i/>
          <w:color w:val="000000"/>
          <w:lang w:val="lt-LT"/>
        </w:rPr>
        <w:t>in</w:t>
      </w:r>
      <w:proofErr w:type="spellEnd"/>
      <w:r w:rsidRPr="00B87165">
        <w:rPr>
          <w:i/>
          <w:color w:val="000000"/>
          <w:lang w:val="lt-LT"/>
        </w:rPr>
        <w:t xml:space="preserve"> </w:t>
      </w:r>
      <w:proofErr w:type="spellStart"/>
      <w:r w:rsidRPr="00B87165">
        <w:rPr>
          <w:i/>
          <w:color w:val="000000"/>
          <w:lang w:val="lt-LT"/>
        </w:rPr>
        <w:t>vitro</w:t>
      </w:r>
      <w:proofErr w:type="spellEnd"/>
      <w:r w:rsidRPr="00B87165">
        <w:rPr>
          <w:i/>
          <w:color w:val="000000"/>
          <w:lang w:val="lt-LT"/>
        </w:rPr>
        <w:t xml:space="preserve"> diagnostikos medicinos priemonės (prietaiso) gamintojas, tačiau ne rečiau kaip vieną kartą per dieną. Visos tyrimų atlikimui reikalingos Medicinos priemonės ir priedai, turi būti </w:t>
      </w:r>
      <w:r w:rsidRPr="00B87165">
        <w:rPr>
          <w:i/>
          <w:color w:val="000000"/>
          <w:lang w:val="lt-LT"/>
        </w:rPr>
        <w:t>įskaičiuoti į tyrimo (žiūrėti 2.1.1, 2.1.2, 2.1.3, 2.1.4, 2.1.5 papunkčius) įkainį.“</w:t>
      </w:r>
    </w:p>
    <w:p w:rsidR="00650943" w:rsidRPr="00B87165" w:rsidRDefault="00650943" w:rsidP="00094CC7">
      <w:pPr>
        <w:spacing w:after="0" w:line="240" w:lineRule="auto"/>
        <w:ind w:left="-993"/>
        <w:rPr>
          <w:i/>
          <w:lang w:val="lt-LT"/>
        </w:rPr>
      </w:pPr>
    </w:p>
    <w:p w:rsidR="00650943" w:rsidRPr="00B87165" w:rsidRDefault="004933CD" w:rsidP="000F2812">
      <w:pPr>
        <w:ind w:left="-1134"/>
        <w:rPr>
          <w:i/>
          <w:lang w:val="lt-LT"/>
        </w:rPr>
      </w:pPr>
      <w:r w:rsidRPr="00B87165">
        <w:rPr>
          <w:i/>
          <w:color w:val="000000"/>
          <w:lang w:val="lt-LT"/>
        </w:rPr>
        <w:t>Pasiūlymo 2 lentelėje 1.1, 2.1, 3.1, 4.1, 5.1 papunkčiuose nurodyti rinkiniai (</w:t>
      </w:r>
      <w:proofErr w:type="spellStart"/>
      <w:r w:rsidRPr="00B87165">
        <w:rPr>
          <w:i/>
          <w:color w:val="000000"/>
          <w:lang w:val="lt-LT"/>
        </w:rPr>
        <w:t>test</w:t>
      </w:r>
      <w:proofErr w:type="spellEnd"/>
      <w:r w:rsidRPr="00B87165">
        <w:rPr>
          <w:i/>
          <w:color w:val="000000"/>
          <w:lang w:val="lt-LT"/>
        </w:rPr>
        <w:t xml:space="preserve"> /</w:t>
      </w:r>
      <w:proofErr w:type="spellStart"/>
      <w:r w:rsidRPr="00B87165">
        <w:rPr>
          <w:i/>
          <w:color w:val="000000"/>
          <w:lang w:val="lt-LT"/>
        </w:rPr>
        <w:t>pak</w:t>
      </w:r>
      <w:proofErr w:type="spellEnd"/>
      <w:r w:rsidRPr="00B87165">
        <w:rPr>
          <w:i/>
          <w:color w:val="000000"/>
          <w:lang w:val="lt-LT"/>
        </w:rPr>
        <w:t>.). Nėra aišku, kas tiksliai įeina į šiuos rinkinius.</w:t>
      </w:r>
    </w:p>
    <w:p w:rsidR="00650943" w:rsidRPr="00B87165" w:rsidRDefault="004933CD" w:rsidP="000F2812">
      <w:pPr>
        <w:ind w:left="-1134"/>
        <w:rPr>
          <w:b/>
          <w:lang w:val="lt-LT"/>
        </w:rPr>
      </w:pPr>
      <w:r w:rsidRPr="00B87165">
        <w:rPr>
          <w:color w:val="000000"/>
          <w:lang w:val="lt-LT"/>
        </w:rPr>
        <w:t>UAB „</w:t>
      </w:r>
      <w:proofErr w:type="spellStart"/>
      <w:r w:rsidRPr="00B87165">
        <w:rPr>
          <w:color w:val="000000"/>
          <w:lang w:val="lt-LT"/>
        </w:rPr>
        <w:t>Roche</w:t>
      </w:r>
      <w:proofErr w:type="spellEnd"/>
      <w:r w:rsidRPr="00B87165">
        <w:rPr>
          <w:color w:val="000000"/>
          <w:lang w:val="lt-LT"/>
        </w:rPr>
        <w:t xml:space="preserve"> Lietuva“ turi nur</w:t>
      </w:r>
      <w:r w:rsidRPr="00B87165">
        <w:rPr>
          <w:color w:val="000000"/>
          <w:lang w:val="lt-LT"/>
        </w:rPr>
        <w:t>odyti pasiūlymo 2 lentelėje 1.1, 2.1, 3.1, 4.1, 5.1 p. nurodytų reagentų pakuočių sudėtį.</w:t>
      </w:r>
    </w:p>
    <w:p w:rsidR="00650943" w:rsidRPr="00B87165" w:rsidRDefault="004933CD">
      <w:pPr>
        <w:spacing w:after="0" w:line="240" w:lineRule="auto"/>
        <w:rPr>
          <w:b/>
          <w:highlight w:val="white"/>
          <w:lang w:val="lt-LT"/>
        </w:rPr>
      </w:pPr>
      <w:r w:rsidRPr="00B87165">
        <w:rPr>
          <w:b/>
          <w:lang w:val="lt-LT"/>
        </w:rPr>
        <w:t>UA</w:t>
      </w:r>
      <w:r w:rsidRPr="00B87165">
        <w:rPr>
          <w:b/>
          <w:highlight w:val="white"/>
          <w:lang w:val="lt-LT"/>
        </w:rPr>
        <w:t>B „</w:t>
      </w:r>
      <w:proofErr w:type="spellStart"/>
      <w:r w:rsidRPr="00B87165">
        <w:rPr>
          <w:b/>
          <w:highlight w:val="white"/>
          <w:lang w:val="lt-LT"/>
        </w:rPr>
        <w:t>Roche</w:t>
      </w:r>
      <w:proofErr w:type="spellEnd"/>
      <w:r w:rsidRPr="00B87165">
        <w:rPr>
          <w:b/>
          <w:highlight w:val="white"/>
          <w:lang w:val="lt-LT"/>
        </w:rPr>
        <w:t xml:space="preserve"> Lietuva“ pažymi, kad remiantis pasiūlymo lentele nebuvo keliamas reikalavimas nurodyti reagentų pakuotės sudėtį. </w:t>
      </w:r>
    </w:p>
    <w:p w:rsidR="00650943" w:rsidRPr="00B87165" w:rsidRDefault="00650943">
      <w:pPr>
        <w:spacing w:after="0" w:line="240" w:lineRule="auto"/>
        <w:rPr>
          <w:b/>
          <w:highlight w:val="white"/>
          <w:lang w:val="lt-LT"/>
        </w:rPr>
      </w:pPr>
    </w:p>
    <w:p w:rsidR="00650943" w:rsidRPr="00B87165" w:rsidRDefault="004933CD">
      <w:pPr>
        <w:spacing w:after="0" w:line="240" w:lineRule="auto"/>
        <w:rPr>
          <w:rFonts w:ascii="Times New Roman" w:eastAsia="Times New Roman" w:hAnsi="Times New Roman" w:cs="Times New Roman"/>
          <w:i/>
          <w:sz w:val="24"/>
          <w:szCs w:val="24"/>
          <w:highlight w:val="white"/>
          <w:lang w:val="lt-LT"/>
        </w:rPr>
      </w:pPr>
      <w:r w:rsidRPr="00B87165">
        <w:rPr>
          <w:b/>
          <w:lang w:val="lt-LT"/>
        </w:rPr>
        <w:t>UAB „</w:t>
      </w:r>
      <w:proofErr w:type="spellStart"/>
      <w:r w:rsidRPr="00B87165">
        <w:rPr>
          <w:b/>
          <w:lang w:val="lt-LT"/>
        </w:rPr>
        <w:t>Roche</w:t>
      </w:r>
      <w:proofErr w:type="spellEnd"/>
      <w:r w:rsidRPr="00B87165">
        <w:rPr>
          <w:b/>
          <w:lang w:val="lt-LT"/>
        </w:rPr>
        <w:t xml:space="preserve"> Lietuva“ teikdama pasiūlymą į</w:t>
      </w:r>
      <w:r w:rsidRPr="00B87165">
        <w:rPr>
          <w:b/>
          <w:lang w:val="lt-LT"/>
        </w:rPr>
        <w:t xml:space="preserve">sipareigojo taikyti tik nurodytus tyrimų įkainius ir </w:t>
      </w:r>
      <w:proofErr w:type="spellStart"/>
      <w:r w:rsidRPr="00B87165">
        <w:rPr>
          <w:b/>
          <w:lang w:val="lt-LT"/>
        </w:rPr>
        <w:t>neapmokęstinti</w:t>
      </w:r>
      <w:proofErr w:type="spellEnd"/>
      <w:r w:rsidRPr="00B87165">
        <w:rPr>
          <w:b/>
          <w:lang w:val="lt-LT"/>
        </w:rPr>
        <w:t xml:space="preserve"> jokių papildomų išlaidų bei papildomų kaštų reikalingų sklandžiam tyrimų atlikimui visą sutarties laikotarpį, vadovaujantis techninės specifikacijos 4.2. punktu: </w:t>
      </w:r>
      <w:r w:rsidRPr="00B87165">
        <w:rPr>
          <w:i/>
          <w:lang w:val="lt-LT"/>
        </w:rPr>
        <w:t xml:space="preserve">„Tiekėjas kartu su Įranga </w:t>
      </w:r>
      <w:r w:rsidRPr="00B87165">
        <w:rPr>
          <w:i/>
          <w:lang w:val="lt-LT"/>
        </w:rPr>
        <w:t>pateikia visus priklausinius , papildomus įrenginius bei kitus būtinus priklausinius kurie numatyti gamintojo instrukcijoje, kitame gamintojo nurodyme ar yra būtini tinkamam Įrangos veikimui bei tyrimo rezultatų gavimui. Pagrindinis panaudos principas – Ti</w:t>
      </w:r>
      <w:r w:rsidRPr="00B87165">
        <w:rPr>
          <w:i/>
          <w:lang w:val="lt-LT"/>
        </w:rPr>
        <w:t xml:space="preserve">ekėjas savo sąskaitą pristato, diegia ir paruošia darbui visą TS nurodytų tyrimų atlikimui reikalingą Įrangą, įskaitant, bet neapsiribojant jos aptarnavimui reikalingas medžiagas ir detales bei kitus priklausinius, be kurių Įranga negali veikti ar atlikti </w:t>
      </w:r>
      <w:r w:rsidRPr="00B87165">
        <w:rPr>
          <w:i/>
          <w:lang w:val="lt-LT"/>
        </w:rPr>
        <w:t>tos funkcijos, kuriam įsigyjama, o Pirkėjas moka už tyrimus pagal jo pasiūlyme nurodytus įkainius, jokie kiti Tiekėjo mokesčiai, išlaidos ar papildomi kaštai nebus apmokami.</w:t>
      </w:r>
      <w:r w:rsidRPr="00B87165">
        <w:rPr>
          <w:b/>
          <w:highlight w:val="white"/>
          <w:lang w:val="lt-LT"/>
        </w:rPr>
        <w:t xml:space="preserve">“ </w:t>
      </w:r>
    </w:p>
    <w:p w:rsidR="00650943" w:rsidRPr="00B87165" w:rsidRDefault="00650943">
      <w:pPr>
        <w:spacing w:after="0" w:line="240" w:lineRule="auto"/>
        <w:rPr>
          <w:rFonts w:ascii="Times New Roman" w:eastAsia="Times New Roman" w:hAnsi="Times New Roman" w:cs="Times New Roman"/>
          <w:b/>
          <w:i/>
          <w:sz w:val="24"/>
          <w:szCs w:val="24"/>
          <w:highlight w:val="yellow"/>
          <w:lang w:val="lt-LT"/>
        </w:rPr>
      </w:pPr>
    </w:p>
    <w:p w:rsidR="00650943" w:rsidRPr="00B87165" w:rsidRDefault="004933CD">
      <w:pPr>
        <w:spacing w:after="0" w:line="240" w:lineRule="auto"/>
        <w:rPr>
          <w:highlight w:val="white"/>
          <w:lang w:val="lt-LT"/>
        </w:rPr>
      </w:pPr>
      <w:r w:rsidRPr="00B87165">
        <w:rPr>
          <w:highlight w:val="white"/>
          <w:lang w:val="lt-LT"/>
        </w:rPr>
        <w:t>Pažymime, kad pakuotės sudėtis nurodyta reagentų metodinių lapų skyriuje „Reage</w:t>
      </w:r>
      <w:r w:rsidRPr="00B87165">
        <w:rPr>
          <w:highlight w:val="white"/>
          <w:lang w:val="lt-LT"/>
        </w:rPr>
        <w:t>ntai - darbiniai tirpalai“.</w:t>
      </w:r>
      <w:r w:rsidR="000F2812" w:rsidRPr="00B87165">
        <w:rPr>
          <w:highlight w:val="white"/>
          <w:lang w:val="lt-LT"/>
        </w:rPr>
        <w:t xml:space="preserve"> </w:t>
      </w:r>
      <w:r w:rsidRPr="00B87165">
        <w:rPr>
          <w:highlight w:val="white"/>
          <w:lang w:val="lt-LT"/>
        </w:rPr>
        <w:t xml:space="preserve">Taip pat norėtume pažymėti, kad reagentų pakuotėje kartu pateikiamos ir </w:t>
      </w:r>
      <w:proofErr w:type="spellStart"/>
      <w:r w:rsidRPr="00B87165">
        <w:rPr>
          <w:highlight w:val="white"/>
          <w:lang w:val="lt-LT"/>
        </w:rPr>
        <w:t>kalibracinės</w:t>
      </w:r>
      <w:proofErr w:type="spellEnd"/>
      <w:r w:rsidRPr="00B87165">
        <w:rPr>
          <w:highlight w:val="white"/>
          <w:lang w:val="lt-LT"/>
        </w:rPr>
        <w:t xml:space="preserve"> medžiagos.</w:t>
      </w:r>
    </w:p>
    <w:p w:rsidR="000F2812" w:rsidRPr="00B87165" w:rsidRDefault="000F2812">
      <w:pPr>
        <w:spacing w:after="0" w:line="240" w:lineRule="auto"/>
        <w:rPr>
          <w:highlight w:val="white"/>
          <w:lang w:val="lt-LT"/>
        </w:rPr>
      </w:pPr>
    </w:p>
    <w:p w:rsidR="00650943" w:rsidRPr="00B87165" w:rsidRDefault="000F2812" w:rsidP="000F2812">
      <w:pPr>
        <w:spacing w:after="0" w:line="240" w:lineRule="auto"/>
        <w:ind w:left="1418"/>
        <w:rPr>
          <w:b/>
          <w:highlight w:val="yellow"/>
          <w:lang w:val="lt-LT"/>
        </w:rPr>
      </w:pPr>
      <w:r w:rsidRPr="00B87165">
        <w:rPr>
          <w:b/>
          <w:noProof/>
          <w:lang w:val="lt-LT"/>
        </w:rPr>
        <w:drawing>
          <wp:inline distT="114300" distB="114300" distL="114300" distR="114300" wp14:anchorId="49F4F5CA" wp14:editId="5586331A">
            <wp:extent cx="3636282" cy="2487168"/>
            <wp:effectExtent l="0" t="0" r="2540" b="889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3636282" cy="2487168"/>
                    </a:xfrm>
                    <a:prstGeom prst="rect">
                      <a:avLst/>
                    </a:prstGeom>
                    <a:ln/>
                  </pic:spPr>
                </pic:pic>
              </a:graphicData>
            </a:graphic>
          </wp:inline>
        </w:drawing>
      </w:r>
    </w:p>
    <w:p w:rsidR="00650943" w:rsidRPr="00B87165" w:rsidRDefault="00650943">
      <w:pPr>
        <w:spacing w:after="0" w:line="240" w:lineRule="auto"/>
        <w:rPr>
          <w:highlight w:val="white"/>
          <w:lang w:val="lt-LT"/>
        </w:rPr>
      </w:pPr>
    </w:p>
    <w:p w:rsidR="00650943" w:rsidRPr="00B87165" w:rsidRDefault="00650943">
      <w:pPr>
        <w:spacing w:after="0" w:line="240" w:lineRule="auto"/>
        <w:rPr>
          <w:rFonts w:ascii="Times New Roman" w:eastAsia="Times New Roman" w:hAnsi="Times New Roman" w:cs="Times New Roman"/>
          <w:b/>
          <w:i/>
          <w:sz w:val="24"/>
          <w:szCs w:val="24"/>
          <w:highlight w:val="yellow"/>
          <w:lang w:val="lt-LT"/>
        </w:rPr>
      </w:pPr>
    </w:p>
    <w:p w:rsidR="00650943" w:rsidRPr="00B87165" w:rsidRDefault="00650943">
      <w:pPr>
        <w:spacing w:after="0" w:line="240" w:lineRule="auto"/>
        <w:rPr>
          <w:b/>
          <w:lang w:val="lt-LT"/>
        </w:rPr>
      </w:pPr>
    </w:p>
    <w:p w:rsidR="00650943" w:rsidRDefault="004933CD">
      <w:pPr>
        <w:spacing w:after="0" w:line="240" w:lineRule="auto"/>
        <w:rPr>
          <w:b/>
          <w:lang w:val="lt-LT"/>
        </w:rPr>
      </w:pPr>
      <w:r w:rsidRPr="00B87165">
        <w:rPr>
          <w:b/>
          <w:lang w:val="lt-LT"/>
        </w:rPr>
        <w:t>Reagentų pakuotėje esančių tyrimų kiekis nurodytas reagentų metodiniame lape.</w:t>
      </w:r>
    </w:p>
    <w:p w:rsidR="00EF744D" w:rsidRPr="00B87165" w:rsidRDefault="00EF744D">
      <w:pPr>
        <w:spacing w:after="0" w:line="240" w:lineRule="auto"/>
        <w:rPr>
          <w:b/>
          <w:lang w:val="lt-LT"/>
        </w:rPr>
      </w:pPr>
      <w:bookmarkStart w:id="0" w:name="_GoBack"/>
      <w:bookmarkEnd w:id="0"/>
    </w:p>
    <w:p w:rsidR="000F2812" w:rsidRPr="00B87165" w:rsidRDefault="004933CD" w:rsidP="000F2812">
      <w:pPr>
        <w:spacing w:after="0" w:line="240" w:lineRule="auto"/>
        <w:ind w:left="426"/>
        <w:rPr>
          <w:b/>
          <w:lang w:val="lt-LT"/>
        </w:rPr>
      </w:pPr>
      <w:r w:rsidRPr="00B87165">
        <w:rPr>
          <w:b/>
          <w:noProof/>
          <w:lang w:val="lt-LT"/>
        </w:rPr>
        <w:drawing>
          <wp:inline distT="114300" distB="114300" distL="114300" distR="114300">
            <wp:extent cx="5464454" cy="1087983"/>
            <wp:effectExtent l="0" t="0" r="317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9"/>
                    <a:srcRect/>
                    <a:stretch>
                      <a:fillRect/>
                    </a:stretch>
                  </pic:blipFill>
                  <pic:spPr>
                    <a:xfrm>
                      <a:off x="0" y="0"/>
                      <a:ext cx="5513077" cy="1097664"/>
                    </a:xfrm>
                    <a:prstGeom prst="rect">
                      <a:avLst/>
                    </a:prstGeom>
                    <a:ln/>
                  </pic:spPr>
                </pic:pic>
              </a:graphicData>
            </a:graphic>
          </wp:inline>
        </w:drawing>
      </w:r>
      <w:r w:rsidRPr="00B87165">
        <w:rPr>
          <w:b/>
          <w:lang w:val="lt-LT"/>
        </w:rPr>
        <w:t xml:space="preserve"> </w:t>
      </w:r>
    </w:p>
    <w:p w:rsidR="000F2812" w:rsidRPr="00B87165" w:rsidRDefault="000F2812" w:rsidP="000F2812">
      <w:pPr>
        <w:spacing w:after="0" w:line="240" w:lineRule="auto"/>
        <w:ind w:left="426"/>
        <w:rPr>
          <w:b/>
          <w:lang w:val="lt-LT"/>
        </w:rPr>
      </w:pPr>
    </w:p>
    <w:p w:rsidR="00650943" w:rsidRPr="00B87165" w:rsidRDefault="004933CD" w:rsidP="000F2812">
      <w:pPr>
        <w:spacing w:after="0" w:line="240" w:lineRule="auto"/>
        <w:rPr>
          <w:b/>
          <w:lang w:val="lt-LT"/>
        </w:rPr>
      </w:pPr>
      <w:r w:rsidRPr="00B87165">
        <w:rPr>
          <w:b/>
          <w:lang w:val="lt-LT"/>
        </w:rPr>
        <w:t>Taip pat papildomai pasiūlyme prie prekės kodo nurodytas tyrimų kiekis, pvz</w:t>
      </w:r>
      <w:r w:rsidR="000F2812" w:rsidRPr="00B87165">
        <w:rPr>
          <w:b/>
          <w:lang w:val="lt-LT"/>
        </w:rPr>
        <w:t>. iš pasiūlymo</w:t>
      </w:r>
      <w:r w:rsidRPr="00B87165">
        <w:rPr>
          <w:b/>
          <w:lang w:val="lt-LT"/>
        </w:rPr>
        <w:t xml:space="preserve">.: 300 </w:t>
      </w:r>
      <w:proofErr w:type="spellStart"/>
      <w:r w:rsidRPr="00B87165">
        <w:rPr>
          <w:b/>
          <w:lang w:val="lt-LT"/>
        </w:rPr>
        <w:t>test</w:t>
      </w:r>
      <w:proofErr w:type="spellEnd"/>
      <w:r w:rsidRPr="00B87165">
        <w:rPr>
          <w:b/>
          <w:lang w:val="lt-LT"/>
        </w:rPr>
        <w:t>/</w:t>
      </w:r>
      <w:proofErr w:type="spellStart"/>
      <w:r w:rsidRPr="00B87165">
        <w:rPr>
          <w:b/>
          <w:lang w:val="lt-LT"/>
        </w:rPr>
        <w:t>pak</w:t>
      </w:r>
      <w:proofErr w:type="spellEnd"/>
      <w:r w:rsidRPr="00B87165">
        <w:rPr>
          <w:b/>
          <w:lang w:val="lt-LT"/>
        </w:rPr>
        <w:t xml:space="preserve">. </w:t>
      </w:r>
      <w:r w:rsidR="000F2812" w:rsidRPr="00B87165">
        <w:rPr>
          <w:b/>
          <w:lang w:val="lt-LT"/>
        </w:rPr>
        <w:t xml:space="preserve"> </w:t>
      </w:r>
    </w:p>
    <w:p w:rsidR="00650943" w:rsidRPr="00B87165" w:rsidRDefault="00650943">
      <w:pPr>
        <w:spacing w:after="0" w:line="240" w:lineRule="auto"/>
        <w:rPr>
          <w:b/>
          <w:lang w:val="lt-LT"/>
        </w:rPr>
      </w:pPr>
    </w:p>
    <w:tbl>
      <w:tblPr>
        <w:tblStyle w:val="a"/>
        <w:tblW w:w="9740" w:type="dxa"/>
        <w:tblBorders>
          <w:top w:val="nil"/>
          <w:left w:val="nil"/>
          <w:bottom w:val="nil"/>
          <w:right w:val="nil"/>
          <w:insideH w:val="nil"/>
          <w:insideV w:val="nil"/>
        </w:tblBorders>
        <w:tblLayout w:type="fixed"/>
        <w:tblLook w:val="0600" w:firstRow="0" w:lastRow="0" w:firstColumn="0" w:lastColumn="0" w:noHBand="1" w:noVBand="1"/>
      </w:tblPr>
      <w:tblGrid>
        <w:gridCol w:w="619"/>
        <w:gridCol w:w="2673"/>
        <w:gridCol w:w="1510"/>
        <w:gridCol w:w="1873"/>
        <w:gridCol w:w="1691"/>
        <w:gridCol w:w="1374"/>
      </w:tblGrid>
      <w:tr w:rsidR="00650943" w:rsidRPr="00B87165" w:rsidTr="000F2812">
        <w:trPr>
          <w:trHeight w:val="2391"/>
        </w:trPr>
        <w:tc>
          <w:tcPr>
            <w:tcW w:w="6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140"/>
              <w:jc w:val="center"/>
              <w:rPr>
                <w:b/>
                <w:lang w:val="lt-LT"/>
              </w:rPr>
            </w:pPr>
            <w:r w:rsidRPr="00B87165">
              <w:rPr>
                <w:b/>
                <w:lang w:val="lt-LT"/>
              </w:rPr>
              <w:t>Eil. Nr.</w:t>
            </w:r>
          </w:p>
        </w:tc>
        <w:tc>
          <w:tcPr>
            <w:tcW w:w="267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Medicinos priemonių ir priedų rinkinys</w:t>
            </w:r>
          </w:p>
          <w:p w:rsidR="00650943" w:rsidRPr="00B87165" w:rsidRDefault="004933CD">
            <w:pPr>
              <w:spacing w:before="240" w:after="240" w:line="240" w:lineRule="auto"/>
              <w:ind w:left="-140"/>
              <w:jc w:val="center"/>
              <w:rPr>
                <w:b/>
                <w:color w:val="FF0000"/>
                <w:lang w:val="lt-LT"/>
              </w:rPr>
            </w:pPr>
            <w:r w:rsidRPr="00B87165">
              <w:rPr>
                <w:b/>
                <w:color w:val="FF0000"/>
                <w:lang w:val="lt-LT"/>
              </w:rPr>
              <w:t>(Gamintojas, komercinės prekės pavadinimas)</w:t>
            </w:r>
          </w:p>
        </w:tc>
        <w:tc>
          <w:tcPr>
            <w:tcW w:w="15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after="0" w:line="240" w:lineRule="auto"/>
              <w:ind w:left="-240" w:right="-100"/>
              <w:jc w:val="center"/>
              <w:rPr>
                <w:b/>
                <w:lang w:val="lt-LT"/>
              </w:rPr>
            </w:pPr>
            <w:r w:rsidRPr="00B87165">
              <w:rPr>
                <w:b/>
                <w:lang w:val="lt-LT"/>
              </w:rPr>
              <w:t>Tyrimų skaičius per 36 mėnesius</w:t>
            </w:r>
          </w:p>
          <w:p w:rsidR="00650943" w:rsidRPr="00B87165" w:rsidRDefault="004933CD">
            <w:pPr>
              <w:spacing w:before="240" w:after="240" w:line="240" w:lineRule="auto"/>
              <w:ind w:left="-140"/>
              <w:jc w:val="center"/>
              <w:rPr>
                <w:b/>
                <w:lang w:val="lt-LT"/>
              </w:rPr>
            </w:pPr>
            <w:r w:rsidRPr="00B87165">
              <w:rPr>
                <w:b/>
                <w:lang w:val="lt-LT"/>
              </w:rPr>
              <w:t xml:space="preserve"> </w:t>
            </w:r>
          </w:p>
        </w:tc>
        <w:tc>
          <w:tcPr>
            <w:tcW w:w="187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after="0" w:line="240" w:lineRule="auto"/>
              <w:ind w:left="-220" w:right="-140"/>
              <w:jc w:val="center"/>
              <w:rPr>
                <w:b/>
                <w:lang w:val="lt-LT"/>
              </w:rPr>
            </w:pPr>
            <w:r w:rsidRPr="00B87165">
              <w:rPr>
                <w:b/>
                <w:lang w:val="lt-LT"/>
              </w:rPr>
              <w:t>Preliminarus medicinos priemonių ir</w:t>
            </w:r>
            <w:r w:rsidRPr="00B87165">
              <w:rPr>
                <w:b/>
                <w:lang w:val="lt-LT"/>
              </w:rPr>
              <w:t xml:space="preserve"> priedų rinkinys (ml./vnt.)</w:t>
            </w:r>
          </w:p>
          <w:p w:rsidR="00650943" w:rsidRPr="00B87165" w:rsidRDefault="004933CD">
            <w:pPr>
              <w:spacing w:before="240" w:after="240" w:line="240" w:lineRule="auto"/>
              <w:ind w:left="-140"/>
              <w:jc w:val="center"/>
              <w:rPr>
                <w:b/>
                <w:lang w:val="lt-LT"/>
              </w:rPr>
            </w:pPr>
            <w:r w:rsidRPr="00B87165">
              <w:rPr>
                <w:b/>
                <w:lang w:val="lt-LT"/>
              </w:rPr>
              <w:t>maksimaliam tyrimų skaičiui</w:t>
            </w:r>
          </w:p>
        </w:tc>
        <w:tc>
          <w:tcPr>
            <w:tcW w:w="169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after="0" w:line="240" w:lineRule="auto"/>
              <w:ind w:left="-240" w:right="-100"/>
              <w:jc w:val="center"/>
              <w:rPr>
                <w:b/>
                <w:lang w:val="lt-LT"/>
              </w:rPr>
            </w:pPr>
            <w:r w:rsidRPr="00B87165">
              <w:rPr>
                <w:b/>
                <w:lang w:val="lt-LT"/>
              </w:rPr>
              <w:t xml:space="preserve">Medicinos priemonių ir priedų rinkinys reikalingas vienam tyrimui atlikti, kaina, </w:t>
            </w:r>
            <w:proofErr w:type="spellStart"/>
            <w:r w:rsidRPr="00B87165">
              <w:rPr>
                <w:b/>
                <w:lang w:val="lt-LT"/>
              </w:rPr>
              <w:t>Eur</w:t>
            </w:r>
            <w:proofErr w:type="spellEnd"/>
            <w:r w:rsidRPr="00B87165">
              <w:rPr>
                <w:b/>
                <w:lang w:val="lt-LT"/>
              </w:rPr>
              <w:t xml:space="preserve"> be PVM</w:t>
            </w:r>
          </w:p>
        </w:tc>
        <w:tc>
          <w:tcPr>
            <w:tcW w:w="137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 xml:space="preserve">Suma </w:t>
            </w:r>
            <w:proofErr w:type="spellStart"/>
            <w:r w:rsidRPr="00B87165">
              <w:rPr>
                <w:b/>
                <w:lang w:val="lt-LT"/>
              </w:rPr>
              <w:t>Eur</w:t>
            </w:r>
            <w:proofErr w:type="spellEnd"/>
            <w:r w:rsidRPr="00B87165">
              <w:rPr>
                <w:b/>
                <w:lang w:val="lt-LT"/>
              </w:rPr>
              <w:t xml:space="preserve"> be PVM (3 x 5)</w:t>
            </w:r>
          </w:p>
        </w:tc>
      </w:tr>
      <w:tr w:rsidR="00650943" w:rsidRPr="00B87165" w:rsidTr="000F2812">
        <w:trPr>
          <w:trHeight w:val="293"/>
        </w:trPr>
        <w:tc>
          <w:tcPr>
            <w:tcW w:w="61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1</w:t>
            </w:r>
          </w:p>
        </w:tc>
        <w:tc>
          <w:tcPr>
            <w:tcW w:w="2673" w:type="dxa"/>
            <w:tcBorders>
              <w:top w:val="nil"/>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2</w:t>
            </w:r>
          </w:p>
        </w:tc>
        <w:tc>
          <w:tcPr>
            <w:tcW w:w="1510" w:type="dxa"/>
            <w:tcBorders>
              <w:top w:val="nil"/>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3</w:t>
            </w:r>
          </w:p>
        </w:tc>
        <w:tc>
          <w:tcPr>
            <w:tcW w:w="1873" w:type="dxa"/>
            <w:tcBorders>
              <w:top w:val="nil"/>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4</w:t>
            </w:r>
          </w:p>
        </w:tc>
        <w:tc>
          <w:tcPr>
            <w:tcW w:w="1691" w:type="dxa"/>
            <w:tcBorders>
              <w:top w:val="nil"/>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5</w:t>
            </w:r>
          </w:p>
        </w:tc>
        <w:tc>
          <w:tcPr>
            <w:tcW w:w="1374" w:type="dxa"/>
            <w:tcBorders>
              <w:top w:val="nil"/>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lang w:val="lt-LT"/>
              </w:rPr>
            </w:pPr>
            <w:r w:rsidRPr="00B87165">
              <w:rPr>
                <w:b/>
                <w:lang w:val="lt-LT"/>
              </w:rPr>
              <w:t>6</w:t>
            </w:r>
          </w:p>
        </w:tc>
      </w:tr>
      <w:tr w:rsidR="00650943" w:rsidRPr="00B87165" w:rsidTr="000F2812">
        <w:trPr>
          <w:trHeight w:val="616"/>
        </w:trPr>
        <w:tc>
          <w:tcPr>
            <w:tcW w:w="619" w:type="dxa"/>
            <w:tcBorders>
              <w:top w:val="nil"/>
              <w:left w:val="single" w:sz="6" w:space="0" w:color="000000"/>
              <w:bottom w:val="nil"/>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80"/>
              <w:jc w:val="center"/>
              <w:rPr>
                <w:b/>
                <w:lang w:val="lt-LT"/>
              </w:rPr>
            </w:pPr>
            <w:r w:rsidRPr="00B87165">
              <w:rPr>
                <w:b/>
                <w:lang w:val="lt-LT"/>
              </w:rPr>
              <w:t>1.</w:t>
            </w:r>
          </w:p>
        </w:tc>
        <w:tc>
          <w:tcPr>
            <w:tcW w:w="2673" w:type="dxa"/>
            <w:tcBorders>
              <w:top w:val="nil"/>
              <w:left w:val="nil"/>
              <w:bottom w:val="nil"/>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140"/>
              <w:jc w:val="center"/>
              <w:rPr>
                <w:b/>
                <w:lang w:val="lt-LT"/>
              </w:rPr>
            </w:pPr>
            <w:proofErr w:type="spellStart"/>
            <w:r w:rsidRPr="00B87165">
              <w:rPr>
                <w:b/>
                <w:lang w:val="lt-LT"/>
              </w:rPr>
              <w:t>Ag</w:t>
            </w:r>
            <w:proofErr w:type="spellEnd"/>
            <w:r w:rsidRPr="00B87165">
              <w:rPr>
                <w:b/>
                <w:lang w:val="lt-LT"/>
              </w:rPr>
              <w:t xml:space="preserve"> / </w:t>
            </w:r>
            <w:proofErr w:type="spellStart"/>
            <w:r w:rsidRPr="00B87165">
              <w:rPr>
                <w:b/>
                <w:lang w:val="lt-LT"/>
              </w:rPr>
              <w:t>anti</w:t>
            </w:r>
            <w:proofErr w:type="spellEnd"/>
            <w:r w:rsidRPr="00B87165">
              <w:rPr>
                <w:b/>
                <w:lang w:val="lt-LT"/>
              </w:rPr>
              <w:t xml:space="preserve"> ŽIV atrankinis tyrimas</w:t>
            </w:r>
          </w:p>
        </w:tc>
        <w:tc>
          <w:tcPr>
            <w:tcW w:w="1510" w:type="dxa"/>
            <w:tcBorders>
              <w:top w:val="nil"/>
              <w:left w:val="nil"/>
              <w:bottom w:val="nil"/>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40"/>
              <w:jc w:val="center"/>
              <w:rPr>
                <w:b/>
                <w:lang w:val="lt-LT"/>
              </w:rPr>
            </w:pPr>
            <w:r w:rsidRPr="00B87165">
              <w:rPr>
                <w:b/>
                <w:lang w:val="lt-LT"/>
              </w:rPr>
              <w:t>280 000</w:t>
            </w:r>
          </w:p>
        </w:tc>
        <w:tc>
          <w:tcPr>
            <w:tcW w:w="1873" w:type="dxa"/>
            <w:tcBorders>
              <w:top w:val="nil"/>
              <w:left w:val="nil"/>
              <w:bottom w:val="nil"/>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i/>
                <w:lang w:val="lt-LT"/>
              </w:rPr>
            </w:pPr>
            <w:r w:rsidRPr="00B87165">
              <w:rPr>
                <w:b/>
                <w:i/>
                <w:lang w:val="lt-LT"/>
              </w:rPr>
              <w:t>-</w:t>
            </w:r>
          </w:p>
        </w:tc>
        <w:tc>
          <w:tcPr>
            <w:tcW w:w="1691" w:type="dxa"/>
            <w:tcBorders>
              <w:top w:val="nil"/>
              <w:left w:val="nil"/>
              <w:bottom w:val="nil"/>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40"/>
              <w:jc w:val="center"/>
              <w:rPr>
                <w:b/>
                <w:i/>
                <w:lang w:val="lt-LT"/>
              </w:rPr>
            </w:pPr>
            <w:r w:rsidRPr="00B87165">
              <w:rPr>
                <w:b/>
                <w:i/>
                <w:lang w:val="lt-LT"/>
              </w:rPr>
              <w:t>0,85</w:t>
            </w:r>
          </w:p>
        </w:tc>
        <w:tc>
          <w:tcPr>
            <w:tcW w:w="1374" w:type="dxa"/>
            <w:tcBorders>
              <w:top w:val="nil"/>
              <w:left w:val="nil"/>
              <w:bottom w:val="nil"/>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40"/>
              <w:jc w:val="center"/>
              <w:rPr>
                <w:b/>
                <w:i/>
                <w:lang w:val="lt-LT"/>
              </w:rPr>
            </w:pPr>
            <w:r w:rsidRPr="00B87165">
              <w:rPr>
                <w:b/>
                <w:i/>
                <w:lang w:val="lt-LT"/>
              </w:rPr>
              <w:t>238 000,00</w:t>
            </w:r>
          </w:p>
        </w:tc>
      </w:tr>
      <w:tr w:rsidR="00650943" w:rsidRPr="00B87165" w:rsidTr="000F2812">
        <w:trPr>
          <w:trHeight w:val="763"/>
        </w:trPr>
        <w:tc>
          <w:tcPr>
            <w:tcW w:w="6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80"/>
              <w:jc w:val="center"/>
              <w:rPr>
                <w:b/>
                <w:lang w:val="lt-LT"/>
              </w:rPr>
            </w:pPr>
            <w:r w:rsidRPr="00B87165">
              <w:rPr>
                <w:b/>
                <w:lang w:val="lt-LT"/>
              </w:rPr>
              <w:t>1.1</w:t>
            </w:r>
          </w:p>
        </w:tc>
        <w:tc>
          <w:tcPr>
            <w:tcW w:w="267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highlight w:val="yellow"/>
                <w:lang w:val="lt-LT"/>
              </w:rPr>
            </w:pPr>
            <w:proofErr w:type="spellStart"/>
            <w:r w:rsidRPr="00B87165">
              <w:rPr>
                <w:b/>
                <w:lang w:val="lt-LT"/>
              </w:rPr>
              <w:t>Elecsys</w:t>
            </w:r>
            <w:proofErr w:type="spellEnd"/>
            <w:r w:rsidRPr="00B87165">
              <w:rPr>
                <w:b/>
                <w:lang w:val="lt-LT"/>
              </w:rPr>
              <w:t xml:space="preserve"> HIV </w:t>
            </w:r>
            <w:proofErr w:type="spellStart"/>
            <w:r w:rsidRPr="00B87165">
              <w:rPr>
                <w:b/>
                <w:lang w:val="lt-LT"/>
              </w:rPr>
              <w:t>Duo</w:t>
            </w:r>
            <w:proofErr w:type="spellEnd"/>
            <w:r w:rsidRPr="00B87165">
              <w:rPr>
                <w:b/>
                <w:lang w:val="lt-LT"/>
              </w:rPr>
              <w:t xml:space="preserve"> 08836973190 </w:t>
            </w:r>
            <w:r w:rsidRPr="00B87165">
              <w:rPr>
                <w:b/>
                <w:highlight w:val="yellow"/>
                <w:lang w:val="lt-LT"/>
              </w:rPr>
              <w:t xml:space="preserve">300 </w:t>
            </w:r>
            <w:proofErr w:type="spellStart"/>
            <w:r w:rsidRPr="00B87165">
              <w:rPr>
                <w:b/>
                <w:highlight w:val="yellow"/>
                <w:lang w:val="lt-LT"/>
              </w:rPr>
              <w:t>test</w:t>
            </w:r>
            <w:proofErr w:type="spellEnd"/>
            <w:r w:rsidRPr="00B87165">
              <w:rPr>
                <w:b/>
                <w:highlight w:val="yellow"/>
                <w:lang w:val="lt-LT"/>
              </w:rPr>
              <w:t>/</w:t>
            </w:r>
            <w:proofErr w:type="spellStart"/>
            <w:r w:rsidRPr="00B87165">
              <w:rPr>
                <w:b/>
                <w:highlight w:val="yellow"/>
                <w:lang w:val="lt-LT"/>
              </w:rPr>
              <w:t>pak</w:t>
            </w:r>
            <w:proofErr w:type="spellEnd"/>
            <w:r w:rsidRPr="00B87165">
              <w:rPr>
                <w:b/>
                <w:highlight w:val="yellow"/>
                <w:lang w:val="lt-LT"/>
              </w:rPr>
              <w:t>.</w:t>
            </w:r>
          </w:p>
        </w:tc>
        <w:tc>
          <w:tcPr>
            <w:tcW w:w="15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40"/>
              <w:jc w:val="center"/>
              <w:rPr>
                <w:b/>
                <w:lang w:val="lt-LT"/>
              </w:rPr>
            </w:pPr>
            <w:r w:rsidRPr="00B87165">
              <w:rPr>
                <w:b/>
                <w:lang w:val="lt-LT"/>
              </w:rPr>
              <w:t>-</w:t>
            </w:r>
          </w:p>
        </w:tc>
        <w:tc>
          <w:tcPr>
            <w:tcW w:w="187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jc w:val="center"/>
              <w:rPr>
                <w:b/>
                <w:i/>
                <w:lang w:val="lt-LT"/>
              </w:rPr>
            </w:pPr>
            <w:r w:rsidRPr="00B87165">
              <w:rPr>
                <w:b/>
                <w:i/>
                <w:lang w:val="lt-LT"/>
              </w:rPr>
              <w:t xml:space="preserve">951 </w:t>
            </w:r>
            <w:proofErr w:type="spellStart"/>
            <w:r w:rsidRPr="00B87165">
              <w:rPr>
                <w:b/>
                <w:i/>
                <w:lang w:val="lt-LT"/>
              </w:rPr>
              <w:t>pak</w:t>
            </w:r>
            <w:proofErr w:type="spellEnd"/>
            <w:r w:rsidRPr="00B87165">
              <w:rPr>
                <w:b/>
                <w:i/>
                <w:lang w:val="lt-LT"/>
              </w:rPr>
              <w:t>.</w:t>
            </w:r>
          </w:p>
        </w:tc>
        <w:tc>
          <w:tcPr>
            <w:tcW w:w="169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40"/>
              <w:jc w:val="center"/>
              <w:rPr>
                <w:b/>
                <w:i/>
                <w:lang w:val="lt-LT"/>
              </w:rPr>
            </w:pPr>
            <w:r w:rsidRPr="00B87165">
              <w:rPr>
                <w:b/>
                <w:i/>
                <w:lang w:val="lt-LT"/>
              </w:rPr>
              <w:t>-</w:t>
            </w:r>
          </w:p>
        </w:tc>
        <w:tc>
          <w:tcPr>
            <w:tcW w:w="137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50943" w:rsidRPr="00B87165" w:rsidRDefault="004933CD">
            <w:pPr>
              <w:spacing w:before="240" w:after="240" w:line="240" w:lineRule="auto"/>
              <w:ind w:left="-140" w:right="40"/>
              <w:jc w:val="center"/>
              <w:rPr>
                <w:b/>
                <w:i/>
                <w:lang w:val="lt-LT"/>
              </w:rPr>
            </w:pPr>
            <w:r w:rsidRPr="00B87165">
              <w:rPr>
                <w:b/>
                <w:i/>
                <w:lang w:val="lt-LT"/>
              </w:rPr>
              <w:t>-</w:t>
            </w:r>
          </w:p>
        </w:tc>
      </w:tr>
    </w:tbl>
    <w:p w:rsidR="00650943" w:rsidRPr="00B87165" w:rsidRDefault="00650943">
      <w:pPr>
        <w:spacing w:after="0" w:line="240" w:lineRule="auto"/>
        <w:rPr>
          <w:b/>
          <w:lang w:val="lt-LT"/>
        </w:rPr>
      </w:pPr>
    </w:p>
    <w:p w:rsidR="00650943" w:rsidRPr="00B87165" w:rsidRDefault="00650943">
      <w:pPr>
        <w:spacing w:after="0" w:line="240" w:lineRule="auto"/>
        <w:rPr>
          <w:b/>
          <w:lang w:val="lt-LT"/>
        </w:rPr>
      </w:pPr>
    </w:p>
    <w:p w:rsidR="00650943" w:rsidRPr="00B87165" w:rsidRDefault="00650943">
      <w:pPr>
        <w:spacing w:after="0" w:line="240" w:lineRule="auto"/>
        <w:rPr>
          <w:b/>
          <w:lang w:val="lt-LT"/>
        </w:rPr>
      </w:pPr>
    </w:p>
    <w:p w:rsidR="00650943" w:rsidRPr="00B87165" w:rsidRDefault="004933CD" w:rsidP="00094CC7">
      <w:pPr>
        <w:spacing w:after="0" w:line="240" w:lineRule="auto"/>
        <w:ind w:left="-1134"/>
        <w:rPr>
          <w:i/>
          <w:color w:val="000000"/>
          <w:lang w:val="lt-LT"/>
        </w:rPr>
      </w:pPr>
      <w:r w:rsidRPr="00B87165">
        <w:rPr>
          <w:i/>
          <w:color w:val="000000"/>
          <w:lang w:val="lt-LT"/>
        </w:rPr>
        <w:t>3. Techninės specifikacijos 4.5 p. numatytas reikalavimas „Įranga turi būti ženklinta CE ženklu. Pateikti atitikties deklaracijos kopiją.“</w:t>
      </w:r>
    </w:p>
    <w:p w:rsidR="00650943" w:rsidRPr="00B87165" w:rsidRDefault="004933CD" w:rsidP="00094CC7">
      <w:pPr>
        <w:spacing w:after="0" w:line="240" w:lineRule="auto"/>
        <w:ind w:left="-1134"/>
        <w:rPr>
          <w:i/>
          <w:color w:val="000000"/>
          <w:lang w:val="lt-LT"/>
        </w:rPr>
      </w:pPr>
      <w:r w:rsidRPr="00B87165">
        <w:rPr>
          <w:i/>
          <w:color w:val="000000"/>
          <w:lang w:val="lt-LT"/>
        </w:rPr>
        <w:t>Tiekėjo pateiktoje deklaracijos kopijoje nėra nurodyta siūloma įranga.</w:t>
      </w:r>
    </w:p>
    <w:p w:rsidR="00650943" w:rsidRPr="00B87165" w:rsidRDefault="004933CD" w:rsidP="00094CC7">
      <w:pPr>
        <w:spacing w:after="0" w:line="240" w:lineRule="auto"/>
        <w:ind w:left="-1134"/>
        <w:rPr>
          <w:i/>
          <w:lang w:val="lt-LT"/>
        </w:rPr>
      </w:pPr>
      <w:bookmarkStart w:id="1" w:name="_heading=h.gjdgxs" w:colFirst="0" w:colLast="0"/>
      <w:bookmarkEnd w:id="1"/>
      <w:r w:rsidRPr="00B87165">
        <w:rPr>
          <w:i/>
          <w:color w:val="000000"/>
          <w:lang w:val="lt-LT"/>
        </w:rPr>
        <w:t>UAB „</w:t>
      </w:r>
      <w:proofErr w:type="spellStart"/>
      <w:r w:rsidRPr="00B87165">
        <w:rPr>
          <w:i/>
          <w:color w:val="000000"/>
          <w:lang w:val="lt-LT"/>
        </w:rPr>
        <w:t>Roche</w:t>
      </w:r>
      <w:proofErr w:type="spellEnd"/>
      <w:r w:rsidRPr="00B87165">
        <w:rPr>
          <w:i/>
          <w:color w:val="000000"/>
          <w:lang w:val="lt-LT"/>
        </w:rPr>
        <w:t xml:space="preserve"> Lietuva“ turi pateikti</w:t>
      </w:r>
      <w:r w:rsidRPr="00B87165">
        <w:rPr>
          <w:i/>
          <w:lang w:val="lt-LT"/>
        </w:rPr>
        <w:t xml:space="preserve"> i</w:t>
      </w:r>
      <w:r w:rsidRPr="00B87165">
        <w:rPr>
          <w:i/>
          <w:color w:val="000000"/>
          <w:lang w:val="lt-LT"/>
        </w:rPr>
        <w:t>šaiškinimą arba pateikti tinkamą dokumentą.</w:t>
      </w:r>
    </w:p>
    <w:p w:rsidR="00650943" w:rsidRPr="00B87165" w:rsidRDefault="00650943">
      <w:pPr>
        <w:spacing w:after="0" w:line="240" w:lineRule="auto"/>
        <w:rPr>
          <w:i/>
          <w:lang w:val="lt-LT"/>
        </w:rPr>
      </w:pPr>
      <w:bookmarkStart w:id="2" w:name="_heading=h.m8hay22w3twl" w:colFirst="0" w:colLast="0"/>
      <w:bookmarkEnd w:id="2"/>
    </w:p>
    <w:p w:rsidR="00650943" w:rsidRPr="00B87165" w:rsidRDefault="004933CD">
      <w:pPr>
        <w:rPr>
          <w:lang w:val="lt-LT"/>
        </w:rPr>
      </w:pPr>
      <w:r w:rsidRPr="00B87165">
        <w:rPr>
          <w:lang w:val="lt-LT"/>
        </w:rPr>
        <w:t>Pirkimo metu pateikta “Deklaracija dėl siūlomų prekių ir įrangos techninės specifikacijos duomenų” kurioje teigiama:</w:t>
      </w:r>
    </w:p>
    <w:p w:rsidR="00650943" w:rsidRPr="00B87165" w:rsidRDefault="004933CD">
      <w:pPr>
        <w:rPr>
          <w:b/>
          <w:lang w:val="lt-LT"/>
        </w:rPr>
      </w:pPr>
      <w:r w:rsidRPr="00B87165">
        <w:rPr>
          <w:b/>
          <w:lang w:val="lt-LT"/>
        </w:rPr>
        <w:lastRenderedPageBreak/>
        <w:t>UAB „</w:t>
      </w:r>
      <w:proofErr w:type="spellStart"/>
      <w:r w:rsidRPr="00B87165">
        <w:rPr>
          <w:b/>
          <w:lang w:val="lt-LT"/>
        </w:rPr>
        <w:t>Roche</w:t>
      </w:r>
      <w:proofErr w:type="spellEnd"/>
      <w:r w:rsidRPr="00B87165">
        <w:rPr>
          <w:b/>
          <w:lang w:val="lt-LT"/>
        </w:rPr>
        <w:t xml:space="preserve"> Lietuva“ pažymi, kad visų siūlomų prekių ir įrenginių techninės specifikacijos duomenis, įskaitant, bet neapsiribojant metodinia</w:t>
      </w:r>
      <w:r w:rsidRPr="00B87165">
        <w:rPr>
          <w:b/>
          <w:lang w:val="lt-LT"/>
        </w:rPr>
        <w:t xml:space="preserve">is/ saugos duomenų lapais, CE sertifikatais ir instrumentų vartotojų vadovų duomenis (dokumentaciją) galima pasiekti viešai ir nemokamai prieinamoje </w:t>
      </w:r>
      <w:proofErr w:type="spellStart"/>
      <w:r w:rsidRPr="00B87165">
        <w:rPr>
          <w:b/>
          <w:lang w:val="lt-LT"/>
        </w:rPr>
        <w:t>DiaLog</w:t>
      </w:r>
      <w:proofErr w:type="spellEnd"/>
      <w:r w:rsidRPr="00B87165">
        <w:rPr>
          <w:b/>
          <w:lang w:val="lt-LT"/>
        </w:rPr>
        <w:t xml:space="preserve"> platformoje adresu:</w:t>
      </w:r>
      <w:hyperlink r:id="rId40">
        <w:r w:rsidRPr="00B87165">
          <w:rPr>
            <w:b/>
            <w:lang w:val="lt-LT"/>
          </w:rPr>
          <w:t xml:space="preserve"> </w:t>
        </w:r>
      </w:hyperlink>
      <w:hyperlink r:id="rId41">
        <w:r w:rsidRPr="00B87165">
          <w:rPr>
            <w:b/>
            <w:color w:val="0000FF"/>
            <w:u w:val="single"/>
            <w:lang w:val="lt-LT"/>
          </w:rPr>
          <w:t>https://dialogportal.roche.com/dialog/lt/lt/e-services</w:t>
        </w:r>
      </w:hyperlink>
      <w:r w:rsidRPr="00B87165">
        <w:rPr>
          <w:b/>
          <w:lang w:val="lt-LT"/>
        </w:rPr>
        <w:t>.</w:t>
      </w:r>
    </w:p>
    <w:p w:rsidR="00650943" w:rsidRPr="00B87165" w:rsidRDefault="004933CD">
      <w:pPr>
        <w:rPr>
          <w:lang w:val="lt-LT"/>
        </w:rPr>
      </w:pPr>
      <w:r w:rsidRPr="00B87165">
        <w:rPr>
          <w:lang w:val="lt-LT"/>
        </w:rPr>
        <w:t xml:space="preserve">Patiksliname nuorodą į </w:t>
      </w:r>
      <w:proofErr w:type="spellStart"/>
      <w:r w:rsidRPr="00B87165">
        <w:rPr>
          <w:lang w:val="lt-LT"/>
        </w:rPr>
        <w:t>cobas</w:t>
      </w:r>
      <w:proofErr w:type="spellEnd"/>
      <w:r w:rsidRPr="00B87165">
        <w:rPr>
          <w:lang w:val="lt-LT"/>
        </w:rPr>
        <w:t xml:space="preserve"> pro analizatoriaus CE atitikties deklaraciją, kurioje nurodytas siūlomas </w:t>
      </w:r>
      <w:proofErr w:type="spellStart"/>
      <w:r w:rsidRPr="00B87165">
        <w:rPr>
          <w:lang w:val="lt-LT"/>
        </w:rPr>
        <w:t>cobas</w:t>
      </w:r>
      <w:proofErr w:type="spellEnd"/>
      <w:r w:rsidRPr="00B87165">
        <w:rPr>
          <w:lang w:val="lt-LT"/>
        </w:rPr>
        <w:t xml:space="preserve"> e801 analizatorius. Papildomai pridedama CE atitikties deklaracija</w:t>
      </w:r>
      <w:r w:rsidRPr="00B87165">
        <w:rPr>
          <w:b/>
          <w:lang w:val="lt-LT"/>
        </w:rPr>
        <w:t xml:space="preserve">. </w:t>
      </w:r>
    </w:p>
    <w:p w:rsidR="00650943" w:rsidRPr="00B87165" w:rsidRDefault="004933CD">
      <w:pPr>
        <w:rPr>
          <w:b/>
          <w:lang w:val="lt-LT"/>
        </w:rPr>
      </w:pPr>
      <w:hyperlink r:id="rId42">
        <w:r w:rsidRPr="00B87165">
          <w:rPr>
            <w:b/>
            <w:color w:val="0563C1"/>
            <w:u w:val="single"/>
            <w:lang w:val="lt-LT"/>
          </w:rPr>
          <w:t>https://elabdoc-prod.roche.com/eLD/web/lt/lt/documents?searchType=Keyword&amp;sourceSearchType=Keyword&amp;searchTer</w:t>
        </w:r>
        <w:r w:rsidRPr="00B87165">
          <w:rPr>
            <w:b/>
            <w:color w:val="0563C1"/>
            <w:u w:val="single"/>
            <w:lang w:val="lt-LT"/>
          </w:rPr>
          <w:t>m=08464502001&amp;ffDocumentTypes=endt_instrument_ce_conformity&amp;keywordFilterCatalogNumbers=08464502001</w:t>
        </w:r>
      </w:hyperlink>
    </w:p>
    <w:p w:rsidR="00650943" w:rsidRPr="00B87165" w:rsidRDefault="00650943">
      <w:pPr>
        <w:rPr>
          <w:color w:val="000000"/>
          <w:lang w:val="lt-LT"/>
        </w:rPr>
      </w:pPr>
    </w:p>
    <w:p w:rsidR="00650943" w:rsidRPr="00B87165" w:rsidRDefault="00650943">
      <w:pPr>
        <w:rPr>
          <w:b/>
          <w:lang w:val="lt-LT"/>
        </w:rPr>
      </w:pPr>
    </w:p>
    <w:p w:rsidR="00650943" w:rsidRPr="00B87165" w:rsidRDefault="004933CD">
      <w:pPr>
        <w:pBdr>
          <w:top w:val="nil"/>
          <w:left w:val="nil"/>
          <w:bottom w:val="nil"/>
          <w:right w:val="nil"/>
          <w:between w:val="nil"/>
        </w:pBdr>
        <w:shd w:val="clear" w:color="auto" w:fill="FFFFFF"/>
        <w:spacing w:after="360" w:line="240" w:lineRule="auto"/>
        <w:jc w:val="both"/>
        <w:rPr>
          <w:b/>
          <w:lang w:val="lt-LT"/>
        </w:rPr>
      </w:pPr>
      <w:r w:rsidRPr="00B87165">
        <w:rPr>
          <w:rFonts w:ascii="Arial" w:eastAsia="Arial" w:hAnsi="Arial" w:cs="Arial"/>
          <w:color w:val="333333"/>
          <w:sz w:val="23"/>
          <w:szCs w:val="23"/>
          <w:lang w:val="lt-LT"/>
        </w:rPr>
        <w:br/>
      </w:r>
    </w:p>
    <w:sectPr w:rsidR="00650943" w:rsidRPr="00B87165">
      <w:headerReference w:type="default" r:id="rId43"/>
      <w:pgSz w:w="12240" w:h="15840"/>
      <w:pgMar w:top="1701" w:right="1095"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CD" w:rsidRDefault="004933CD">
      <w:pPr>
        <w:spacing w:after="0" w:line="240" w:lineRule="auto"/>
      </w:pPr>
      <w:r>
        <w:separator/>
      </w:r>
    </w:p>
  </w:endnote>
  <w:endnote w:type="continuationSeparator" w:id="0">
    <w:p w:rsidR="004933CD" w:rsidRDefault="0049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CD" w:rsidRDefault="004933CD">
      <w:pPr>
        <w:spacing w:after="0" w:line="240" w:lineRule="auto"/>
      </w:pPr>
      <w:r>
        <w:separator/>
      </w:r>
    </w:p>
  </w:footnote>
  <w:footnote w:type="continuationSeparator" w:id="0">
    <w:p w:rsidR="004933CD" w:rsidRDefault="00493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43" w:rsidRDefault="004933CD">
    <w:r>
      <w:rPr>
        <w:noProof/>
      </w:rPr>
      <w:drawing>
        <wp:inline distT="114300" distB="114300" distL="114300" distR="114300">
          <wp:extent cx="6332220" cy="901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32220" cy="901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32EBF"/>
    <w:multiLevelType w:val="multilevel"/>
    <w:tmpl w:val="FDA4F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BE15A1"/>
    <w:multiLevelType w:val="multilevel"/>
    <w:tmpl w:val="E592B760"/>
    <w:lvl w:ilvl="0">
      <w:start w:val="1"/>
      <w:numFmt w:val="decimal"/>
      <w:lvlText w:val="%1."/>
      <w:lvlJc w:val="left"/>
      <w:pPr>
        <w:ind w:left="720" w:hanging="360"/>
      </w:pPr>
      <w:rPr>
        <w:rFonts w:ascii="Calibri" w:eastAsia="Calibri" w:hAnsi="Calibri" w:cs="Calibri"/>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43"/>
    <w:rsid w:val="00094CC7"/>
    <w:rsid w:val="000F2812"/>
    <w:rsid w:val="004933CD"/>
    <w:rsid w:val="00650943"/>
    <w:rsid w:val="00A6023D"/>
    <w:rsid w:val="00B87165"/>
    <w:rsid w:val="00EF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C090"/>
  <w15:docId w15:val="{F4D9FAE8-0452-4B33-8852-F8553936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3B2304"/>
    <w:rPr>
      <w:color w:val="0563C1" w:themeColor="hyperlink"/>
      <w:u w:val="single"/>
    </w:rPr>
  </w:style>
  <w:style w:type="paragraph" w:styleId="NormalWeb">
    <w:name w:val="Normal (Web)"/>
    <w:basedOn w:val="Normal"/>
    <w:uiPriority w:val="99"/>
    <w:semiHidden/>
    <w:unhideWhenUsed/>
    <w:rsid w:val="001C49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4914"/>
    <w:rPr>
      <w:b/>
      <w:bCs/>
    </w:rPr>
  </w:style>
  <w:style w:type="paragraph" w:customStyle="1" w:styleId="Default">
    <w:name w:val="Default"/>
    <w:rsid w:val="001C4914"/>
    <w:pPr>
      <w:autoSpaceDE w:val="0"/>
      <w:autoSpaceDN w:val="0"/>
      <w:adjustRightInd w:val="0"/>
      <w:spacing w:after="0" w:line="240" w:lineRule="auto"/>
    </w:pPr>
    <w:rPr>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med.ncbi.nlm.nih.gov/34758213/" TargetMode="External"/><Relationship Id="rId18" Type="http://schemas.openxmlformats.org/officeDocument/2006/relationships/hyperlink" Target="http://www.ncbi.nlm.nih.gov/books/NBK594228/" TargetMode="External"/><Relationship Id="rId26" Type="http://schemas.openxmlformats.org/officeDocument/2006/relationships/hyperlink" Target="https://pubmed.ncbi.nlm.nih.gov/?term=Eiras+A&amp;cauthor_id=23765774" TargetMode="External"/><Relationship Id="rId39"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https://pubmed.ncbi.nlm.nih.gov/?term=van+Helden+J&amp;cauthor_id=23765774" TargetMode="External"/><Relationship Id="rId34" Type="http://schemas.openxmlformats.org/officeDocument/2006/relationships/hyperlink" Target="https://pubmed.ncbi.nlm.nih.gov/?term=Segovia+M&amp;cauthor_id=23765774" TargetMode="External"/><Relationship Id="rId42" Type="http://schemas.openxmlformats.org/officeDocument/2006/relationships/hyperlink" Target="https://elabdoc-prod.roche.com/eLD/web/lt/lt/documents?searchType=Keyword&amp;sourceSearchType=Keyword&amp;searchTerm=08464502001&amp;ffDocumentTypes=endt_instrument_ce_conformity&amp;keywordFilterCatalogNumbers=08464502001" TargetMode="External"/><Relationship Id="rId7" Type="http://schemas.openxmlformats.org/officeDocument/2006/relationships/footnotes" Target="footnotes.xml"/><Relationship Id="rId12" Type="http://schemas.openxmlformats.org/officeDocument/2006/relationships/hyperlink" Target="https://pubmed.ncbi.nlm.nih.gov/34214660/" TargetMode="External"/><Relationship Id="rId17" Type="http://schemas.openxmlformats.org/officeDocument/2006/relationships/hyperlink" Target="https://www.labtestsguide.com/clia-vs-eclia" TargetMode="External"/><Relationship Id="rId25" Type="http://schemas.openxmlformats.org/officeDocument/2006/relationships/hyperlink" Target="https://pubmed.ncbi.nlm.nih.gov/?term=Pantaleo+G&amp;cauthor_id=23765774" TargetMode="External"/><Relationship Id="rId33" Type="http://schemas.openxmlformats.org/officeDocument/2006/relationships/hyperlink" Target="https://pubmed.ncbi.nlm.nih.gov/?term=Wetlitzky+O&amp;cauthor_id=23765774" TargetMode="Externa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pubmed.ncbi.nlm.nih.gov/32855748/" TargetMode="External"/><Relationship Id="rId20" Type="http://schemas.openxmlformats.org/officeDocument/2006/relationships/hyperlink" Target="https://pubmed.ncbi.nlm.nih.gov/?term=Esteban+JI&amp;cauthor_id=23765774" TargetMode="External"/><Relationship Id="rId29" Type="http://schemas.openxmlformats.org/officeDocument/2006/relationships/hyperlink" Target="https://pubmed.ncbi.nlm.nih.gov/?term=Gleich+M&amp;cauthor_id=23765774" TargetMode="External"/><Relationship Id="rId41" Type="http://schemas.openxmlformats.org/officeDocument/2006/relationships/hyperlink" Target="https://dialogportal.roche.com/dialog/lt/lt/e-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pubmed.ncbi.nlm.nih.gov/?term=Cellerai+C&amp;cauthor_id=23765774" TargetMode="External"/><Relationship Id="rId32" Type="http://schemas.openxmlformats.org/officeDocument/2006/relationships/hyperlink" Target="https://pubmed.ncbi.nlm.nih.gov/?term=M%C3%B6ller+P&amp;cauthor_id=23765774" TargetMode="External"/><Relationship Id="rId37" Type="http://schemas.openxmlformats.org/officeDocument/2006/relationships/hyperlink" Target="https://pubmed.ncbi.nlm.nih.gov/23765774/" TargetMode="External"/><Relationship Id="rId40" Type="http://schemas.openxmlformats.org/officeDocument/2006/relationships/hyperlink" Target="https://dialogportal.roche.com/dialog/lt/lt/e-service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ubmed.ncbi.nlm.nih.gov/32860798/" TargetMode="External"/><Relationship Id="rId23" Type="http://schemas.openxmlformats.org/officeDocument/2006/relationships/hyperlink" Target="https://pubmed.ncbi.nlm.nih.gov/?term=B%C3%BCrgisser+P&amp;cauthor_id=23765774" TargetMode="External"/><Relationship Id="rId28" Type="http://schemas.openxmlformats.org/officeDocument/2006/relationships/hyperlink" Target="https://pubmed.ncbi.nlm.nih.gov/?term=Ghisetti+V&amp;cauthor_id=23765774" TargetMode="External"/><Relationship Id="rId36" Type="http://schemas.openxmlformats.org/officeDocument/2006/relationships/hyperlink" Target="https://pubmed.ncbi.nlm.nih.gov/?term=M%C3%BChlbacher+A&amp;cauthor_id=23765774" TargetMode="External"/><Relationship Id="rId10" Type="http://schemas.openxmlformats.org/officeDocument/2006/relationships/image" Target="media/image2.png"/><Relationship Id="rId19" Type="http://schemas.openxmlformats.org/officeDocument/2006/relationships/hyperlink" Target="https://www.differencebetween.com/difference-between-clia-and-eclia/" TargetMode="External"/><Relationship Id="rId31" Type="http://schemas.openxmlformats.org/officeDocument/2006/relationships/hyperlink" Target="https://pubmed.ncbi.nlm.nih.gov/?term=Kaiser+C&amp;cauthor_id=23765774"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ubmed.ncbi.nlm.nih.gov/25899479/" TargetMode="External"/><Relationship Id="rId22" Type="http://schemas.openxmlformats.org/officeDocument/2006/relationships/hyperlink" Target="https://pubmed.ncbi.nlm.nih.gov/?term=Alborino+F&amp;cauthor_id=23765774" TargetMode="External"/><Relationship Id="rId27" Type="http://schemas.openxmlformats.org/officeDocument/2006/relationships/hyperlink" Target="https://pubmed.ncbi.nlm.nih.gov/?term=Rodriguez+MI&amp;cauthor_id=23765774" TargetMode="External"/><Relationship Id="rId30" Type="http://schemas.openxmlformats.org/officeDocument/2006/relationships/hyperlink" Target="https://pubmed.ncbi.nlm.nih.gov/?term=Imdahl+R&amp;cauthor_id=23765774" TargetMode="External"/><Relationship Id="rId35" Type="http://schemas.openxmlformats.org/officeDocument/2006/relationships/hyperlink" Target="https://pubmed.ncbi.nlm.nih.gov/?term=Schennach+H&amp;cauthor_id=23765774"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jYrU7ROMTVkBXAvVaaPhb7KmHQ==">AMUW2mVZz5Z0M7GRnH1KknmAyhAgzoOwijpe6hiSqqp5FNz31hok/OPi3zsw+lZ4qp9W21YLw0hGT/+4iss5LefaiFHFuJso/ImqAe8EW8SSK7o5xSw1Awnq2yXOlEeb74Ku81emg+J/6XJ9M/Wa+wbOFnMczFynlg==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9405D4-00C8-4709-88EA-6E6C76B6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1811</Words>
  <Characters>10325</Characters>
  <Application>Microsoft Office Word</Application>
  <DocSecurity>0</DocSecurity>
  <Lines>86</Lines>
  <Paragraphs>24</Paragraphs>
  <ScaleCrop>false</ScaleCrop>
  <Company>F. Hoffmann-La Roche, Ltd.</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Griksas, Vilius {DEEB~Vilnius-Jasinskio}</dc:creator>
  <cp:lastModifiedBy>Griksas, Vilius {DEEB~Vilnius-Jasinskio}</cp:lastModifiedBy>
  <cp:revision>7</cp:revision>
  <dcterms:created xsi:type="dcterms:W3CDTF">2023-11-09T14:36:00Z</dcterms:created>
  <dcterms:modified xsi:type="dcterms:W3CDTF">2023-11-13T08:58:00Z</dcterms:modified>
</cp:coreProperties>
</file>