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4069" w14:textId="7ED817CA" w:rsidR="009820FD" w:rsidRPr="009820FD" w:rsidRDefault="00133388" w:rsidP="009820FD">
      <w:pPr>
        <w:keepNext/>
        <w:ind w:left="2592" w:hanging="2592"/>
        <w:jc w:val="center"/>
        <w:outlineLvl w:val="1"/>
        <w:rPr>
          <w:b/>
          <w:sz w:val="24"/>
          <w:szCs w:val="24"/>
          <w:lang w:val="lt-LT"/>
        </w:rPr>
      </w:pPr>
      <w:r w:rsidRPr="009820FD">
        <w:rPr>
          <w:b/>
          <w:sz w:val="24"/>
          <w:szCs w:val="24"/>
          <w:lang w:val="lt-LT"/>
        </w:rPr>
        <w:t xml:space="preserve">SUSITARIMAS </w:t>
      </w:r>
    </w:p>
    <w:p w14:paraId="3700EF4F" w14:textId="3A741742" w:rsidR="009820FD" w:rsidRPr="009820FD" w:rsidRDefault="0000554C" w:rsidP="009820FD">
      <w:pPr>
        <w:jc w:val="center"/>
        <w:rPr>
          <w:b/>
          <w:sz w:val="24"/>
          <w:szCs w:val="24"/>
          <w:highlight w:val="yellow"/>
          <w:lang w:val="lt-LT"/>
        </w:rPr>
      </w:pPr>
      <w:r>
        <w:rPr>
          <w:b/>
          <w:sz w:val="24"/>
          <w:szCs w:val="24"/>
          <w:lang w:val="lt-LT"/>
        </w:rPr>
        <w:t>DĖL 2020</w:t>
      </w:r>
      <w:r w:rsidR="00133388" w:rsidRPr="009820FD">
        <w:rPr>
          <w:b/>
          <w:sz w:val="24"/>
          <w:szCs w:val="24"/>
          <w:lang w:val="lt-LT"/>
        </w:rPr>
        <w:t xml:space="preserve"> M. </w:t>
      </w:r>
      <w:r>
        <w:rPr>
          <w:b/>
          <w:sz w:val="24"/>
          <w:szCs w:val="24"/>
          <w:lang w:val="lt-LT"/>
        </w:rPr>
        <w:t>SPALIO 7</w:t>
      </w:r>
      <w:r w:rsidR="00133388" w:rsidRPr="009820FD">
        <w:rPr>
          <w:b/>
          <w:sz w:val="24"/>
          <w:szCs w:val="24"/>
          <w:lang w:val="lt-LT"/>
        </w:rPr>
        <w:t xml:space="preserve"> D. </w:t>
      </w:r>
      <w:r w:rsidR="006951EC">
        <w:rPr>
          <w:b/>
          <w:sz w:val="24"/>
          <w:szCs w:val="24"/>
          <w:lang w:val="lt-LT"/>
        </w:rPr>
        <w:t>ELEKTROS ŪKIO IR KITŲ</w:t>
      </w:r>
      <w:r w:rsidR="00133388" w:rsidRPr="00133388">
        <w:rPr>
          <w:b/>
          <w:sz w:val="24"/>
          <w:szCs w:val="24"/>
          <w:lang w:val="lt-LT"/>
        </w:rPr>
        <w:t xml:space="preserve"> INŽINERIN</w:t>
      </w:r>
      <w:r w:rsidR="006951EC">
        <w:rPr>
          <w:b/>
          <w:sz w:val="24"/>
          <w:szCs w:val="24"/>
          <w:lang w:val="lt-LT"/>
        </w:rPr>
        <w:t>IŲ SISTEMŲ</w:t>
      </w:r>
      <w:r w:rsidR="00133388" w:rsidRPr="00133388">
        <w:rPr>
          <w:b/>
          <w:sz w:val="24"/>
          <w:szCs w:val="24"/>
          <w:lang w:val="lt-LT"/>
        </w:rPr>
        <w:t xml:space="preserve"> </w:t>
      </w:r>
      <w:r w:rsidR="00133388">
        <w:rPr>
          <w:b/>
          <w:sz w:val="24"/>
          <w:szCs w:val="24"/>
          <w:lang w:val="lt-LT"/>
        </w:rPr>
        <w:t>PRIEŽIŪROS</w:t>
      </w:r>
      <w:r w:rsidR="006951EC">
        <w:rPr>
          <w:b/>
          <w:sz w:val="24"/>
          <w:szCs w:val="24"/>
          <w:lang w:val="lt-LT"/>
        </w:rPr>
        <w:t xml:space="preserve"> IR REMONTO</w:t>
      </w:r>
      <w:r w:rsidR="00133388" w:rsidRPr="009820FD">
        <w:rPr>
          <w:b/>
          <w:sz w:val="24"/>
          <w:szCs w:val="24"/>
          <w:lang w:val="lt-LT"/>
        </w:rPr>
        <w:t xml:space="preserve"> PASLAUGŲ</w:t>
      </w:r>
      <w:r w:rsidR="006951EC">
        <w:rPr>
          <w:b/>
          <w:sz w:val="24"/>
          <w:szCs w:val="24"/>
          <w:lang w:val="lt-LT"/>
        </w:rPr>
        <w:t xml:space="preserve"> VIEŠOJO</w:t>
      </w:r>
      <w:r w:rsidR="00133388" w:rsidRPr="009820FD">
        <w:rPr>
          <w:b/>
          <w:sz w:val="24"/>
          <w:szCs w:val="24"/>
          <w:lang w:val="lt-LT"/>
        </w:rPr>
        <w:t xml:space="preserve"> PIRK</w:t>
      </w:r>
      <w:r w:rsidR="00133388">
        <w:rPr>
          <w:b/>
          <w:sz w:val="24"/>
          <w:szCs w:val="24"/>
          <w:lang w:val="lt-LT"/>
        </w:rPr>
        <w:t>I</w:t>
      </w:r>
      <w:r>
        <w:rPr>
          <w:b/>
          <w:sz w:val="24"/>
          <w:szCs w:val="24"/>
          <w:lang w:val="lt-LT"/>
        </w:rPr>
        <w:t>MO-PARDAVIMO SUTARTIES NR. U-543/CP-220272</w:t>
      </w:r>
      <w:r w:rsidR="00133388" w:rsidRPr="009820FD">
        <w:rPr>
          <w:b/>
          <w:sz w:val="24"/>
          <w:szCs w:val="24"/>
          <w:lang w:val="lt-LT"/>
        </w:rPr>
        <w:t xml:space="preserve"> PAKEITIMO</w:t>
      </w:r>
    </w:p>
    <w:p w14:paraId="39E98A95" w14:textId="77777777" w:rsidR="009820FD" w:rsidRPr="009820FD" w:rsidRDefault="009820FD" w:rsidP="009820FD">
      <w:pPr>
        <w:jc w:val="center"/>
        <w:rPr>
          <w:b/>
          <w:sz w:val="18"/>
          <w:szCs w:val="18"/>
          <w:highlight w:val="yellow"/>
          <w:lang w:val="lt-LT"/>
        </w:rPr>
      </w:pPr>
    </w:p>
    <w:p w14:paraId="4F764AA6" w14:textId="77777777" w:rsidR="009820FD" w:rsidRPr="009820FD" w:rsidRDefault="009820FD" w:rsidP="009820FD">
      <w:pPr>
        <w:jc w:val="center"/>
        <w:rPr>
          <w:sz w:val="24"/>
          <w:szCs w:val="24"/>
          <w:lang w:val="lt-LT"/>
        </w:rPr>
      </w:pPr>
      <w:r w:rsidRPr="009820FD">
        <w:rPr>
          <w:sz w:val="24"/>
          <w:szCs w:val="24"/>
          <w:lang w:val="lt-LT"/>
        </w:rPr>
        <w:t xml:space="preserve">2023 m. </w:t>
      </w:r>
      <w:r w:rsidRPr="009820FD">
        <w:rPr>
          <w:sz w:val="24"/>
          <w:szCs w:val="24"/>
          <w:lang w:val="lt-LT"/>
        </w:rPr>
        <w:tab/>
      </w:r>
      <w:r w:rsidRPr="009820FD">
        <w:rPr>
          <w:sz w:val="24"/>
          <w:szCs w:val="24"/>
          <w:lang w:val="lt-LT"/>
        </w:rPr>
        <w:tab/>
        <w:t>d. Nr. U-</w:t>
      </w:r>
    </w:p>
    <w:p w14:paraId="081A97F4" w14:textId="77777777" w:rsidR="009820FD" w:rsidRPr="009820FD" w:rsidRDefault="009820FD" w:rsidP="009820FD">
      <w:pPr>
        <w:jc w:val="center"/>
        <w:rPr>
          <w:sz w:val="18"/>
          <w:szCs w:val="18"/>
          <w:lang w:val="lt-LT"/>
        </w:rPr>
      </w:pPr>
    </w:p>
    <w:p w14:paraId="7F44105A" w14:textId="77777777" w:rsidR="009820FD" w:rsidRPr="009820FD" w:rsidRDefault="009820FD" w:rsidP="009820FD">
      <w:pPr>
        <w:jc w:val="center"/>
        <w:rPr>
          <w:sz w:val="24"/>
          <w:szCs w:val="24"/>
          <w:lang w:val="lt-LT"/>
        </w:rPr>
      </w:pPr>
      <w:r w:rsidRPr="009820FD">
        <w:rPr>
          <w:sz w:val="24"/>
          <w:szCs w:val="24"/>
          <w:lang w:val="lt-LT"/>
        </w:rPr>
        <w:t>Vilnius</w:t>
      </w:r>
    </w:p>
    <w:p w14:paraId="71344D0B" w14:textId="77777777" w:rsidR="009820FD" w:rsidRPr="009820FD" w:rsidRDefault="009820FD" w:rsidP="009820FD">
      <w:pPr>
        <w:jc w:val="center"/>
        <w:rPr>
          <w:b/>
          <w:sz w:val="24"/>
          <w:szCs w:val="24"/>
          <w:lang w:val="lt-LT"/>
        </w:rPr>
      </w:pPr>
    </w:p>
    <w:p w14:paraId="7E7CA50A" w14:textId="45EA9D96" w:rsidR="009820FD" w:rsidRPr="00C11339" w:rsidRDefault="009820FD" w:rsidP="009820FD">
      <w:pPr>
        <w:ind w:firstLine="720"/>
        <w:jc w:val="both"/>
        <w:rPr>
          <w:sz w:val="24"/>
          <w:szCs w:val="24"/>
          <w:lang w:val="lt-LT"/>
        </w:rPr>
      </w:pPr>
      <w:r w:rsidRPr="00C11339">
        <w:rPr>
          <w:b/>
          <w:sz w:val="24"/>
          <w:szCs w:val="24"/>
          <w:lang w:val="lt-LT"/>
        </w:rPr>
        <w:t>Lietuvos kariuomenės Logistikos valdybos Įgulų aptarnavimo tarnyba</w:t>
      </w:r>
      <w:r w:rsidRPr="00C11339">
        <w:rPr>
          <w:sz w:val="24"/>
          <w:szCs w:val="24"/>
          <w:lang w:val="lt-LT"/>
        </w:rPr>
        <w:t>,</w:t>
      </w:r>
      <w:r w:rsidR="00AF1F3F">
        <w:rPr>
          <w:sz w:val="24"/>
          <w:szCs w:val="24"/>
          <w:lang w:val="lt-LT"/>
        </w:rPr>
        <w:t xml:space="preserve"> atstovaujama    </w:t>
      </w:r>
      <w:r w:rsidR="00A44279" w:rsidRPr="00C11339">
        <w:rPr>
          <w:sz w:val="24"/>
          <w:szCs w:val="24"/>
          <w:lang w:val="lt-LT"/>
        </w:rPr>
        <w:t>,</w:t>
      </w:r>
      <w:r w:rsidRPr="00C11339">
        <w:rPr>
          <w:sz w:val="24"/>
          <w:szCs w:val="24"/>
          <w:lang w:val="lt-LT"/>
        </w:rPr>
        <w:t xml:space="preserve">veikiančio pagal Įgulų aptarnavimo tarnybos nuostatus, patvirtintus Krašto apsaugos ministro 2014 m. gegužės 30 d. įsakymu Nr. V-470 (toliau – </w:t>
      </w:r>
      <w:r w:rsidRPr="00C11339">
        <w:rPr>
          <w:b/>
          <w:sz w:val="24"/>
          <w:szCs w:val="24"/>
          <w:lang w:val="lt-LT"/>
        </w:rPr>
        <w:t>Pirkėjas</w:t>
      </w:r>
      <w:r w:rsidR="00FD302C">
        <w:rPr>
          <w:b/>
          <w:sz w:val="24"/>
          <w:szCs w:val="24"/>
          <w:lang w:val="lt-LT"/>
        </w:rPr>
        <w:t>)</w:t>
      </w:r>
      <w:r w:rsidRPr="00C11339">
        <w:rPr>
          <w:sz w:val="24"/>
          <w:szCs w:val="24"/>
          <w:lang w:val="lt-LT"/>
        </w:rPr>
        <w:t xml:space="preserve">, ir </w:t>
      </w:r>
      <w:r w:rsidRPr="00C11339">
        <w:rPr>
          <w:b/>
          <w:sz w:val="24"/>
          <w:szCs w:val="24"/>
          <w:lang w:val="lt-LT"/>
        </w:rPr>
        <w:t>UAB ,,</w:t>
      </w:r>
      <w:proofErr w:type="spellStart"/>
      <w:r w:rsidRPr="00C11339">
        <w:rPr>
          <w:b/>
          <w:sz w:val="24"/>
          <w:szCs w:val="24"/>
          <w:lang w:val="lt-LT"/>
        </w:rPr>
        <w:t>Corpus</w:t>
      </w:r>
      <w:proofErr w:type="spellEnd"/>
      <w:r w:rsidRPr="00C11339">
        <w:rPr>
          <w:b/>
          <w:sz w:val="24"/>
          <w:szCs w:val="24"/>
          <w:lang w:val="lt-LT"/>
        </w:rPr>
        <w:t xml:space="preserve"> </w:t>
      </w:r>
      <w:r w:rsidR="00133388" w:rsidRPr="00C11339">
        <w:rPr>
          <w:b/>
          <w:sz w:val="24"/>
          <w:szCs w:val="24"/>
          <w:lang w:val="lt-LT"/>
        </w:rPr>
        <w:t>PRO</w:t>
      </w:r>
      <w:r w:rsidRPr="00C11339">
        <w:rPr>
          <w:b/>
          <w:sz w:val="24"/>
          <w:szCs w:val="24"/>
          <w:lang w:val="lt-LT"/>
        </w:rPr>
        <w:t>“,</w:t>
      </w:r>
      <w:r w:rsidR="00AF1F3F">
        <w:rPr>
          <w:sz w:val="24"/>
          <w:szCs w:val="24"/>
          <w:lang w:val="lt-LT"/>
        </w:rPr>
        <w:t xml:space="preserve"> atstovaujama           </w:t>
      </w:r>
      <w:r w:rsidRPr="00C11339">
        <w:rPr>
          <w:sz w:val="24"/>
          <w:szCs w:val="24"/>
          <w:lang w:val="lt-LT"/>
        </w:rPr>
        <w:t>, veikiančio</w:t>
      </w:r>
      <w:r w:rsidR="00133388" w:rsidRPr="00C11339">
        <w:rPr>
          <w:sz w:val="24"/>
          <w:szCs w:val="24"/>
          <w:lang w:val="lt-LT"/>
        </w:rPr>
        <w:t>s</w:t>
      </w:r>
      <w:r w:rsidRPr="00C11339">
        <w:rPr>
          <w:sz w:val="24"/>
          <w:szCs w:val="24"/>
          <w:lang w:val="lt-LT"/>
        </w:rPr>
        <w:t xml:space="preserve"> pagal įmonės įstatus (toliau –</w:t>
      </w:r>
      <w:r w:rsidRPr="00C11339">
        <w:rPr>
          <w:b/>
          <w:sz w:val="24"/>
          <w:szCs w:val="24"/>
          <w:lang w:val="lt-LT"/>
        </w:rPr>
        <w:t>Teikėjas</w:t>
      </w:r>
      <w:r w:rsidRPr="00C11339">
        <w:rPr>
          <w:sz w:val="24"/>
          <w:szCs w:val="24"/>
          <w:lang w:val="lt-LT"/>
        </w:rPr>
        <w:t>)</w:t>
      </w:r>
      <w:r w:rsidRPr="00C11339">
        <w:rPr>
          <w:b/>
          <w:sz w:val="24"/>
          <w:szCs w:val="24"/>
          <w:lang w:val="lt-LT"/>
        </w:rPr>
        <w:t>,</w:t>
      </w:r>
      <w:r w:rsidRPr="00C11339">
        <w:rPr>
          <w:sz w:val="24"/>
          <w:szCs w:val="24"/>
          <w:lang w:val="lt-LT"/>
        </w:rPr>
        <w:t xml:space="preserve"> toliau kartu vadinamos </w:t>
      </w:r>
      <w:r w:rsidRPr="00C11339">
        <w:rPr>
          <w:b/>
          <w:sz w:val="24"/>
          <w:szCs w:val="24"/>
          <w:lang w:val="lt-LT"/>
        </w:rPr>
        <w:t>Šalimis</w:t>
      </w:r>
      <w:r w:rsidRPr="00C11339">
        <w:rPr>
          <w:sz w:val="24"/>
          <w:szCs w:val="24"/>
          <w:lang w:val="lt-LT"/>
        </w:rPr>
        <w:t>, atsižvelgdami į tai, kad:</w:t>
      </w:r>
    </w:p>
    <w:p w14:paraId="0ED46F31" w14:textId="57A8240E" w:rsidR="009820FD" w:rsidRPr="00C11339" w:rsidRDefault="009B68D1" w:rsidP="009820FD">
      <w:pPr>
        <w:ind w:firstLine="720"/>
        <w:jc w:val="both"/>
        <w:rPr>
          <w:sz w:val="24"/>
          <w:szCs w:val="24"/>
          <w:lang w:val="lt-LT"/>
        </w:rPr>
      </w:pPr>
      <w:r>
        <w:rPr>
          <w:sz w:val="24"/>
          <w:szCs w:val="24"/>
          <w:lang w:val="lt-LT"/>
        </w:rPr>
        <w:t>A</w:t>
      </w:r>
      <w:r w:rsidR="009C05D1">
        <w:rPr>
          <w:sz w:val="24"/>
          <w:szCs w:val="24"/>
          <w:lang w:val="lt-LT"/>
        </w:rPr>
        <w:t>) Šalys 2020-10-07</w:t>
      </w:r>
      <w:r w:rsidR="009820FD" w:rsidRPr="00C11339">
        <w:rPr>
          <w:sz w:val="24"/>
          <w:szCs w:val="24"/>
          <w:lang w:val="lt-LT"/>
        </w:rPr>
        <w:t xml:space="preserve"> pasirašė</w:t>
      </w:r>
      <w:r w:rsidR="006951EC">
        <w:rPr>
          <w:sz w:val="24"/>
          <w:szCs w:val="24"/>
          <w:lang w:val="lt-LT"/>
        </w:rPr>
        <w:t xml:space="preserve"> </w:t>
      </w:r>
      <w:r w:rsidR="00FD302C">
        <w:rPr>
          <w:sz w:val="24"/>
          <w:szCs w:val="24"/>
          <w:lang w:val="lt-LT"/>
        </w:rPr>
        <w:t>elektros</w:t>
      </w:r>
      <w:r w:rsidR="006951EC">
        <w:rPr>
          <w:sz w:val="24"/>
          <w:szCs w:val="24"/>
          <w:lang w:val="lt-LT"/>
        </w:rPr>
        <w:t xml:space="preserve"> ūkio ir kitų inžinierinių </w:t>
      </w:r>
      <w:r w:rsidR="00FD302C">
        <w:rPr>
          <w:sz w:val="24"/>
          <w:szCs w:val="24"/>
          <w:lang w:val="lt-LT"/>
        </w:rPr>
        <w:t>sistemų</w:t>
      </w:r>
      <w:r w:rsidR="006951EC">
        <w:rPr>
          <w:sz w:val="24"/>
          <w:szCs w:val="24"/>
          <w:lang w:val="lt-LT"/>
        </w:rPr>
        <w:t xml:space="preserve">  priežiūros</w:t>
      </w:r>
      <w:r w:rsidR="00FD302C">
        <w:rPr>
          <w:sz w:val="24"/>
          <w:szCs w:val="24"/>
          <w:lang w:val="lt-LT"/>
        </w:rPr>
        <w:t xml:space="preserve"> ir remonto</w:t>
      </w:r>
      <w:r w:rsidR="006951EC">
        <w:rPr>
          <w:sz w:val="24"/>
          <w:szCs w:val="24"/>
          <w:lang w:val="lt-LT"/>
        </w:rPr>
        <w:t xml:space="preserve"> paslaug</w:t>
      </w:r>
      <w:r w:rsidR="00FD302C">
        <w:rPr>
          <w:sz w:val="24"/>
          <w:szCs w:val="24"/>
          <w:lang w:val="lt-LT"/>
        </w:rPr>
        <w:t>ų</w:t>
      </w:r>
      <w:r w:rsidR="006951EC">
        <w:rPr>
          <w:sz w:val="24"/>
          <w:szCs w:val="24"/>
          <w:lang w:val="lt-LT"/>
        </w:rPr>
        <w:t xml:space="preserve"> sutartį Nr. U-543/CP-220272</w:t>
      </w:r>
      <w:r w:rsidR="009820FD" w:rsidRPr="00C11339">
        <w:rPr>
          <w:sz w:val="24"/>
          <w:szCs w:val="24"/>
          <w:lang w:val="lt-LT"/>
        </w:rPr>
        <w:t xml:space="preserve"> (toliau – Sutartis);</w:t>
      </w:r>
    </w:p>
    <w:p w14:paraId="06BA5657" w14:textId="5FCD4AC8" w:rsidR="009820FD" w:rsidRPr="00C11339" w:rsidRDefault="009B68D1" w:rsidP="009820FD">
      <w:pPr>
        <w:ind w:firstLine="720"/>
        <w:jc w:val="both"/>
        <w:rPr>
          <w:sz w:val="24"/>
          <w:szCs w:val="24"/>
          <w:lang w:val="lt-LT"/>
        </w:rPr>
      </w:pPr>
      <w:r>
        <w:rPr>
          <w:sz w:val="24"/>
          <w:szCs w:val="24"/>
          <w:lang w:val="lt-LT"/>
        </w:rPr>
        <w:t>B</w:t>
      </w:r>
      <w:r w:rsidR="00E83FAC" w:rsidRPr="00C11339">
        <w:rPr>
          <w:sz w:val="24"/>
          <w:szCs w:val="24"/>
          <w:lang w:val="lt-LT"/>
        </w:rPr>
        <w:t>) Tei</w:t>
      </w:r>
      <w:r w:rsidR="009820FD" w:rsidRPr="00C11339">
        <w:rPr>
          <w:sz w:val="24"/>
          <w:szCs w:val="24"/>
          <w:lang w:val="lt-LT"/>
        </w:rPr>
        <w:t>kėjas</w:t>
      </w:r>
      <w:r w:rsidR="002969F4" w:rsidRPr="00C11339">
        <w:rPr>
          <w:sz w:val="24"/>
          <w:szCs w:val="24"/>
          <w:lang w:val="lt-LT"/>
        </w:rPr>
        <w:t xml:space="preserve"> 2023</w:t>
      </w:r>
      <w:r w:rsidR="009820FD" w:rsidRPr="00C11339">
        <w:rPr>
          <w:sz w:val="24"/>
          <w:szCs w:val="24"/>
          <w:lang w:val="lt-LT"/>
        </w:rPr>
        <w:t xml:space="preserve"> m. </w:t>
      </w:r>
      <w:r w:rsidR="00436B8B" w:rsidRPr="00C11339">
        <w:rPr>
          <w:sz w:val="24"/>
          <w:szCs w:val="24"/>
          <w:lang w:val="lt-LT"/>
        </w:rPr>
        <w:t>kovo</w:t>
      </w:r>
      <w:r w:rsidR="002969F4" w:rsidRPr="00C11339">
        <w:rPr>
          <w:sz w:val="24"/>
          <w:szCs w:val="24"/>
          <w:lang w:val="lt-LT"/>
        </w:rPr>
        <w:t xml:space="preserve"> </w:t>
      </w:r>
      <w:r w:rsidR="00436B8B" w:rsidRPr="00C11339">
        <w:rPr>
          <w:sz w:val="24"/>
          <w:szCs w:val="24"/>
          <w:lang w:val="lt-LT"/>
        </w:rPr>
        <w:t>9</w:t>
      </w:r>
      <w:r w:rsidR="009820FD" w:rsidRPr="00C11339">
        <w:rPr>
          <w:sz w:val="24"/>
          <w:szCs w:val="24"/>
          <w:lang w:val="lt-LT"/>
        </w:rPr>
        <w:t xml:space="preserve"> d. raštu</w:t>
      </w:r>
      <w:r w:rsidR="00A44279" w:rsidRPr="00C11339">
        <w:rPr>
          <w:sz w:val="24"/>
          <w:szCs w:val="24"/>
          <w:lang w:val="lt-LT"/>
        </w:rPr>
        <w:t xml:space="preserve"> G-421</w:t>
      </w:r>
      <w:r w:rsidR="009820FD" w:rsidRPr="00C11339">
        <w:rPr>
          <w:sz w:val="24"/>
          <w:szCs w:val="24"/>
          <w:lang w:val="lt-LT"/>
        </w:rPr>
        <w:t xml:space="preserve"> </w:t>
      </w:r>
      <w:r w:rsidR="00436B8B" w:rsidRPr="00C11339">
        <w:rPr>
          <w:sz w:val="24"/>
          <w:szCs w:val="24"/>
          <w:lang w:val="lt-LT"/>
        </w:rPr>
        <w:t>„Dėl paslaugų teikimo sutarčių pakeitimo“</w:t>
      </w:r>
      <w:r w:rsidR="009820FD" w:rsidRPr="00C11339">
        <w:rPr>
          <w:sz w:val="24"/>
          <w:szCs w:val="24"/>
          <w:lang w:val="lt-LT"/>
        </w:rPr>
        <w:t xml:space="preserve"> (toliau – Raštas) kreipėsi į Pirkėją dėl sutarties kainos perskaičiavimo;</w:t>
      </w:r>
    </w:p>
    <w:p w14:paraId="358EE92D" w14:textId="687C1D40" w:rsidR="009826C7" w:rsidRPr="00C11339" w:rsidRDefault="009B68D1" w:rsidP="009826C7">
      <w:pPr>
        <w:jc w:val="both"/>
        <w:rPr>
          <w:sz w:val="24"/>
          <w:szCs w:val="24"/>
          <w:lang w:val="lt-LT"/>
        </w:rPr>
      </w:pPr>
      <w:r>
        <w:rPr>
          <w:sz w:val="24"/>
          <w:szCs w:val="24"/>
          <w:lang w:val="lt-LT"/>
        </w:rPr>
        <w:t xml:space="preserve">            C</w:t>
      </w:r>
      <w:r w:rsidR="009820FD" w:rsidRPr="00C11339">
        <w:rPr>
          <w:sz w:val="24"/>
          <w:szCs w:val="24"/>
          <w:lang w:val="lt-LT"/>
        </w:rPr>
        <w:t>) Vadovaujantis Lietuvos Respublikos viešųjų pirkimų įstatym</w:t>
      </w:r>
      <w:r w:rsidR="00FD302C">
        <w:rPr>
          <w:sz w:val="24"/>
          <w:szCs w:val="24"/>
          <w:lang w:val="lt-LT"/>
        </w:rPr>
        <w:t>o</w:t>
      </w:r>
      <w:r w:rsidR="009820FD" w:rsidRPr="00C11339">
        <w:rPr>
          <w:sz w:val="24"/>
          <w:szCs w:val="24"/>
          <w:lang w:val="lt-LT"/>
        </w:rPr>
        <w:t xml:space="preserve"> (toliau – VPĮ) 89 str. 1 dalies 3 punkto nuostatomis, </w:t>
      </w:r>
      <w:r w:rsidR="009826C7" w:rsidRPr="00C11339">
        <w:rPr>
          <w:color w:val="000000"/>
          <w:sz w:val="24"/>
          <w:szCs w:val="24"/>
          <w:shd w:val="clear" w:color="auto" w:fill="FFFFFF"/>
          <w:lang w:val="lt-LT"/>
        </w:rPr>
        <w:t xml:space="preserve">kai </w:t>
      </w:r>
      <w:r w:rsidR="009826C7" w:rsidRPr="00C11339">
        <w:rPr>
          <w:sz w:val="24"/>
          <w:szCs w:val="24"/>
          <w:lang w:val="lt-LT"/>
        </w:rPr>
        <w:t xml:space="preserve">pakeitimas iš esmės nepakeičia pirkimo sutarties ar preliminariosios sutarties pobūdžio, atskiro pakeitimo vertė neviršija 50 procentų pradinės pirkimo sutarties ar preliminariosios sutarties vertės. </w:t>
      </w:r>
    </w:p>
    <w:p w14:paraId="3C64557F" w14:textId="77777777" w:rsidR="002449F4" w:rsidRDefault="001A5128" w:rsidP="009826C7">
      <w:pPr>
        <w:jc w:val="both"/>
        <w:rPr>
          <w:sz w:val="24"/>
          <w:szCs w:val="24"/>
          <w:lang w:val="lt-LT"/>
        </w:rPr>
      </w:pPr>
      <w:r w:rsidRPr="00C11339">
        <w:rPr>
          <w:sz w:val="24"/>
          <w:szCs w:val="24"/>
          <w:lang w:val="lt-LT"/>
        </w:rPr>
        <w:t xml:space="preserve">           </w:t>
      </w:r>
      <w:r w:rsidR="002449F4" w:rsidRPr="00C11339">
        <w:rPr>
          <w:sz w:val="24"/>
          <w:szCs w:val="24"/>
          <w:lang w:val="lt-LT"/>
        </w:rPr>
        <w:t>Šalys siekdamos racionaliai vykdyti Sutartį, racionaliai naudoti Pirkėjo lėšas, užtikrinti paslaugų teikimą, Šalys sudarė šį susitarimą dėl Sutarties pakeitimo (toliau – Susitarimas), kuriuo susitarė:</w:t>
      </w:r>
    </w:p>
    <w:p w14:paraId="7DF45E5B" w14:textId="44AAB693" w:rsidR="009A5D13" w:rsidRPr="009A5D13" w:rsidRDefault="009A5D13" w:rsidP="009A5D13">
      <w:pPr>
        <w:jc w:val="both"/>
        <w:rPr>
          <w:sz w:val="24"/>
          <w:szCs w:val="24"/>
          <w:lang w:val="lt-LT"/>
        </w:rPr>
      </w:pPr>
      <w:r w:rsidRPr="009A5D13">
        <w:rPr>
          <w:sz w:val="24"/>
          <w:szCs w:val="24"/>
          <w:lang w:val="lt-LT"/>
        </w:rPr>
        <w:t xml:space="preserve">  1. Pa</w:t>
      </w:r>
      <w:r w:rsidR="00FD302C">
        <w:rPr>
          <w:sz w:val="24"/>
          <w:szCs w:val="24"/>
          <w:lang w:val="lt-LT"/>
        </w:rPr>
        <w:t>keisti</w:t>
      </w:r>
      <w:r w:rsidRPr="009A5D13">
        <w:rPr>
          <w:sz w:val="24"/>
          <w:szCs w:val="24"/>
          <w:lang w:val="lt-LT"/>
        </w:rPr>
        <w:t xml:space="preserve"> Sutarties Speciali</w:t>
      </w:r>
      <w:r w:rsidR="00000AB7">
        <w:rPr>
          <w:sz w:val="24"/>
          <w:szCs w:val="24"/>
          <w:lang w:val="lt-LT"/>
        </w:rPr>
        <w:t>o</w:t>
      </w:r>
      <w:r w:rsidR="00FD302C">
        <w:rPr>
          <w:sz w:val="24"/>
          <w:szCs w:val="24"/>
          <w:lang w:val="lt-LT"/>
        </w:rPr>
        <w:t>sios</w:t>
      </w:r>
      <w:r w:rsidRPr="009A5D13">
        <w:rPr>
          <w:sz w:val="24"/>
          <w:szCs w:val="24"/>
          <w:lang w:val="lt-LT"/>
        </w:rPr>
        <w:t xml:space="preserve"> dal</w:t>
      </w:r>
      <w:r w:rsidR="00FD302C">
        <w:rPr>
          <w:sz w:val="24"/>
          <w:szCs w:val="24"/>
          <w:lang w:val="lt-LT"/>
        </w:rPr>
        <w:t>ies 2.4</w:t>
      </w:r>
      <w:r w:rsidRPr="009A5D13">
        <w:rPr>
          <w:sz w:val="24"/>
          <w:szCs w:val="24"/>
          <w:lang w:val="lt-LT"/>
        </w:rPr>
        <w:t xml:space="preserve">  punkt</w:t>
      </w:r>
      <w:r w:rsidR="00FD302C">
        <w:rPr>
          <w:sz w:val="24"/>
          <w:szCs w:val="24"/>
          <w:lang w:val="lt-LT"/>
        </w:rPr>
        <w:t>ą</w:t>
      </w:r>
      <w:r w:rsidRPr="009A5D13">
        <w:rPr>
          <w:sz w:val="24"/>
          <w:szCs w:val="24"/>
          <w:lang w:val="lt-LT"/>
        </w:rPr>
        <w:t xml:space="preserve"> ir </w:t>
      </w:r>
      <w:r w:rsidR="00FD302C">
        <w:rPr>
          <w:sz w:val="24"/>
          <w:szCs w:val="24"/>
          <w:lang w:val="lt-LT"/>
        </w:rPr>
        <w:t xml:space="preserve">jį </w:t>
      </w:r>
      <w:r w:rsidRPr="009A5D13">
        <w:rPr>
          <w:sz w:val="24"/>
          <w:szCs w:val="24"/>
          <w:lang w:val="lt-LT"/>
        </w:rPr>
        <w:t>išdėstyti taip:</w:t>
      </w:r>
    </w:p>
    <w:p w14:paraId="1BE88B66" w14:textId="106A7A8B" w:rsidR="009A5D13" w:rsidRDefault="009A5D13" w:rsidP="009A5D13">
      <w:pPr>
        <w:jc w:val="both"/>
        <w:rPr>
          <w:sz w:val="24"/>
          <w:szCs w:val="24"/>
          <w:lang w:val="lt-LT"/>
        </w:rPr>
      </w:pPr>
      <w:r w:rsidRPr="009A5D13">
        <w:rPr>
          <w:sz w:val="24"/>
          <w:szCs w:val="24"/>
          <w:lang w:val="lt-LT"/>
        </w:rPr>
        <w:t xml:space="preserve">„2.6. </w:t>
      </w:r>
      <w:r w:rsidR="00000AB7">
        <w:rPr>
          <w:sz w:val="24"/>
          <w:szCs w:val="24"/>
          <w:lang w:val="lt-LT"/>
        </w:rPr>
        <w:t xml:space="preserve">Sutartyje yra taikoma fiksuoto įkainio kainodara. Peržiūra vykdoma, kaip numatyta Sutarties bendrosios dalies 2.2 papunktyje, arba </w:t>
      </w:r>
      <w:r w:rsidRPr="009A5D13">
        <w:rPr>
          <w:sz w:val="24"/>
          <w:szCs w:val="24"/>
          <w:lang w:val="lt-LT"/>
        </w:rPr>
        <w:t xml:space="preserve">kai yra taikomas sutarties įkainio indeksavimas. Paslaugų įkainio indeksavimas atliekamas tokiomis sąlygomis ir tvarka:  </w:t>
      </w:r>
    </w:p>
    <w:p w14:paraId="5C462524" w14:textId="77777777" w:rsidR="00E83FAC" w:rsidRPr="00C11339" w:rsidRDefault="00E83FAC" w:rsidP="00E83FAC">
      <w:pPr>
        <w:spacing w:line="288" w:lineRule="auto"/>
        <w:ind w:left="142" w:firstLine="142"/>
        <w:contextualSpacing/>
        <w:jc w:val="both"/>
        <w:rPr>
          <w:sz w:val="24"/>
          <w:szCs w:val="24"/>
          <w:lang w:val="lt-LT"/>
        </w:rPr>
      </w:pPr>
      <m:oMathPara>
        <m:oMathParaPr>
          <m:jc m:val="centerGroup"/>
        </m:oMathParaPr>
        <m:oMath>
          <m:r>
            <w:rPr>
              <w:rFonts w:ascii="Cambria Math" w:hAnsi="Cambria Math"/>
              <w:sz w:val="24"/>
              <w:szCs w:val="24"/>
              <w:lang w:val="lt-LT"/>
            </w:rPr>
            <m:t>a1=a+</m:t>
          </m:r>
          <m:d>
            <m:dPr>
              <m:ctrlPr>
                <w:rPr>
                  <w:rFonts w:ascii="Cambria Math" w:hAnsi="Cambria Math"/>
                  <w:i/>
                  <w:iCs/>
                  <w:sz w:val="24"/>
                  <w:szCs w:val="24"/>
                  <w:lang w:val="lt-LT"/>
                </w:rPr>
              </m:ctrlPr>
            </m:dPr>
            <m:e>
              <m:f>
                <m:fPr>
                  <m:ctrlPr>
                    <w:rPr>
                      <w:rFonts w:ascii="Cambria Math" w:hAnsi="Cambria Math"/>
                      <w:i/>
                      <w:iCs/>
                      <w:sz w:val="24"/>
                      <w:szCs w:val="24"/>
                      <w:lang w:val="lt-LT"/>
                    </w:rPr>
                  </m:ctrlPr>
                </m:fPr>
                <m:num>
                  <m:r>
                    <w:rPr>
                      <w:rFonts w:ascii="Cambria Math" w:hAnsi="Cambria Math"/>
                      <w:sz w:val="24"/>
                      <w:szCs w:val="24"/>
                      <w:lang w:val="lt-LT"/>
                    </w:rPr>
                    <m:t>k</m:t>
                  </m:r>
                </m:num>
                <m:den>
                  <m:r>
                    <w:rPr>
                      <w:rFonts w:ascii="Cambria Math" w:hAnsi="Cambria Math"/>
                      <w:sz w:val="24"/>
                      <w:szCs w:val="24"/>
                      <w:lang w:val="lt-LT"/>
                    </w:rPr>
                    <m:t>100</m:t>
                  </m:r>
                </m:den>
              </m:f>
              <m:r>
                <w:rPr>
                  <w:rFonts w:ascii="Cambria Math" w:hAnsi="Cambria Math"/>
                  <w:sz w:val="24"/>
                  <w:szCs w:val="24"/>
                  <w:lang w:val="lt-LT"/>
                </w:rPr>
                <m:t xml:space="preserve"> </m:t>
              </m:r>
              <m:r>
                <m:rPr>
                  <m:sty m:val="p"/>
                </m:rPr>
                <w:rPr>
                  <w:rFonts w:ascii="Cambria Math" w:hAnsi="Cambria Math"/>
                  <w:sz w:val="24"/>
                  <w:szCs w:val="24"/>
                  <w:lang w:val="lt-LT"/>
                </w:rPr>
                <m:t>×</m:t>
              </m:r>
              <m:r>
                <w:rPr>
                  <w:rFonts w:ascii="Cambria Math" w:hAnsi="Cambria Math"/>
                  <w:sz w:val="24"/>
                  <w:szCs w:val="24"/>
                  <w:lang w:val="lt-LT"/>
                </w:rPr>
                <m:t xml:space="preserve">a </m:t>
              </m:r>
            </m:e>
          </m:d>
        </m:oMath>
      </m:oMathPara>
    </w:p>
    <w:p w14:paraId="0A0BAB5A" w14:textId="77777777" w:rsidR="00E83FAC" w:rsidRPr="00C11339" w:rsidRDefault="00E83FAC" w:rsidP="00E83FAC">
      <w:pPr>
        <w:spacing w:line="288" w:lineRule="auto"/>
        <w:ind w:left="142" w:hanging="142"/>
        <w:contextualSpacing/>
        <w:jc w:val="both"/>
        <w:rPr>
          <w:sz w:val="24"/>
          <w:szCs w:val="24"/>
          <w:lang w:val="lt-LT"/>
        </w:rPr>
      </w:pPr>
      <w:r w:rsidRPr="00C11339">
        <w:rPr>
          <w:sz w:val="24"/>
          <w:szCs w:val="24"/>
          <w:lang w:val="lt-LT"/>
        </w:rPr>
        <w:t>Kur:</w:t>
      </w:r>
    </w:p>
    <w:p w14:paraId="7CB943EE" w14:textId="77777777" w:rsidR="00E83FAC" w:rsidRPr="00C11339" w:rsidRDefault="00E83FAC" w:rsidP="00E83FAC">
      <w:pPr>
        <w:jc w:val="both"/>
        <w:rPr>
          <w:sz w:val="24"/>
          <w:szCs w:val="24"/>
          <w:lang w:val="lt-LT" w:eastAsia="lt-LT"/>
        </w:rPr>
      </w:pPr>
      <m:oMath>
        <m:r>
          <w:rPr>
            <w:rFonts w:ascii="Cambria Math" w:hAnsi="Cambria Math"/>
            <w:sz w:val="24"/>
            <w:szCs w:val="24"/>
            <w:lang w:val="lt-LT" w:eastAsia="lt-LT"/>
          </w:rPr>
          <m:t>a</m:t>
        </m:r>
      </m:oMath>
      <w:r w:rsidRPr="00C11339">
        <w:rPr>
          <w:sz w:val="24"/>
          <w:szCs w:val="24"/>
          <w:lang w:val="lt-LT" w:eastAsia="lt-LT"/>
        </w:rPr>
        <w:t xml:space="preserve"> 1– paslaugų (kaina) įkainiai, kurie bus taikomi po perskaičiavimo;</w:t>
      </w:r>
    </w:p>
    <w:p w14:paraId="6A6FF00E" w14:textId="77777777" w:rsidR="00E83FAC" w:rsidRPr="00C11339" w:rsidRDefault="00E83FAC" w:rsidP="00E83FAC">
      <w:pPr>
        <w:jc w:val="both"/>
        <w:rPr>
          <w:sz w:val="24"/>
          <w:szCs w:val="24"/>
          <w:lang w:val="lt-LT" w:eastAsia="lt-LT"/>
        </w:rPr>
      </w:pPr>
      <m:oMath>
        <m:r>
          <w:rPr>
            <w:rFonts w:ascii="Cambria Math" w:hAnsi="Cambria Math"/>
            <w:sz w:val="24"/>
            <w:szCs w:val="24"/>
            <w:lang w:val="lt-LT" w:eastAsia="lt-LT"/>
          </w:rPr>
          <m:t>a</m:t>
        </m:r>
      </m:oMath>
      <w:r w:rsidRPr="00C11339">
        <w:rPr>
          <w:sz w:val="24"/>
          <w:szCs w:val="24"/>
          <w:lang w:val="lt-LT" w:eastAsia="lt-LT"/>
        </w:rPr>
        <w:t xml:space="preserve">  – paslaugų įkainiai nurodyti sutartyje.</w:t>
      </w:r>
    </w:p>
    <w:p w14:paraId="635926D2" w14:textId="61115C4A" w:rsidR="00E83FAC" w:rsidRPr="00C11339" w:rsidRDefault="00E83FAC" w:rsidP="00E83FAC">
      <w:pPr>
        <w:jc w:val="both"/>
        <w:rPr>
          <w:color w:val="000000"/>
          <w:sz w:val="24"/>
          <w:szCs w:val="24"/>
          <w:lang w:val="lt-LT" w:eastAsia="lt-LT"/>
        </w:rPr>
      </w:pPr>
      <w:r w:rsidRPr="00C11339">
        <w:rPr>
          <w:color w:val="000000"/>
          <w:sz w:val="24"/>
          <w:szCs w:val="24"/>
          <w:lang w:val="lt-LT" w:eastAsia="lt-LT"/>
        </w:rPr>
        <w:t xml:space="preserve">k – pagal Ūkio subjektams suteiktų paslaugų kainų indeksą M7112 </w:t>
      </w:r>
      <w:r w:rsidR="00DD035F" w:rsidRPr="00DD035F">
        <w:rPr>
          <w:color w:val="000000"/>
          <w:sz w:val="24"/>
          <w:szCs w:val="24"/>
          <w:lang w:val="lt-LT" w:eastAsia="lt-LT"/>
        </w:rPr>
        <w:t>(Inžinerijos veikla ir su ja susijusios techninės konsultacijos) kainų indeksas)</w:t>
      </w:r>
      <w:r w:rsidR="00DD035F">
        <w:rPr>
          <w:color w:val="000000"/>
          <w:sz w:val="24"/>
          <w:szCs w:val="24"/>
          <w:lang w:val="lt-LT" w:eastAsia="lt-LT"/>
        </w:rPr>
        <w:t xml:space="preserve"> </w:t>
      </w:r>
      <w:r w:rsidRPr="00C11339">
        <w:rPr>
          <w:color w:val="000000"/>
          <w:sz w:val="24"/>
          <w:szCs w:val="24"/>
          <w:lang w:val="lt-LT" w:eastAsia="lt-LT"/>
        </w:rPr>
        <w:t>apskaič</w:t>
      </w:r>
      <w:r w:rsidR="00EE17B6">
        <w:rPr>
          <w:color w:val="000000"/>
          <w:sz w:val="24"/>
          <w:szCs w:val="24"/>
          <w:lang w:val="lt-LT" w:eastAsia="lt-LT"/>
        </w:rPr>
        <w:t>iuotas  paslaugų  kainų pokytis  (%).</w:t>
      </w:r>
    </w:p>
    <w:p w14:paraId="6E33290B" w14:textId="77777777" w:rsidR="00E83FAC" w:rsidRPr="00C11339" w:rsidRDefault="00E83FAC" w:rsidP="00E83FAC">
      <w:pPr>
        <w:jc w:val="both"/>
        <w:rPr>
          <w:iCs/>
          <w:sz w:val="24"/>
          <w:szCs w:val="24"/>
          <w:lang w:val="lt-LT" w:eastAsia="lt-LT"/>
        </w:rPr>
      </w:pPr>
      <w:r w:rsidRPr="00C11339">
        <w:rPr>
          <w:color w:val="000000"/>
          <w:sz w:val="24"/>
          <w:szCs w:val="24"/>
          <w:lang w:val="lt-LT" w:eastAsia="lt-LT"/>
        </w:rPr>
        <w:t>„k“ reikšmė skaičiuojama pagal formulę:</w:t>
      </w:r>
      <m:oMath>
        <m:r>
          <w:rPr>
            <w:rFonts w:ascii="Cambria Math" w:hAnsi="Cambria Math"/>
            <w:sz w:val="24"/>
            <w:szCs w:val="24"/>
            <w:lang w:val="lt-LT" w:eastAsia="lt-LT"/>
          </w:rPr>
          <m:t xml:space="preserve"> </m:t>
        </m:r>
      </m:oMath>
    </w:p>
    <w:p w14:paraId="3BBA7445" w14:textId="77777777" w:rsidR="00E83FAC" w:rsidRPr="00C11339" w:rsidRDefault="00E83FAC" w:rsidP="00E83FAC">
      <w:pPr>
        <w:jc w:val="both"/>
        <w:rPr>
          <w:sz w:val="24"/>
          <w:szCs w:val="24"/>
          <w:lang w:val="lt-LT" w:eastAsia="lt-LT"/>
        </w:rPr>
      </w:pPr>
    </w:p>
    <w:p w14:paraId="7B0B5CD8" w14:textId="77777777" w:rsidR="00E83FAC" w:rsidRPr="00C11339" w:rsidRDefault="00E83FAC" w:rsidP="00E83FAC">
      <w:pPr>
        <w:spacing w:line="288" w:lineRule="auto"/>
        <w:ind w:left="142" w:firstLine="142"/>
        <w:contextualSpacing/>
        <w:jc w:val="both"/>
      </w:pPr>
      <m:oMath>
        <m:r>
          <w:rPr>
            <w:rFonts w:ascii="Cambria Math" w:hAnsi="Cambria Math"/>
            <w:sz w:val="24"/>
            <w:szCs w:val="24"/>
            <w:lang w:val="lt-LT"/>
          </w:rPr>
          <m:t>k=</m:t>
        </m:r>
      </m:oMath>
      <w:r w:rsidRPr="00C11339">
        <w:rPr>
          <w:sz w:val="24"/>
          <w:szCs w:val="24"/>
          <w:lang w:val="lt-LT"/>
        </w:rPr>
        <w:t xml:space="preserve"> </w:t>
      </w:r>
      <m:oMath>
        <m:f>
          <m:fPr>
            <m:ctrlPr>
              <w:rPr>
                <w:rFonts w:ascii="Cambria Math" w:hAnsi="Cambria Math"/>
                <w:i/>
                <w:iCs/>
                <w:sz w:val="24"/>
                <w:szCs w:val="24"/>
                <w:lang w:val="lt-LT"/>
              </w:rPr>
            </m:ctrlPr>
          </m:fPr>
          <m:num>
            <m:r>
              <m:rPr>
                <m:sty m:val="bi"/>
              </m:rPr>
              <w:rPr>
                <w:rFonts w:ascii="Cambria Math" w:hAnsi="Cambria Math"/>
                <w:sz w:val="24"/>
                <w:szCs w:val="24"/>
                <w:lang w:val="lt-LT"/>
              </w:rPr>
              <m:t>I</m:t>
            </m:r>
            <m:r>
              <w:rPr>
                <w:rFonts w:ascii="Cambria Math" w:hAnsi="Cambria Math"/>
                <w:sz w:val="24"/>
                <w:szCs w:val="24"/>
                <w:lang w:val="lt-LT"/>
              </w:rPr>
              <m:t>nauj</m:t>
            </m:r>
          </m:num>
          <m:den>
            <m:r>
              <m:rPr>
                <m:sty m:val="bi"/>
              </m:rPr>
              <w:rPr>
                <w:rFonts w:ascii="Cambria Math" w:hAnsi="Cambria Math"/>
                <w:sz w:val="24"/>
                <w:szCs w:val="24"/>
                <w:lang w:val="lt-LT"/>
              </w:rPr>
              <m:t>I</m:t>
            </m:r>
            <m:r>
              <w:rPr>
                <w:rFonts w:ascii="Cambria Math" w:hAnsi="Cambria Math"/>
                <w:sz w:val="24"/>
                <w:szCs w:val="24"/>
                <w:lang w:val="lt-LT"/>
              </w:rPr>
              <m:t>prad</m:t>
            </m:r>
          </m:den>
        </m:f>
        <m:r>
          <w:rPr>
            <w:rFonts w:ascii="Cambria Math" w:hAnsi="Cambria Math"/>
            <w:sz w:val="24"/>
            <w:szCs w:val="24"/>
            <w:lang w:val="lt-LT"/>
          </w:rPr>
          <m:t xml:space="preserve"> </m:t>
        </m:r>
        <m:r>
          <m:rPr>
            <m:sty m:val="p"/>
          </m:rPr>
          <w:rPr>
            <w:rFonts w:ascii="Cambria Math" w:hAnsi="Cambria Math"/>
            <w:sz w:val="24"/>
            <w:szCs w:val="24"/>
            <w:lang w:val="lt-LT"/>
          </w:rPr>
          <m:t>×100-100,</m:t>
        </m:r>
      </m:oMath>
      <w:r w:rsidRPr="00C11339">
        <w:rPr>
          <w:iCs/>
          <w:sz w:val="24"/>
          <w:szCs w:val="24"/>
          <w:lang w:val="lt-LT"/>
        </w:rPr>
        <w:t xml:space="preserve"> (proc.)</w:t>
      </w:r>
    </w:p>
    <w:p w14:paraId="573B5531" w14:textId="77777777" w:rsidR="007209A1" w:rsidRPr="00C11339" w:rsidRDefault="007209A1" w:rsidP="007209A1">
      <w:pPr>
        <w:jc w:val="both"/>
        <w:rPr>
          <w:sz w:val="24"/>
          <w:szCs w:val="24"/>
          <w:lang w:val="lt-LT" w:eastAsia="lt-LT"/>
        </w:rPr>
      </w:pPr>
      <w:r w:rsidRPr="00C11339">
        <w:rPr>
          <w:sz w:val="24"/>
          <w:szCs w:val="24"/>
          <w:lang w:val="lt-LT" w:eastAsia="lt-LT"/>
        </w:rPr>
        <w:t>Kur:</w:t>
      </w:r>
    </w:p>
    <w:p w14:paraId="1A4017D0" w14:textId="7FDAACB3" w:rsidR="007209A1" w:rsidRPr="00C11339" w:rsidRDefault="007209A1" w:rsidP="007209A1">
      <w:pPr>
        <w:jc w:val="both"/>
        <w:rPr>
          <w:sz w:val="24"/>
          <w:szCs w:val="24"/>
          <w:lang w:val="lt-LT" w:eastAsia="ar-SA"/>
        </w:rPr>
      </w:pPr>
      <w:proofErr w:type="spellStart"/>
      <w:r w:rsidRPr="00C11339">
        <w:rPr>
          <w:b/>
          <w:i/>
          <w:sz w:val="24"/>
          <w:szCs w:val="24"/>
          <w:lang w:val="lt-LT" w:eastAsia="lt-LT"/>
        </w:rPr>
        <w:t>I</w:t>
      </w:r>
      <w:r w:rsidRPr="00C11339">
        <w:rPr>
          <w:i/>
          <w:sz w:val="24"/>
          <w:szCs w:val="24"/>
          <w:lang w:val="lt-LT" w:eastAsia="lt-LT"/>
        </w:rPr>
        <w:t>nauj</w:t>
      </w:r>
      <w:proofErr w:type="spellEnd"/>
      <w:r w:rsidRPr="00C11339">
        <w:rPr>
          <w:i/>
          <w:sz w:val="24"/>
          <w:szCs w:val="24"/>
          <w:lang w:val="lt-LT" w:eastAsia="lt-LT"/>
        </w:rPr>
        <w:t xml:space="preserve"> </w:t>
      </w:r>
      <w:r w:rsidRPr="00C11339">
        <w:rPr>
          <w:sz w:val="24"/>
          <w:szCs w:val="24"/>
          <w:lang w:val="lt-LT" w:eastAsia="lt-LT"/>
        </w:rPr>
        <w:t>– Statistikos departamento indeksas (Ūkio subjektams suteiktų paslaugų kainų M7112 (Inžinerijos veikla ir su ja susijusios techninės konsultacijos) kainų indeksas) kreipimosi dėl kainos perskaičiavimo išsiuntimo kitai šaliai datą (naujausias paskel</w:t>
      </w:r>
      <w:r w:rsidR="00A95FAE">
        <w:rPr>
          <w:sz w:val="24"/>
          <w:szCs w:val="24"/>
          <w:lang w:val="lt-LT" w:eastAsia="lt-LT"/>
        </w:rPr>
        <w:t>btas).</w:t>
      </w:r>
    </w:p>
    <w:p w14:paraId="27DE4654" w14:textId="54AC5E87" w:rsidR="007209A1" w:rsidRPr="00C11339" w:rsidRDefault="007209A1" w:rsidP="007209A1">
      <w:pPr>
        <w:jc w:val="both"/>
        <w:rPr>
          <w:sz w:val="24"/>
          <w:szCs w:val="24"/>
          <w:lang w:val="lt-LT" w:eastAsia="lt-LT"/>
        </w:rPr>
      </w:pPr>
      <w:proofErr w:type="spellStart"/>
      <w:r w:rsidRPr="00C11339">
        <w:rPr>
          <w:b/>
          <w:i/>
          <w:sz w:val="24"/>
          <w:szCs w:val="24"/>
          <w:lang w:val="lt-LT" w:eastAsia="lt-LT"/>
        </w:rPr>
        <w:t>I</w:t>
      </w:r>
      <w:r w:rsidRPr="00C11339">
        <w:rPr>
          <w:i/>
          <w:sz w:val="24"/>
          <w:szCs w:val="24"/>
          <w:lang w:val="lt-LT" w:eastAsia="lt-LT"/>
        </w:rPr>
        <w:t>prad</w:t>
      </w:r>
      <w:proofErr w:type="spellEnd"/>
      <w:r w:rsidRPr="00C11339">
        <w:rPr>
          <w:sz w:val="24"/>
          <w:szCs w:val="24"/>
          <w:lang w:val="lt-LT" w:eastAsia="lt-LT"/>
        </w:rPr>
        <w:t xml:space="preserve"> – Statistikos departamento indeksas (Ūkio subjektams suteiktų paslaugų kainų M7112 (Inžinerijos veikla ir su ja susijusios techninės konsultacijos) kainų indeksas) nurodytas nuo to ketvirčio  nuo kurio perskaičiuojamas pabrangimas. Pabrangimas perskaičiuojamas  už p</w:t>
      </w:r>
      <w:r w:rsidR="00A95FAE">
        <w:rPr>
          <w:sz w:val="24"/>
          <w:szCs w:val="24"/>
          <w:lang w:val="lt-LT" w:eastAsia="lt-LT"/>
        </w:rPr>
        <w:t>askutinių 12 mėnesių laikotarpį.</w:t>
      </w:r>
    </w:p>
    <w:p w14:paraId="02E1C2BB" w14:textId="77777777" w:rsidR="00000AB7" w:rsidRPr="00C11339" w:rsidRDefault="007209A1" w:rsidP="00000AB7">
      <w:pPr>
        <w:jc w:val="both"/>
        <w:rPr>
          <w:sz w:val="24"/>
          <w:szCs w:val="24"/>
          <w:lang w:val="lt-LT" w:eastAsia="lt-LT"/>
        </w:rPr>
      </w:pPr>
      <w:r w:rsidRPr="00C11339">
        <w:rPr>
          <w:sz w:val="24"/>
          <w:szCs w:val="24"/>
          <w:lang w:val="lt-LT" w:eastAsia="ar-SA"/>
        </w:rPr>
        <w:tab/>
      </w:r>
      <w:r w:rsidR="00000AB7" w:rsidRPr="00AD5D53">
        <w:rPr>
          <w:sz w:val="24"/>
          <w:szCs w:val="24"/>
          <w:lang w:val="lt-LT" w:eastAsia="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53CCE19" w14:textId="1D4B9AF4" w:rsidR="007209A1" w:rsidRPr="00C11339" w:rsidRDefault="00000AB7" w:rsidP="007209A1">
      <w:pPr>
        <w:tabs>
          <w:tab w:val="left" w:pos="567"/>
        </w:tabs>
        <w:jc w:val="both"/>
        <w:rPr>
          <w:sz w:val="24"/>
          <w:szCs w:val="24"/>
          <w:lang w:val="lt-LT" w:eastAsia="ar-SA"/>
        </w:rPr>
      </w:pPr>
      <w:r>
        <w:rPr>
          <w:sz w:val="24"/>
          <w:szCs w:val="24"/>
          <w:lang w:val="lt-LT" w:eastAsia="ar-SA"/>
        </w:rPr>
        <w:tab/>
      </w:r>
      <w:r w:rsidR="007209A1" w:rsidRPr="00C11339">
        <w:rPr>
          <w:sz w:val="24"/>
          <w:szCs w:val="24"/>
          <w:lang w:val="lt-LT" w:eastAsia="ar-SA"/>
        </w:rPr>
        <w:t xml:space="preserve"> Skaičiavimams indeksų reikšmės imamos keturių skaitmenų po kablelio tikslumu. Apskaičiuotas pokytis (k) tolimesniems skaičiavimams naudojamas suapvalinus iki vieno skaitmens </w:t>
      </w:r>
      <w:r w:rsidR="007209A1" w:rsidRPr="00C11339">
        <w:rPr>
          <w:sz w:val="24"/>
          <w:szCs w:val="24"/>
          <w:lang w:val="lt-LT" w:eastAsia="ar-SA"/>
        </w:rPr>
        <w:lastRenderedPageBreak/>
        <w:t>po kablelio, o apskaičiuotas įkainis „a1“ suapvalinamas iki tiek skaitmenų, kiek įkainiams nurodyti naudojama sudarytoje Pirkimo sutartyje, skaitmenų po kablelio.</w:t>
      </w:r>
    </w:p>
    <w:p w14:paraId="26C5D905" w14:textId="5FEBE2F6" w:rsidR="007209A1" w:rsidRDefault="00A95FAE" w:rsidP="00E83FAC">
      <w:pPr>
        <w:jc w:val="both"/>
        <w:rPr>
          <w:sz w:val="24"/>
          <w:szCs w:val="24"/>
          <w:lang w:val="lt-LT" w:eastAsia="ar-SA"/>
        </w:rPr>
      </w:pPr>
      <w:r>
        <w:rPr>
          <w:sz w:val="24"/>
          <w:szCs w:val="24"/>
          <w:lang w:val="lt-LT" w:eastAsia="ar-SA"/>
        </w:rPr>
        <w:t xml:space="preserve">         P</w:t>
      </w:r>
      <w:r w:rsidR="00A44279" w:rsidRPr="00C11339">
        <w:rPr>
          <w:sz w:val="24"/>
          <w:szCs w:val="24"/>
          <w:lang w:val="lt-LT" w:eastAsia="ar-SA"/>
        </w:rPr>
        <w:t>irk</w:t>
      </w:r>
      <w:r w:rsidR="00992CAF" w:rsidRPr="00C11339">
        <w:rPr>
          <w:sz w:val="24"/>
          <w:szCs w:val="24"/>
          <w:lang w:val="lt-LT" w:eastAsia="ar-SA"/>
        </w:rPr>
        <w:t>imo sutartyj</w:t>
      </w:r>
      <w:r w:rsidR="00A44279" w:rsidRPr="00C11339">
        <w:rPr>
          <w:sz w:val="24"/>
          <w:szCs w:val="24"/>
          <w:lang w:val="lt-LT" w:eastAsia="ar-SA"/>
        </w:rPr>
        <w:t>e numatyti įkainiai gali būti perskaičiuojami ne dažniau kaip kas dvylika mėnesių,  jeigu  paslaugų kainų indekso pokytis (k) (teigiamas arba neigiamas) yra didesnis kaip 8 procentai. Perskaičiavim</w:t>
      </w:r>
      <w:r w:rsidR="00E83FAC" w:rsidRPr="00C11339">
        <w:rPr>
          <w:sz w:val="24"/>
          <w:szCs w:val="24"/>
          <w:lang w:val="lt-LT" w:eastAsia="ar-SA"/>
        </w:rPr>
        <w:t>ą inicijuoja suinteresuota pusė.</w:t>
      </w:r>
    </w:p>
    <w:p w14:paraId="04E31A24" w14:textId="51F736D9" w:rsidR="00000AB7" w:rsidRDefault="00000AB7" w:rsidP="00DD035F">
      <w:pPr>
        <w:ind w:firstLine="1296"/>
        <w:jc w:val="both"/>
        <w:rPr>
          <w:sz w:val="24"/>
          <w:szCs w:val="24"/>
          <w:lang w:val="lt-LT" w:eastAsia="ar-SA"/>
        </w:rPr>
      </w:pPr>
      <w:r w:rsidRPr="00AD5D53">
        <w:rPr>
          <w:sz w:val="24"/>
          <w:szCs w:val="24"/>
          <w:lang w:val="lt-LT" w:eastAsia="ar-SA"/>
        </w:rPr>
        <w:t>Vėlesnis kainų arba įkainių perskaičiavimas negali apimti laikotarpio, už kurį perskaičiavimas jau buvo atliktas.</w:t>
      </w:r>
      <w:r w:rsidRPr="00C11339">
        <w:rPr>
          <w:sz w:val="24"/>
          <w:szCs w:val="24"/>
          <w:lang w:val="lt-LT" w:eastAsia="ar-SA"/>
        </w:rPr>
        <w:t>“</w:t>
      </w:r>
    </w:p>
    <w:p w14:paraId="7665C6A0" w14:textId="53534FE5" w:rsidR="00A95FAE" w:rsidRDefault="00A95FAE" w:rsidP="00A95FAE">
      <w:pPr>
        <w:ind w:firstLine="284"/>
        <w:jc w:val="both"/>
        <w:rPr>
          <w:sz w:val="24"/>
          <w:szCs w:val="24"/>
          <w:lang w:val="lt-LT" w:eastAsia="ar-SA"/>
        </w:rPr>
      </w:pPr>
      <w:r w:rsidRPr="00A95FAE">
        <w:rPr>
          <w:sz w:val="24"/>
          <w:szCs w:val="24"/>
          <w:lang w:val="lt-LT" w:eastAsia="ar-SA"/>
        </w:rPr>
        <w:t xml:space="preserve">2. Šalys sutaria, kad Susitarimo sudarymo dieną pirmasis paslaugų įkainių perskaičiavimas atliekamas pagal Lietuvos statistikos departamento paskelbtus duomenis: </w:t>
      </w:r>
      <w:proofErr w:type="spellStart"/>
      <w:r w:rsidRPr="00A95FAE">
        <w:rPr>
          <w:sz w:val="24"/>
          <w:szCs w:val="24"/>
          <w:lang w:val="lt-LT" w:eastAsia="ar-SA"/>
        </w:rPr>
        <w:t>Inauj</w:t>
      </w:r>
      <w:proofErr w:type="spellEnd"/>
      <w:r w:rsidRPr="00A95FAE">
        <w:rPr>
          <w:sz w:val="24"/>
          <w:szCs w:val="24"/>
          <w:lang w:val="lt-LT" w:eastAsia="ar-SA"/>
        </w:rPr>
        <w:t xml:space="preserve"> (2022K3) – 127,6048; </w:t>
      </w:r>
      <w:proofErr w:type="spellStart"/>
      <w:r w:rsidR="001A15A5" w:rsidRPr="008B4A42">
        <w:rPr>
          <w:sz w:val="24"/>
          <w:szCs w:val="24"/>
          <w:lang w:val="lt-LT" w:eastAsia="ar-SA"/>
        </w:rPr>
        <w:t>Iprad</w:t>
      </w:r>
      <w:proofErr w:type="spellEnd"/>
      <w:r w:rsidR="001A15A5" w:rsidRPr="008B4A42">
        <w:rPr>
          <w:sz w:val="24"/>
          <w:szCs w:val="24"/>
          <w:lang w:val="lt-LT" w:eastAsia="ar-SA"/>
        </w:rPr>
        <w:t xml:space="preserve"> (2021K3) – 116,5008</w:t>
      </w:r>
      <w:r w:rsidRPr="008B4A42">
        <w:rPr>
          <w:sz w:val="24"/>
          <w:szCs w:val="24"/>
          <w:lang w:val="lt-LT" w:eastAsia="ar-SA"/>
        </w:rPr>
        <w:t>.</w:t>
      </w:r>
    </w:p>
    <w:p w14:paraId="3981D7FE" w14:textId="7BAC74B7" w:rsidR="00A95FAE" w:rsidRDefault="00907E01" w:rsidP="00A95FAE">
      <w:pPr>
        <w:ind w:firstLine="284"/>
        <w:jc w:val="both"/>
        <w:rPr>
          <w:sz w:val="24"/>
          <w:szCs w:val="24"/>
          <w:lang w:val="lt-LT" w:eastAsia="ar-SA"/>
        </w:rPr>
      </w:pPr>
      <w:r>
        <w:rPr>
          <w:sz w:val="24"/>
          <w:szCs w:val="24"/>
          <w:lang w:val="lt-LT" w:eastAsia="ar-SA"/>
        </w:rPr>
        <w:t xml:space="preserve">3. </w:t>
      </w:r>
      <w:r w:rsidRPr="00907E01">
        <w:rPr>
          <w:sz w:val="24"/>
          <w:szCs w:val="24"/>
          <w:lang w:val="lt-LT" w:eastAsia="ar-SA"/>
        </w:rPr>
        <w:t>Pakeisti Sutarties priedą Nr. 2 ir išdėstyti</w:t>
      </w:r>
      <w:r>
        <w:rPr>
          <w:sz w:val="24"/>
          <w:szCs w:val="24"/>
          <w:lang w:val="lt-LT" w:eastAsia="ar-SA"/>
        </w:rPr>
        <w:t xml:space="preserve"> jį nauja redakcija</w:t>
      </w:r>
      <w:r w:rsidR="00CF529B">
        <w:rPr>
          <w:sz w:val="24"/>
          <w:szCs w:val="24"/>
          <w:lang w:val="lt-LT" w:eastAsia="ar-SA"/>
        </w:rPr>
        <w:t xml:space="preserve"> (pridedama)</w:t>
      </w:r>
      <w:r>
        <w:rPr>
          <w:sz w:val="24"/>
          <w:szCs w:val="24"/>
          <w:lang w:val="lt-LT" w:eastAsia="ar-SA"/>
        </w:rPr>
        <w:t>.</w:t>
      </w:r>
    </w:p>
    <w:p w14:paraId="15FC71CD" w14:textId="6EE93A2F" w:rsidR="00D3309C" w:rsidRPr="00C11339" w:rsidRDefault="004A15A2" w:rsidP="004A15A2">
      <w:pPr>
        <w:tabs>
          <w:tab w:val="left" w:pos="567"/>
        </w:tabs>
        <w:spacing w:line="288" w:lineRule="auto"/>
        <w:ind w:firstLine="284"/>
        <w:jc w:val="both"/>
        <w:rPr>
          <w:sz w:val="24"/>
          <w:szCs w:val="24"/>
          <w:lang w:val="lt-LT"/>
        </w:rPr>
      </w:pPr>
      <w:r w:rsidRPr="00A95FAE">
        <w:rPr>
          <w:sz w:val="24"/>
          <w:szCs w:val="24"/>
          <w:lang w:val="lt-LT"/>
        </w:rPr>
        <w:t xml:space="preserve">4. </w:t>
      </w:r>
      <w:r w:rsidR="00A95FAE">
        <w:rPr>
          <w:sz w:val="24"/>
          <w:szCs w:val="24"/>
          <w:lang w:val="lt-LT"/>
        </w:rPr>
        <w:t>Susitarimas įsigalioja nuo abiejų Šalių pasirašymo dienos.</w:t>
      </w:r>
    </w:p>
    <w:p w14:paraId="10A671FC" w14:textId="77777777" w:rsidR="00D3309C" w:rsidRPr="00C11339" w:rsidRDefault="004A15A2" w:rsidP="004A15A2">
      <w:pPr>
        <w:spacing w:line="288" w:lineRule="auto"/>
        <w:ind w:left="284"/>
        <w:jc w:val="both"/>
        <w:rPr>
          <w:sz w:val="24"/>
          <w:szCs w:val="24"/>
          <w:lang w:val="lt-LT"/>
        </w:rPr>
      </w:pPr>
      <w:r w:rsidRPr="00C11339">
        <w:rPr>
          <w:sz w:val="24"/>
          <w:szCs w:val="24"/>
          <w:lang w:val="lt-LT"/>
        </w:rPr>
        <w:t xml:space="preserve">5. </w:t>
      </w:r>
      <w:r w:rsidR="00D3309C" w:rsidRPr="00C11339">
        <w:rPr>
          <w:sz w:val="24"/>
          <w:szCs w:val="24"/>
          <w:lang w:val="lt-LT"/>
        </w:rPr>
        <w:t>Kitos Sutarties sąlygos lieka nepakeistos.</w:t>
      </w:r>
    </w:p>
    <w:p w14:paraId="5C6F7FFA" w14:textId="03A0AF6B" w:rsidR="00D3309C" w:rsidRPr="00C11339" w:rsidRDefault="004A15A2" w:rsidP="004A15A2">
      <w:pPr>
        <w:spacing w:line="288" w:lineRule="auto"/>
        <w:jc w:val="both"/>
        <w:rPr>
          <w:sz w:val="24"/>
          <w:szCs w:val="24"/>
          <w:lang w:val="lt-LT"/>
        </w:rPr>
      </w:pPr>
      <w:r w:rsidRPr="00C11339">
        <w:rPr>
          <w:sz w:val="24"/>
          <w:szCs w:val="24"/>
          <w:lang w:val="lt-LT"/>
        </w:rPr>
        <w:t xml:space="preserve">     6. </w:t>
      </w:r>
      <w:r w:rsidR="00D3309C" w:rsidRPr="00C11339">
        <w:rPr>
          <w:sz w:val="24"/>
          <w:szCs w:val="24"/>
          <w:lang w:val="lt-LT"/>
        </w:rPr>
        <w:t xml:space="preserve">Susitarimas sudarytas dviem egzemplioriais, po </w:t>
      </w:r>
      <w:r w:rsidR="00047EBA" w:rsidRPr="00C11339">
        <w:rPr>
          <w:sz w:val="24"/>
          <w:szCs w:val="24"/>
          <w:lang w:val="lt-LT"/>
        </w:rPr>
        <w:t xml:space="preserve">vieną kiekvienai Šaliai. Abu </w:t>
      </w:r>
      <w:r w:rsidR="00D3309C" w:rsidRPr="00C11339">
        <w:rPr>
          <w:sz w:val="24"/>
          <w:szCs w:val="24"/>
          <w:lang w:val="lt-LT"/>
        </w:rPr>
        <w:t xml:space="preserve">egzemplioriai yra autentiški ir turi vienodą teisinę galią. </w:t>
      </w:r>
    </w:p>
    <w:p w14:paraId="3C8D72D6" w14:textId="77777777" w:rsidR="00D3309C" w:rsidRDefault="004A15A2" w:rsidP="004A15A2">
      <w:pPr>
        <w:tabs>
          <w:tab w:val="left" w:pos="709"/>
        </w:tabs>
        <w:spacing w:line="288" w:lineRule="auto"/>
        <w:ind w:left="284"/>
        <w:jc w:val="both"/>
        <w:rPr>
          <w:sz w:val="24"/>
          <w:szCs w:val="24"/>
          <w:lang w:val="lt-LT"/>
        </w:rPr>
      </w:pPr>
      <w:r w:rsidRPr="00C11339">
        <w:rPr>
          <w:sz w:val="24"/>
          <w:szCs w:val="24"/>
          <w:lang w:val="lt-LT"/>
        </w:rPr>
        <w:t xml:space="preserve">7. </w:t>
      </w:r>
      <w:r w:rsidR="00D3309C" w:rsidRPr="00C11339">
        <w:rPr>
          <w:sz w:val="24"/>
          <w:szCs w:val="24"/>
          <w:lang w:val="lt-LT"/>
        </w:rPr>
        <w:t>Susitarimas laikomas neatskiriama Sutarties dalimi.</w:t>
      </w:r>
    </w:p>
    <w:p w14:paraId="0ACE42AF" w14:textId="77777777" w:rsidR="00CF529B" w:rsidRPr="00CF529B" w:rsidRDefault="00CF529B" w:rsidP="00CF529B">
      <w:pPr>
        <w:tabs>
          <w:tab w:val="left" w:pos="709"/>
        </w:tabs>
        <w:spacing w:line="288" w:lineRule="auto"/>
        <w:ind w:left="284"/>
        <w:jc w:val="both"/>
        <w:rPr>
          <w:sz w:val="24"/>
          <w:szCs w:val="24"/>
          <w:lang w:val="lt-LT"/>
        </w:rPr>
      </w:pPr>
      <w:r w:rsidRPr="00CF529B">
        <w:rPr>
          <w:sz w:val="24"/>
          <w:szCs w:val="24"/>
          <w:lang w:val="lt-LT"/>
        </w:rPr>
        <w:t>8. Susitarimo priedas:</w:t>
      </w:r>
    </w:p>
    <w:p w14:paraId="74CCD744" w14:textId="5857A6DF" w:rsidR="00A95FAE" w:rsidRPr="00C11339" w:rsidRDefault="00907E01" w:rsidP="004A15A2">
      <w:pPr>
        <w:tabs>
          <w:tab w:val="left" w:pos="709"/>
        </w:tabs>
        <w:spacing w:line="288" w:lineRule="auto"/>
        <w:ind w:left="284"/>
        <w:jc w:val="both"/>
        <w:rPr>
          <w:sz w:val="24"/>
          <w:szCs w:val="24"/>
          <w:lang w:val="lt-LT"/>
        </w:rPr>
      </w:pPr>
      <w:r>
        <w:rPr>
          <w:sz w:val="24"/>
          <w:szCs w:val="24"/>
          <w:lang w:val="lt-LT"/>
        </w:rPr>
        <w:t>8.1.</w:t>
      </w:r>
      <w:r w:rsidR="00CF529B">
        <w:rPr>
          <w:sz w:val="24"/>
          <w:szCs w:val="24"/>
          <w:lang w:val="lt-LT"/>
        </w:rPr>
        <w:t xml:space="preserve"> Sutarties priedas Nr. 2</w:t>
      </w:r>
      <w:r w:rsidR="00A95FAE" w:rsidRPr="00A95FAE">
        <w:rPr>
          <w:sz w:val="24"/>
          <w:szCs w:val="24"/>
          <w:lang w:val="lt-LT"/>
        </w:rPr>
        <w:t xml:space="preserve"> „Paslaugų </w:t>
      </w:r>
      <w:r w:rsidR="00CF529B">
        <w:rPr>
          <w:sz w:val="24"/>
          <w:szCs w:val="24"/>
          <w:lang w:val="lt-LT"/>
        </w:rPr>
        <w:t>įkainiai</w:t>
      </w:r>
      <w:r w:rsidR="00A95FAE">
        <w:rPr>
          <w:sz w:val="24"/>
          <w:szCs w:val="24"/>
          <w:lang w:val="lt-LT"/>
        </w:rPr>
        <w:t xml:space="preserve">“, </w:t>
      </w:r>
      <w:r w:rsidR="00C87A9D">
        <w:rPr>
          <w:sz w:val="24"/>
          <w:szCs w:val="24"/>
          <w:lang w:val="lt-LT"/>
        </w:rPr>
        <w:t>5 lapai</w:t>
      </w:r>
      <w:r w:rsidR="00A95FAE" w:rsidRPr="00A95FAE">
        <w:rPr>
          <w:sz w:val="24"/>
          <w:szCs w:val="24"/>
          <w:lang w:val="lt-LT"/>
        </w:rPr>
        <w:t>.</w:t>
      </w:r>
    </w:p>
    <w:p w14:paraId="36B9447E" w14:textId="3C5E8B81" w:rsidR="001C4F83" w:rsidRPr="00C11339" w:rsidRDefault="00A95FAE" w:rsidP="00EE6B19">
      <w:pPr>
        <w:spacing w:line="288" w:lineRule="auto"/>
        <w:ind w:left="284"/>
        <w:jc w:val="both"/>
        <w:rPr>
          <w:sz w:val="24"/>
          <w:szCs w:val="24"/>
          <w:lang w:val="lt-LT"/>
        </w:rPr>
      </w:pPr>
      <w:r>
        <w:rPr>
          <w:sz w:val="24"/>
          <w:szCs w:val="24"/>
          <w:lang w:val="lt-LT"/>
        </w:rPr>
        <w:t>9</w:t>
      </w:r>
      <w:r w:rsidR="004A15A2" w:rsidRPr="00C11339">
        <w:rPr>
          <w:sz w:val="24"/>
          <w:szCs w:val="24"/>
          <w:lang w:val="lt-LT"/>
        </w:rPr>
        <w:t xml:space="preserve">. </w:t>
      </w:r>
      <w:r w:rsidR="00D3309C" w:rsidRPr="00C11339">
        <w:rPr>
          <w:sz w:val="24"/>
          <w:szCs w:val="24"/>
          <w:lang w:val="lt-LT"/>
        </w:rPr>
        <w:t>Šalių parašai ir rekvizitai:</w:t>
      </w:r>
    </w:p>
    <w:tbl>
      <w:tblPr>
        <w:tblpPr w:leftFromText="180" w:rightFromText="180" w:bottomFromText="200" w:vertAnchor="text" w:horzAnchor="page" w:tblpX="1844" w:tblpY="9"/>
        <w:tblW w:w="9497" w:type="dxa"/>
        <w:tblLayout w:type="fixed"/>
        <w:tblLook w:val="04A0" w:firstRow="1" w:lastRow="0" w:firstColumn="1" w:lastColumn="0" w:noHBand="0" w:noVBand="1"/>
      </w:tblPr>
      <w:tblGrid>
        <w:gridCol w:w="4820"/>
        <w:gridCol w:w="4677"/>
      </w:tblGrid>
      <w:tr w:rsidR="00966E55" w:rsidRPr="00C11339" w14:paraId="37DF11B2" w14:textId="77777777" w:rsidTr="00966E55">
        <w:trPr>
          <w:trHeight w:val="3403"/>
        </w:trPr>
        <w:tc>
          <w:tcPr>
            <w:tcW w:w="4820" w:type="dxa"/>
          </w:tcPr>
          <w:p w14:paraId="7C85620C" w14:textId="77777777" w:rsidR="0047680A" w:rsidRPr="00C11339" w:rsidRDefault="0047680A" w:rsidP="00A95D82">
            <w:pPr>
              <w:shd w:val="clear" w:color="auto" w:fill="FFFFFF"/>
              <w:tabs>
                <w:tab w:val="left" w:pos="1080"/>
              </w:tabs>
              <w:rPr>
                <w:b/>
                <w:sz w:val="24"/>
                <w:szCs w:val="24"/>
                <w:lang w:val="lt-LT"/>
              </w:rPr>
            </w:pPr>
          </w:p>
          <w:p w14:paraId="240F631E" w14:textId="77777777" w:rsidR="0047680A" w:rsidRPr="00C11339" w:rsidRDefault="0047680A" w:rsidP="00A95D82">
            <w:pPr>
              <w:shd w:val="clear" w:color="auto" w:fill="FFFFFF"/>
              <w:tabs>
                <w:tab w:val="left" w:pos="1080"/>
              </w:tabs>
              <w:rPr>
                <w:b/>
                <w:sz w:val="24"/>
                <w:szCs w:val="24"/>
                <w:lang w:val="lt-LT"/>
              </w:rPr>
            </w:pPr>
          </w:p>
          <w:p w14:paraId="7D5A3A01" w14:textId="77777777" w:rsidR="00966E55" w:rsidRPr="00C11339" w:rsidRDefault="009D4F21" w:rsidP="00A95D82">
            <w:pPr>
              <w:shd w:val="clear" w:color="auto" w:fill="FFFFFF"/>
              <w:tabs>
                <w:tab w:val="left" w:pos="1080"/>
              </w:tabs>
              <w:rPr>
                <w:b/>
                <w:sz w:val="24"/>
                <w:szCs w:val="24"/>
                <w:lang w:val="lt-LT"/>
              </w:rPr>
            </w:pPr>
            <w:r w:rsidRPr="00C11339">
              <w:rPr>
                <w:b/>
                <w:sz w:val="24"/>
                <w:szCs w:val="24"/>
                <w:lang w:val="lt-LT"/>
              </w:rPr>
              <w:t>Pirkėjas</w:t>
            </w:r>
            <w:r w:rsidR="000924FF" w:rsidRPr="00C11339">
              <w:rPr>
                <w:b/>
                <w:sz w:val="24"/>
                <w:szCs w:val="24"/>
                <w:lang w:val="lt-LT"/>
              </w:rPr>
              <w:t>:</w:t>
            </w:r>
          </w:p>
          <w:p w14:paraId="09703CD7" w14:textId="77777777" w:rsidR="00966E55" w:rsidRPr="00C11339" w:rsidRDefault="00966E55" w:rsidP="00A95D82">
            <w:pPr>
              <w:rPr>
                <w:rFonts w:eastAsia="Calibri"/>
                <w:b/>
                <w:sz w:val="24"/>
                <w:szCs w:val="24"/>
                <w:lang w:val="lt-LT"/>
              </w:rPr>
            </w:pPr>
            <w:r w:rsidRPr="00C11339">
              <w:rPr>
                <w:rFonts w:eastAsia="Calibri"/>
                <w:b/>
                <w:sz w:val="24"/>
                <w:szCs w:val="24"/>
                <w:lang w:val="lt-LT"/>
              </w:rPr>
              <w:t>LK LV Įgulų aptarnavimo tarnyba</w:t>
            </w:r>
          </w:p>
          <w:p w14:paraId="31DABCFA" w14:textId="77777777" w:rsidR="00966E55" w:rsidRPr="00C11339" w:rsidRDefault="00966E55" w:rsidP="00A95D82">
            <w:pPr>
              <w:rPr>
                <w:rFonts w:eastAsia="Calibri"/>
                <w:sz w:val="24"/>
                <w:szCs w:val="24"/>
                <w:lang w:val="lt-LT"/>
              </w:rPr>
            </w:pPr>
            <w:r w:rsidRPr="00C11339">
              <w:rPr>
                <w:rFonts w:eastAsia="Calibri"/>
                <w:sz w:val="24"/>
                <w:szCs w:val="24"/>
                <w:lang w:val="lt-LT"/>
              </w:rPr>
              <w:t>Mindaugo g. 26, LT-03215 Vilnius</w:t>
            </w:r>
            <w:r w:rsidRPr="00C11339">
              <w:rPr>
                <w:rFonts w:eastAsia="Calibri"/>
                <w:sz w:val="24"/>
                <w:szCs w:val="24"/>
                <w:lang w:val="lt-LT"/>
              </w:rPr>
              <w:tab/>
            </w:r>
          </w:p>
          <w:p w14:paraId="2F90977E" w14:textId="77777777" w:rsidR="00966E55" w:rsidRPr="00C11339" w:rsidRDefault="00966E55" w:rsidP="00A95D82">
            <w:pPr>
              <w:rPr>
                <w:rFonts w:eastAsia="Calibri"/>
                <w:sz w:val="24"/>
                <w:szCs w:val="24"/>
                <w:lang w:val="lt-LT"/>
              </w:rPr>
            </w:pPr>
            <w:r w:rsidRPr="00C11339">
              <w:rPr>
                <w:rFonts w:eastAsia="Calibri"/>
                <w:sz w:val="24"/>
                <w:szCs w:val="24"/>
                <w:lang w:val="lt-LT"/>
              </w:rPr>
              <w:t>Filialo kodas 300066843</w:t>
            </w:r>
          </w:p>
          <w:p w14:paraId="591079FD" w14:textId="77777777" w:rsidR="00966E55" w:rsidRPr="00C11339" w:rsidRDefault="00966E55" w:rsidP="00A95D82">
            <w:pPr>
              <w:rPr>
                <w:rFonts w:eastAsia="Calibri"/>
                <w:sz w:val="24"/>
                <w:szCs w:val="24"/>
                <w:lang w:val="lt-LT"/>
              </w:rPr>
            </w:pPr>
            <w:r w:rsidRPr="00C11339">
              <w:rPr>
                <w:rFonts w:eastAsia="Calibri"/>
                <w:sz w:val="24"/>
                <w:szCs w:val="24"/>
                <w:lang w:val="lt-LT"/>
              </w:rPr>
              <w:t>Tel. (8 5) 278 53 43</w:t>
            </w:r>
          </w:p>
          <w:p w14:paraId="6824C81B" w14:textId="77777777" w:rsidR="00966E55" w:rsidRPr="00C11339" w:rsidRDefault="00966E55" w:rsidP="00A95D82">
            <w:pPr>
              <w:rPr>
                <w:rFonts w:eastAsia="Calibri"/>
                <w:sz w:val="24"/>
                <w:szCs w:val="24"/>
                <w:lang w:val="lt-LT"/>
              </w:rPr>
            </w:pPr>
            <w:r w:rsidRPr="00C11339">
              <w:rPr>
                <w:rFonts w:eastAsia="Calibri"/>
                <w:sz w:val="24"/>
                <w:szCs w:val="24"/>
                <w:lang w:val="lt-LT"/>
              </w:rPr>
              <w:t>Faksas (8 5) 211 38 14</w:t>
            </w:r>
          </w:p>
          <w:p w14:paraId="661DB4E8" w14:textId="77777777" w:rsidR="00966E55" w:rsidRPr="00C11339" w:rsidRDefault="00966E55" w:rsidP="00A95D82">
            <w:pPr>
              <w:rPr>
                <w:rFonts w:eastAsia="Calibri"/>
                <w:sz w:val="24"/>
                <w:szCs w:val="24"/>
                <w:lang w:val="lt-LT"/>
              </w:rPr>
            </w:pPr>
            <w:r w:rsidRPr="00C11339">
              <w:rPr>
                <w:rFonts w:eastAsia="Calibri"/>
                <w:sz w:val="24"/>
                <w:szCs w:val="24"/>
                <w:lang w:val="lt-LT"/>
              </w:rPr>
              <w:t>Atsiskaitomoji sąskaita:</w:t>
            </w:r>
          </w:p>
          <w:p w14:paraId="1CB22736" w14:textId="77777777" w:rsidR="00966E55" w:rsidRPr="00C11339" w:rsidRDefault="00966E55" w:rsidP="00A95D82">
            <w:pPr>
              <w:rPr>
                <w:rFonts w:eastAsia="Calibri"/>
                <w:sz w:val="24"/>
                <w:szCs w:val="24"/>
                <w:lang w:val="lt-LT"/>
              </w:rPr>
            </w:pPr>
            <w:r w:rsidRPr="00C11339">
              <w:rPr>
                <w:rFonts w:eastAsia="Calibri"/>
                <w:sz w:val="24"/>
                <w:szCs w:val="24"/>
                <w:lang w:val="lt-LT"/>
              </w:rPr>
              <w:t>Lietuvos kariuomenės, juridinio asmens kodas 188732677, A.s.LT48 7300 0100 0246 0179</w:t>
            </w:r>
          </w:p>
          <w:p w14:paraId="799710EA" w14:textId="77777777" w:rsidR="00966E55" w:rsidRPr="00C11339" w:rsidRDefault="00966E55" w:rsidP="00A95D82">
            <w:pPr>
              <w:rPr>
                <w:rFonts w:eastAsia="Calibri"/>
                <w:sz w:val="24"/>
                <w:szCs w:val="24"/>
                <w:lang w:val="lt-LT"/>
              </w:rPr>
            </w:pPr>
            <w:r w:rsidRPr="00C11339">
              <w:rPr>
                <w:rFonts w:eastAsia="Calibri"/>
                <w:sz w:val="24"/>
                <w:szCs w:val="24"/>
                <w:lang w:val="lt-LT"/>
              </w:rPr>
              <w:t>AB bankas Swedbank, banko kodas 73000</w:t>
            </w:r>
          </w:p>
          <w:p w14:paraId="3370DA18" w14:textId="77777777" w:rsidR="00966E55" w:rsidRPr="00C11339" w:rsidRDefault="00966E55" w:rsidP="00A95D82">
            <w:pPr>
              <w:shd w:val="clear" w:color="auto" w:fill="FFFFFF"/>
              <w:tabs>
                <w:tab w:val="left" w:pos="1080"/>
              </w:tabs>
              <w:rPr>
                <w:sz w:val="24"/>
                <w:szCs w:val="24"/>
                <w:lang w:val="lt-LT"/>
              </w:rPr>
            </w:pPr>
            <w:r w:rsidRPr="00C11339">
              <w:rPr>
                <w:sz w:val="24"/>
                <w:szCs w:val="24"/>
                <w:lang w:val="lt-LT"/>
              </w:rPr>
              <w:t>PVM mokėtojo kodas  LT887326716</w:t>
            </w:r>
          </w:p>
          <w:p w14:paraId="0B6B9294" w14:textId="77777777" w:rsidR="00A7119E" w:rsidRPr="00C11339" w:rsidRDefault="00A7119E" w:rsidP="00A95D82">
            <w:pPr>
              <w:shd w:val="clear" w:color="auto" w:fill="FFFFFF"/>
              <w:tabs>
                <w:tab w:val="left" w:pos="1080"/>
              </w:tabs>
              <w:rPr>
                <w:b/>
                <w:bCs/>
                <w:spacing w:val="-3"/>
                <w:sz w:val="24"/>
                <w:szCs w:val="24"/>
                <w:lang w:val="lt-LT"/>
              </w:rPr>
            </w:pPr>
          </w:p>
          <w:p w14:paraId="4DE12524" w14:textId="2E205B04" w:rsidR="00966E55" w:rsidRPr="00C11339" w:rsidRDefault="00966E55" w:rsidP="00A95D82">
            <w:pPr>
              <w:shd w:val="clear" w:color="auto" w:fill="FFFFFF"/>
              <w:tabs>
                <w:tab w:val="left" w:pos="1080"/>
              </w:tabs>
              <w:rPr>
                <w:sz w:val="24"/>
                <w:szCs w:val="24"/>
                <w:lang w:val="lt-LT"/>
              </w:rPr>
            </w:pPr>
          </w:p>
        </w:tc>
        <w:tc>
          <w:tcPr>
            <w:tcW w:w="4677" w:type="dxa"/>
          </w:tcPr>
          <w:p w14:paraId="5BC4637B" w14:textId="77777777" w:rsidR="00E83FAC" w:rsidRPr="00C11339" w:rsidRDefault="00E83FAC" w:rsidP="00E83FAC">
            <w:pPr>
              <w:rPr>
                <w:b/>
                <w:color w:val="000000"/>
                <w:sz w:val="24"/>
                <w:szCs w:val="24"/>
                <w:lang w:val="lt-LT" w:eastAsia="lt-LT"/>
              </w:rPr>
            </w:pPr>
          </w:p>
          <w:p w14:paraId="18294239" w14:textId="77777777" w:rsidR="00E83FAC" w:rsidRPr="00C11339" w:rsidRDefault="00E83FAC" w:rsidP="00E83FAC">
            <w:pPr>
              <w:rPr>
                <w:b/>
                <w:color w:val="000000"/>
                <w:sz w:val="24"/>
                <w:szCs w:val="24"/>
                <w:lang w:val="lt-LT" w:eastAsia="lt-LT"/>
              </w:rPr>
            </w:pPr>
          </w:p>
          <w:p w14:paraId="01DE44B3" w14:textId="77777777" w:rsidR="00E83FAC" w:rsidRPr="00C11339" w:rsidRDefault="00E83FAC" w:rsidP="00E83FAC">
            <w:pPr>
              <w:rPr>
                <w:b/>
                <w:color w:val="000000"/>
                <w:sz w:val="24"/>
                <w:szCs w:val="24"/>
                <w:lang w:val="lt-LT" w:eastAsia="lt-LT"/>
              </w:rPr>
            </w:pPr>
          </w:p>
          <w:p w14:paraId="122BEFE7" w14:textId="38F27055" w:rsidR="00E83FAC" w:rsidRPr="00C11339" w:rsidRDefault="001F4938" w:rsidP="00E83FAC">
            <w:pPr>
              <w:rPr>
                <w:b/>
                <w:color w:val="000000"/>
                <w:sz w:val="24"/>
                <w:szCs w:val="24"/>
                <w:lang w:val="lt-LT" w:eastAsia="lt-LT"/>
              </w:rPr>
            </w:pPr>
            <w:r>
              <w:rPr>
                <w:b/>
                <w:color w:val="000000"/>
                <w:sz w:val="24"/>
                <w:szCs w:val="24"/>
                <w:lang w:val="lt-LT" w:eastAsia="lt-LT"/>
              </w:rPr>
              <w:t>UAB „</w:t>
            </w:r>
            <w:proofErr w:type="spellStart"/>
            <w:r>
              <w:rPr>
                <w:b/>
                <w:color w:val="000000"/>
                <w:sz w:val="24"/>
                <w:szCs w:val="24"/>
                <w:lang w:val="lt-LT" w:eastAsia="lt-LT"/>
              </w:rPr>
              <w:t>Corpus</w:t>
            </w:r>
            <w:proofErr w:type="spellEnd"/>
            <w:r w:rsidR="00E83FAC" w:rsidRPr="00C11339">
              <w:rPr>
                <w:b/>
                <w:color w:val="000000"/>
                <w:sz w:val="24"/>
                <w:szCs w:val="24"/>
                <w:lang w:val="lt-LT" w:eastAsia="lt-LT"/>
              </w:rPr>
              <w:t xml:space="preserve"> PRO“</w:t>
            </w:r>
          </w:p>
          <w:p w14:paraId="3A9F3208" w14:textId="77777777" w:rsidR="00E83FAC" w:rsidRPr="00C11339" w:rsidRDefault="00E83FAC" w:rsidP="00E83FAC">
            <w:pPr>
              <w:rPr>
                <w:color w:val="000000"/>
                <w:sz w:val="24"/>
                <w:szCs w:val="24"/>
                <w:lang w:val="lt-LT" w:eastAsia="lt-LT"/>
              </w:rPr>
            </w:pPr>
            <w:r w:rsidRPr="00C11339">
              <w:rPr>
                <w:color w:val="000000"/>
                <w:sz w:val="24"/>
                <w:szCs w:val="24"/>
                <w:lang w:val="lt-LT" w:eastAsia="lt-LT"/>
              </w:rPr>
              <w:t>Įmonės kodas 304865887</w:t>
            </w:r>
          </w:p>
          <w:p w14:paraId="084F30D4" w14:textId="77777777" w:rsidR="00E83FAC" w:rsidRPr="00C11339" w:rsidRDefault="00E83FAC" w:rsidP="00E83FAC">
            <w:pPr>
              <w:rPr>
                <w:color w:val="000000"/>
                <w:sz w:val="24"/>
                <w:szCs w:val="24"/>
                <w:shd w:val="clear" w:color="auto" w:fill="FFFFFF"/>
                <w:lang w:val="lt-LT" w:eastAsia="lt-LT"/>
              </w:rPr>
            </w:pPr>
            <w:r w:rsidRPr="00C11339">
              <w:rPr>
                <w:color w:val="000000"/>
                <w:sz w:val="24"/>
                <w:szCs w:val="24"/>
                <w:lang w:val="lt-LT" w:eastAsia="lt-LT"/>
              </w:rPr>
              <w:t xml:space="preserve">PVM mokėtojo kodas </w:t>
            </w:r>
            <w:r w:rsidRPr="00C11339">
              <w:rPr>
                <w:color w:val="000000"/>
                <w:sz w:val="24"/>
                <w:szCs w:val="24"/>
                <w:shd w:val="clear" w:color="auto" w:fill="FFFFFF"/>
                <w:lang w:val="lt-LT" w:eastAsia="lt-LT"/>
              </w:rPr>
              <w:t>LT 100011813914</w:t>
            </w:r>
          </w:p>
          <w:p w14:paraId="6110F946" w14:textId="77777777" w:rsidR="00E83FAC" w:rsidRPr="00C11339" w:rsidRDefault="00E83FAC" w:rsidP="00E83FAC">
            <w:pPr>
              <w:rPr>
                <w:color w:val="000000"/>
                <w:sz w:val="24"/>
                <w:szCs w:val="24"/>
                <w:shd w:val="clear" w:color="auto" w:fill="FFFFFF"/>
                <w:lang w:val="lt-LT" w:eastAsia="lt-LT"/>
              </w:rPr>
            </w:pPr>
            <w:r w:rsidRPr="00C11339">
              <w:rPr>
                <w:color w:val="000000"/>
                <w:sz w:val="24"/>
                <w:szCs w:val="24"/>
                <w:shd w:val="clear" w:color="auto" w:fill="FFFFFF"/>
                <w:lang w:val="lt-LT" w:eastAsia="lt-LT"/>
              </w:rPr>
              <w:t>Gabijos g. 52, LT-06157 Vilnius</w:t>
            </w:r>
          </w:p>
          <w:p w14:paraId="6337DE79" w14:textId="77777777" w:rsidR="00E83FAC" w:rsidRPr="00C11339" w:rsidRDefault="00E83FAC" w:rsidP="00E83FAC">
            <w:pPr>
              <w:rPr>
                <w:sz w:val="24"/>
                <w:szCs w:val="24"/>
                <w:lang w:val="lt-LT" w:eastAsia="lt-LT"/>
              </w:rPr>
            </w:pPr>
            <w:proofErr w:type="spellStart"/>
            <w:r w:rsidRPr="00C11339">
              <w:rPr>
                <w:sz w:val="24"/>
                <w:szCs w:val="24"/>
                <w:lang w:val="lt-LT" w:eastAsia="lt-LT"/>
              </w:rPr>
              <w:t>A.s</w:t>
            </w:r>
            <w:proofErr w:type="spellEnd"/>
            <w:r w:rsidRPr="00C11339">
              <w:rPr>
                <w:sz w:val="24"/>
                <w:szCs w:val="24"/>
                <w:lang w:val="lt-LT" w:eastAsia="lt-LT"/>
              </w:rPr>
              <w:t>. LT 70 7044 0600 0823 7824</w:t>
            </w:r>
          </w:p>
          <w:p w14:paraId="715EC54F" w14:textId="77777777" w:rsidR="00E83FAC" w:rsidRPr="00C11339" w:rsidRDefault="00E83FAC" w:rsidP="00E83FAC">
            <w:pPr>
              <w:rPr>
                <w:rFonts w:eastAsia="Calibri"/>
                <w:color w:val="000000"/>
                <w:sz w:val="24"/>
                <w:szCs w:val="24"/>
                <w:lang w:val="lt-LT"/>
              </w:rPr>
            </w:pPr>
            <w:r w:rsidRPr="00C11339">
              <w:rPr>
                <w:rFonts w:eastAsia="Calibri"/>
                <w:color w:val="000000"/>
                <w:sz w:val="24"/>
                <w:szCs w:val="24"/>
                <w:lang w:val="lt-LT"/>
              </w:rPr>
              <w:t>AB SEB bankas, banko kodas 7440</w:t>
            </w:r>
          </w:p>
          <w:p w14:paraId="100556C9" w14:textId="0F73C271" w:rsidR="00966E55" w:rsidRPr="00C11339" w:rsidRDefault="00966E55" w:rsidP="00A95D82">
            <w:pPr>
              <w:rPr>
                <w:sz w:val="24"/>
                <w:szCs w:val="24"/>
                <w:lang w:val="lt-LT" w:eastAsia="lt-LT"/>
              </w:rPr>
            </w:pPr>
          </w:p>
        </w:tc>
      </w:tr>
    </w:tbl>
    <w:p w14:paraId="2F76BED1" w14:textId="476B43AF" w:rsidR="00A44279" w:rsidRPr="00C11339" w:rsidRDefault="00EE6B19" w:rsidP="00A44279">
      <w:pPr>
        <w:suppressAutoHyphens/>
        <w:jc w:val="both"/>
        <w:rPr>
          <w:rFonts w:eastAsia="Arial"/>
          <w:sz w:val="24"/>
          <w:szCs w:val="24"/>
          <w:lang w:val="lt-LT" w:eastAsia="ar-SA"/>
        </w:rPr>
      </w:pPr>
      <w:r w:rsidRPr="00C11339">
        <w:rPr>
          <w:rFonts w:eastAsia="Arial"/>
          <w:b/>
          <w:sz w:val="24"/>
          <w:szCs w:val="24"/>
          <w:lang w:val="lt-LT" w:eastAsia="ar-SA"/>
        </w:rPr>
        <w:t>Pirkėjo</w:t>
      </w:r>
      <w:r w:rsidR="00A44279" w:rsidRPr="00C11339">
        <w:rPr>
          <w:rFonts w:eastAsia="Arial"/>
          <w:b/>
          <w:sz w:val="24"/>
          <w:szCs w:val="24"/>
          <w:lang w:val="lt-LT" w:eastAsia="ar-SA"/>
        </w:rPr>
        <w:t xml:space="preserve"> </w:t>
      </w:r>
      <w:r w:rsidR="00A44279" w:rsidRPr="00C11339">
        <w:rPr>
          <w:rFonts w:eastAsia="Arial"/>
          <w:sz w:val="24"/>
          <w:szCs w:val="24"/>
          <w:lang w:val="lt-LT" w:eastAsia="ar-SA"/>
        </w:rPr>
        <w:t>vardu</w:t>
      </w:r>
      <w:r w:rsidR="00A44279" w:rsidRPr="00C11339">
        <w:rPr>
          <w:rFonts w:eastAsia="Arial"/>
          <w:sz w:val="24"/>
          <w:szCs w:val="24"/>
          <w:lang w:val="lt-LT" w:eastAsia="ar-SA"/>
        </w:rPr>
        <w:tab/>
      </w:r>
      <w:r w:rsidR="00A44279" w:rsidRPr="00C11339">
        <w:rPr>
          <w:rFonts w:eastAsia="Arial"/>
          <w:sz w:val="24"/>
          <w:szCs w:val="24"/>
          <w:lang w:val="lt-LT" w:eastAsia="ar-SA"/>
        </w:rPr>
        <w:tab/>
      </w:r>
      <w:r w:rsidR="00A44279" w:rsidRPr="00C11339">
        <w:rPr>
          <w:rFonts w:eastAsia="Arial"/>
          <w:sz w:val="24"/>
          <w:szCs w:val="24"/>
          <w:lang w:val="lt-LT" w:eastAsia="ar-SA"/>
        </w:rPr>
        <w:tab/>
      </w:r>
      <w:r w:rsidR="00A44279" w:rsidRPr="00C11339">
        <w:rPr>
          <w:rFonts w:eastAsia="Arial"/>
          <w:sz w:val="24"/>
          <w:szCs w:val="24"/>
          <w:lang w:val="lt-LT" w:eastAsia="ar-SA"/>
        </w:rPr>
        <w:tab/>
      </w:r>
      <w:r w:rsidR="00A44279" w:rsidRPr="00C11339">
        <w:rPr>
          <w:rFonts w:eastAsia="Arial"/>
          <w:b/>
          <w:sz w:val="24"/>
          <w:szCs w:val="24"/>
          <w:lang w:val="lt-LT" w:eastAsia="ar-SA"/>
        </w:rPr>
        <w:t xml:space="preserve">Teikėjo </w:t>
      </w:r>
      <w:r w:rsidR="00A44279" w:rsidRPr="00C11339">
        <w:rPr>
          <w:rFonts w:eastAsia="Arial"/>
          <w:sz w:val="24"/>
          <w:szCs w:val="24"/>
          <w:lang w:val="lt-LT" w:eastAsia="ar-SA"/>
        </w:rPr>
        <w:t>vardu</w:t>
      </w:r>
    </w:p>
    <w:p w14:paraId="41E333DD" w14:textId="77777777" w:rsidR="00AF1F3F" w:rsidRDefault="00AF1F3F" w:rsidP="00D3309C">
      <w:pPr>
        <w:rPr>
          <w:sz w:val="24"/>
          <w:szCs w:val="24"/>
          <w:lang w:val="lt-LT"/>
        </w:rPr>
      </w:pPr>
      <w:bookmarkStart w:id="0" w:name="_GoBack"/>
      <w:bookmarkEnd w:id="0"/>
    </w:p>
    <w:p w14:paraId="51CA09DE" w14:textId="77777777" w:rsidR="00AF1F3F" w:rsidRDefault="00AF1F3F" w:rsidP="00D3309C">
      <w:pPr>
        <w:rPr>
          <w:sz w:val="24"/>
          <w:szCs w:val="24"/>
          <w:lang w:val="lt-LT"/>
        </w:rPr>
      </w:pPr>
    </w:p>
    <w:p w14:paraId="03B6A7BE" w14:textId="44497994" w:rsidR="00AC7C04" w:rsidRPr="00263AEE" w:rsidRDefault="00EE6B19" w:rsidP="00D3309C">
      <w:pPr>
        <w:rPr>
          <w:lang w:val="lt-LT"/>
        </w:rPr>
      </w:pPr>
      <w:r w:rsidRPr="001B0C15">
        <w:rPr>
          <w:sz w:val="24"/>
          <w:szCs w:val="24"/>
          <w:lang w:val="lt-LT"/>
        </w:rPr>
        <w:t xml:space="preserve">A.V.                                 </w:t>
      </w:r>
      <w:r w:rsidR="00E16CC6">
        <w:rPr>
          <w:sz w:val="24"/>
          <w:szCs w:val="24"/>
          <w:lang w:val="lt-LT"/>
        </w:rPr>
        <w:tab/>
      </w:r>
      <w:r w:rsidR="00E16CC6">
        <w:rPr>
          <w:sz w:val="24"/>
          <w:szCs w:val="24"/>
          <w:lang w:val="lt-LT"/>
        </w:rPr>
        <w:tab/>
      </w:r>
      <w:r w:rsidR="00E16CC6">
        <w:rPr>
          <w:sz w:val="24"/>
          <w:szCs w:val="24"/>
          <w:lang w:val="lt-LT"/>
        </w:rPr>
        <w:tab/>
      </w:r>
      <w:r w:rsidR="00E16CC6">
        <w:rPr>
          <w:sz w:val="24"/>
          <w:szCs w:val="24"/>
          <w:lang w:val="lt-LT"/>
        </w:rPr>
        <w:tab/>
        <w:t>A.V.</w:t>
      </w:r>
    </w:p>
    <w:sectPr w:rsidR="00AC7C04" w:rsidRPr="00263AEE" w:rsidSect="00D3309C">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45718"/>
    <w:multiLevelType w:val="hybridMultilevel"/>
    <w:tmpl w:val="74C4FEDE"/>
    <w:lvl w:ilvl="0" w:tplc="307443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391350"/>
    <w:multiLevelType w:val="hybridMultilevel"/>
    <w:tmpl w:val="09045F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DB95AE5"/>
    <w:multiLevelType w:val="hybridMultilevel"/>
    <w:tmpl w:val="09045F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F3354A3"/>
    <w:multiLevelType w:val="multilevel"/>
    <w:tmpl w:val="F1E43A66"/>
    <w:lvl w:ilvl="0">
      <w:start w:val="1"/>
      <w:numFmt w:val="decimal"/>
      <w:lvlText w:val="%1."/>
      <w:lvlJc w:val="left"/>
      <w:pPr>
        <w:ind w:left="644" w:hanging="360"/>
      </w:pPr>
      <w:rPr>
        <w:rFonts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45E51D80"/>
    <w:multiLevelType w:val="multilevel"/>
    <w:tmpl w:val="C42C63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1F042F"/>
    <w:multiLevelType w:val="hybridMultilevel"/>
    <w:tmpl w:val="9264771A"/>
    <w:lvl w:ilvl="0" w:tplc="E708A81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6A4760FF"/>
    <w:multiLevelType w:val="hybridMultilevel"/>
    <w:tmpl w:val="80A6CF96"/>
    <w:lvl w:ilvl="0" w:tplc="B38EC3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2E4E7B"/>
    <w:multiLevelType w:val="hybridMultilevel"/>
    <w:tmpl w:val="9A9CF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6"/>
  </w:num>
  <w:num w:numId="5">
    <w:abstractNumId w:val="5"/>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77"/>
    <w:rsid w:val="00000AB7"/>
    <w:rsid w:val="00002544"/>
    <w:rsid w:val="00002D5F"/>
    <w:rsid w:val="0000554C"/>
    <w:rsid w:val="0001121E"/>
    <w:rsid w:val="00011654"/>
    <w:rsid w:val="00014E28"/>
    <w:rsid w:val="00023C57"/>
    <w:rsid w:val="0002620E"/>
    <w:rsid w:val="00026D00"/>
    <w:rsid w:val="000300BB"/>
    <w:rsid w:val="00031483"/>
    <w:rsid w:val="00040EFE"/>
    <w:rsid w:val="00041342"/>
    <w:rsid w:val="00046AB6"/>
    <w:rsid w:val="00047EBA"/>
    <w:rsid w:val="0006602A"/>
    <w:rsid w:val="00074B34"/>
    <w:rsid w:val="00080835"/>
    <w:rsid w:val="00084675"/>
    <w:rsid w:val="000924FF"/>
    <w:rsid w:val="000B30F1"/>
    <w:rsid w:val="000C0B72"/>
    <w:rsid w:val="000E756A"/>
    <w:rsid w:val="000F18F9"/>
    <w:rsid w:val="001100DC"/>
    <w:rsid w:val="00112CDF"/>
    <w:rsid w:val="00115BC3"/>
    <w:rsid w:val="00117405"/>
    <w:rsid w:val="00120071"/>
    <w:rsid w:val="00125664"/>
    <w:rsid w:val="00133388"/>
    <w:rsid w:val="00134A80"/>
    <w:rsid w:val="00145846"/>
    <w:rsid w:val="00145992"/>
    <w:rsid w:val="00165B20"/>
    <w:rsid w:val="00165CC4"/>
    <w:rsid w:val="00165E27"/>
    <w:rsid w:val="00166FAC"/>
    <w:rsid w:val="00184150"/>
    <w:rsid w:val="00185D51"/>
    <w:rsid w:val="00190387"/>
    <w:rsid w:val="00191937"/>
    <w:rsid w:val="001A15A5"/>
    <w:rsid w:val="001A5128"/>
    <w:rsid w:val="001B0C15"/>
    <w:rsid w:val="001B35B7"/>
    <w:rsid w:val="001C3D4A"/>
    <w:rsid w:val="001C4F83"/>
    <w:rsid w:val="001C6BD0"/>
    <w:rsid w:val="001F0815"/>
    <w:rsid w:val="001F3BF1"/>
    <w:rsid w:val="001F4938"/>
    <w:rsid w:val="002067D3"/>
    <w:rsid w:val="0021353F"/>
    <w:rsid w:val="00214521"/>
    <w:rsid w:val="00214799"/>
    <w:rsid w:val="00214DD3"/>
    <w:rsid w:val="00223DDA"/>
    <w:rsid w:val="00232173"/>
    <w:rsid w:val="00240DE8"/>
    <w:rsid w:val="002449F4"/>
    <w:rsid w:val="00263AEE"/>
    <w:rsid w:val="002969F4"/>
    <w:rsid w:val="002B1613"/>
    <w:rsid w:val="002B27F2"/>
    <w:rsid w:val="002C7A02"/>
    <w:rsid w:val="002D2198"/>
    <w:rsid w:val="002D5BCC"/>
    <w:rsid w:val="002E6D72"/>
    <w:rsid w:val="002F4F1B"/>
    <w:rsid w:val="002F7767"/>
    <w:rsid w:val="00300726"/>
    <w:rsid w:val="003251B9"/>
    <w:rsid w:val="003265C7"/>
    <w:rsid w:val="00331227"/>
    <w:rsid w:val="0034605E"/>
    <w:rsid w:val="00347D1F"/>
    <w:rsid w:val="00354591"/>
    <w:rsid w:val="00356389"/>
    <w:rsid w:val="00372668"/>
    <w:rsid w:val="0038237C"/>
    <w:rsid w:val="00390A0D"/>
    <w:rsid w:val="003B7A38"/>
    <w:rsid w:val="003C148C"/>
    <w:rsid w:val="003C236B"/>
    <w:rsid w:val="003C3EDF"/>
    <w:rsid w:val="003C44CA"/>
    <w:rsid w:val="003C53EA"/>
    <w:rsid w:val="003C6079"/>
    <w:rsid w:val="003D3D64"/>
    <w:rsid w:val="003D7DD8"/>
    <w:rsid w:val="003E2402"/>
    <w:rsid w:val="003E671C"/>
    <w:rsid w:val="003F07F5"/>
    <w:rsid w:val="003F4A52"/>
    <w:rsid w:val="00422533"/>
    <w:rsid w:val="00436B8B"/>
    <w:rsid w:val="00441A35"/>
    <w:rsid w:val="00450B8A"/>
    <w:rsid w:val="004540A5"/>
    <w:rsid w:val="00457084"/>
    <w:rsid w:val="00461F7B"/>
    <w:rsid w:val="00462DAD"/>
    <w:rsid w:val="00464966"/>
    <w:rsid w:val="004706DC"/>
    <w:rsid w:val="00471148"/>
    <w:rsid w:val="00472CA9"/>
    <w:rsid w:val="0047680A"/>
    <w:rsid w:val="004A15A2"/>
    <w:rsid w:val="004C236F"/>
    <w:rsid w:val="004C50D1"/>
    <w:rsid w:val="004C5B18"/>
    <w:rsid w:val="004C5C26"/>
    <w:rsid w:val="004C5EFF"/>
    <w:rsid w:val="004C7DD0"/>
    <w:rsid w:val="004F6F39"/>
    <w:rsid w:val="0050246D"/>
    <w:rsid w:val="00504D7D"/>
    <w:rsid w:val="00511BEE"/>
    <w:rsid w:val="00517F42"/>
    <w:rsid w:val="00523AB2"/>
    <w:rsid w:val="00526EDC"/>
    <w:rsid w:val="005329D2"/>
    <w:rsid w:val="00535BC7"/>
    <w:rsid w:val="0054104A"/>
    <w:rsid w:val="00544934"/>
    <w:rsid w:val="0056229C"/>
    <w:rsid w:val="00565EA1"/>
    <w:rsid w:val="005869F0"/>
    <w:rsid w:val="00596A71"/>
    <w:rsid w:val="005A21F2"/>
    <w:rsid w:val="005A4FA0"/>
    <w:rsid w:val="005B31AE"/>
    <w:rsid w:val="005C2904"/>
    <w:rsid w:val="005D4096"/>
    <w:rsid w:val="005D5EE7"/>
    <w:rsid w:val="005D6535"/>
    <w:rsid w:val="005F5EB5"/>
    <w:rsid w:val="00601CA9"/>
    <w:rsid w:val="006170BC"/>
    <w:rsid w:val="00620541"/>
    <w:rsid w:val="00650B2D"/>
    <w:rsid w:val="00655A7A"/>
    <w:rsid w:val="00661E53"/>
    <w:rsid w:val="006867F1"/>
    <w:rsid w:val="006951EC"/>
    <w:rsid w:val="006A109E"/>
    <w:rsid w:val="006A2D3B"/>
    <w:rsid w:val="006A57DF"/>
    <w:rsid w:val="006A6CAA"/>
    <w:rsid w:val="006B4D78"/>
    <w:rsid w:val="006C2182"/>
    <w:rsid w:val="006D0BD2"/>
    <w:rsid w:val="006D4FE6"/>
    <w:rsid w:val="006E1CD0"/>
    <w:rsid w:val="006E260C"/>
    <w:rsid w:val="007054D4"/>
    <w:rsid w:val="007209A1"/>
    <w:rsid w:val="00724618"/>
    <w:rsid w:val="00737A8F"/>
    <w:rsid w:val="00746869"/>
    <w:rsid w:val="00751016"/>
    <w:rsid w:val="00755175"/>
    <w:rsid w:val="007623D8"/>
    <w:rsid w:val="0079107A"/>
    <w:rsid w:val="007A02C7"/>
    <w:rsid w:val="007A6321"/>
    <w:rsid w:val="007B24BF"/>
    <w:rsid w:val="007B7002"/>
    <w:rsid w:val="007C2DC0"/>
    <w:rsid w:val="007C39A7"/>
    <w:rsid w:val="007D3E4B"/>
    <w:rsid w:val="007D66CA"/>
    <w:rsid w:val="007E123C"/>
    <w:rsid w:val="007E26DE"/>
    <w:rsid w:val="007E4B48"/>
    <w:rsid w:val="00814277"/>
    <w:rsid w:val="00873E7C"/>
    <w:rsid w:val="008812ED"/>
    <w:rsid w:val="008838C3"/>
    <w:rsid w:val="0089026A"/>
    <w:rsid w:val="00891DA4"/>
    <w:rsid w:val="008A2C37"/>
    <w:rsid w:val="008A6229"/>
    <w:rsid w:val="008B2130"/>
    <w:rsid w:val="008B4A42"/>
    <w:rsid w:val="008D2257"/>
    <w:rsid w:val="008D776B"/>
    <w:rsid w:val="008F0314"/>
    <w:rsid w:val="008F504E"/>
    <w:rsid w:val="00907E01"/>
    <w:rsid w:val="00911442"/>
    <w:rsid w:val="0093579C"/>
    <w:rsid w:val="00961E0E"/>
    <w:rsid w:val="00966E55"/>
    <w:rsid w:val="00972399"/>
    <w:rsid w:val="00977A1B"/>
    <w:rsid w:val="009820FD"/>
    <w:rsid w:val="009826C7"/>
    <w:rsid w:val="00985AF7"/>
    <w:rsid w:val="00986062"/>
    <w:rsid w:val="00992CAF"/>
    <w:rsid w:val="009A3682"/>
    <w:rsid w:val="009A4AFC"/>
    <w:rsid w:val="009A5D13"/>
    <w:rsid w:val="009B077A"/>
    <w:rsid w:val="009B68D1"/>
    <w:rsid w:val="009C05D1"/>
    <w:rsid w:val="009D4F1F"/>
    <w:rsid w:val="009D4F21"/>
    <w:rsid w:val="009D797C"/>
    <w:rsid w:val="009E03E7"/>
    <w:rsid w:val="009E6ACD"/>
    <w:rsid w:val="009F7F06"/>
    <w:rsid w:val="00A11839"/>
    <w:rsid w:val="00A16162"/>
    <w:rsid w:val="00A23153"/>
    <w:rsid w:val="00A34366"/>
    <w:rsid w:val="00A34523"/>
    <w:rsid w:val="00A36532"/>
    <w:rsid w:val="00A41A84"/>
    <w:rsid w:val="00A42532"/>
    <w:rsid w:val="00A44279"/>
    <w:rsid w:val="00A475B3"/>
    <w:rsid w:val="00A7119E"/>
    <w:rsid w:val="00A7760B"/>
    <w:rsid w:val="00A95D82"/>
    <w:rsid w:val="00A95FAE"/>
    <w:rsid w:val="00AA2F86"/>
    <w:rsid w:val="00AA3AE7"/>
    <w:rsid w:val="00AB3EA3"/>
    <w:rsid w:val="00AB4EA6"/>
    <w:rsid w:val="00AC0ED8"/>
    <w:rsid w:val="00AC47BC"/>
    <w:rsid w:val="00AC7C04"/>
    <w:rsid w:val="00AE1500"/>
    <w:rsid w:val="00AF1F3F"/>
    <w:rsid w:val="00AF6CDA"/>
    <w:rsid w:val="00AF7EDE"/>
    <w:rsid w:val="00B10027"/>
    <w:rsid w:val="00B102E4"/>
    <w:rsid w:val="00B4574F"/>
    <w:rsid w:val="00B54D4F"/>
    <w:rsid w:val="00B56637"/>
    <w:rsid w:val="00B76040"/>
    <w:rsid w:val="00BA22D7"/>
    <w:rsid w:val="00BA28CC"/>
    <w:rsid w:val="00BB0C8D"/>
    <w:rsid w:val="00BB4C7A"/>
    <w:rsid w:val="00BC1A30"/>
    <w:rsid w:val="00BC52D5"/>
    <w:rsid w:val="00BC6EE5"/>
    <w:rsid w:val="00BD15EC"/>
    <w:rsid w:val="00BD17CB"/>
    <w:rsid w:val="00BF22F4"/>
    <w:rsid w:val="00C11339"/>
    <w:rsid w:val="00C17445"/>
    <w:rsid w:val="00C21C12"/>
    <w:rsid w:val="00C22BF7"/>
    <w:rsid w:val="00C265A6"/>
    <w:rsid w:val="00C8704D"/>
    <w:rsid w:val="00C87A9D"/>
    <w:rsid w:val="00C951A7"/>
    <w:rsid w:val="00CC3596"/>
    <w:rsid w:val="00CC3A50"/>
    <w:rsid w:val="00CE304F"/>
    <w:rsid w:val="00CE4AD3"/>
    <w:rsid w:val="00CE4AEF"/>
    <w:rsid w:val="00CF377E"/>
    <w:rsid w:val="00CF529B"/>
    <w:rsid w:val="00CF7A76"/>
    <w:rsid w:val="00D0430D"/>
    <w:rsid w:val="00D05FF8"/>
    <w:rsid w:val="00D311D7"/>
    <w:rsid w:val="00D313ED"/>
    <w:rsid w:val="00D3309C"/>
    <w:rsid w:val="00D4232A"/>
    <w:rsid w:val="00D6136B"/>
    <w:rsid w:val="00D82923"/>
    <w:rsid w:val="00D8541D"/>
    <w:rsid w:val="00D86EE0"/>
    <w:rsid w:val="00D90377"/>
    <w:rsid w:val="00D9225C"/>
    <w:rsid w:val="00D93041"/>
    <w:rsid w:val="00DA1845"/>
    <w:rsid w:val="00DB48B7"/>
    <w:rsid w:val="00DB66F3"/>
    <w:rsid w:val="00DD035F"/>
    <w:rsid w:val="00DD33A9"/>
    <w:rsid w:val="00DE6A9E"/>
    <w:rsid w:val="00E06945"/>
    <w:rsid w:val="00E12BC8"/>
    <w:rsid w:val="00E13E47"/>
    <w:rsid w:val="00E15A94"/>
    <w:rsid w:val="00E16CC6"/>
    <w:rsid w:val="00E20D37"/>
    <w:rsid w:val="00E2249A"/>
    <w:rsid w:val="00E27F7A"/>
    <w:rsid w:val="00E4252E"/>
    <w:rsid w:val="00E54EA3"/>
    <w:rsid w:val="00E652B3"/>
    <w:rsid w:val="00E67AEF"/>
    <w:rsid w:val="00E77BD0"/>
    <w:rsid w:val="00E81C0E"/>
    <w:rsid w:val="00E83FAC"/>
    <w:rsid w:val="00E94CAF"/>
    <w:rsid w:val="00EB3627"/>
    <w:rsid w:val="00EB73E6"/>
    <w:rsid w:val="00EE17B6"/>
    <w:rsid w:val="00EE6B19"/>
    <w:rsid w:val="00F256EB"/>
    <w:rsid w:val="00F2590D"/>
    <w:rsid w:val="00F25DB6"/>
    <w:rsid w:val="00F40E07"/>
    <w:rsid w:val="00F50A57"/>
    <w:rsid w:val="00F5657E"/>
    <w:rsid w:val="00F56AE2"/>
    <w:rsid w:val="00F625E3"/>
    <w:rsid w:val="00F64620"/>
    <w:rsid w:val="00F83061"/>
    <w:rsid w:val="00F8629F"/>
    <w:rsid w:val="00F91464"/>
    <w:rsid w:val="00FA1C66"/>
    <w:rsid w:val="00FA2C73"/>
    <w:rsid w:val="00FA604F"/>
    <w:rsid w:val="00FB5246"/>
    <w:rsid w:val="00FC1F5A"/>
    <w:rsid w:val="00FD302C"/>
    <w:rsid w:val="00FE4146"/>
    <w:rsid w:val="00FE49B2"/>
    <w:rsid w:val="00FF11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67D0"/>
  <w15:docId w15:val="{8AFA6726-CB38-4790-B59B-3B6AC6EE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FAC"/>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D90377"/>
    <w:pPr>
      <w:keepNext/>
      <w:outlineLvl w:val="1"/>
    </w:pPr>
    <w:rPr>
      <w:rFonts w:ascii="Garamond" w:hAnsi="Garamond"/>
      <w:sz w:val="24"/>
      <w:lang w:val="lt-LT"/>
    </w:rPr>
  </w:style>
  <w:style w:type="paragraph" w:styleId="Heading4">
    <w:name w:val="heading 4"/>
    <w:basedOn w:val="Normal"/>
    <w:next w:val="Normal"/>
    <w:link w:val="Heading4Char"/>
    <w:unhideWhenUsed/>
    <w:qFormat/>
    <w:rsid w:val="00D90377"/>
    <w:pPr>
      <w:keepNext/>
      <w:jc w:val="both"/>
      <w:outlineLvl w:val="3"/>
    </w:pPr>
    <w:rPr>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90377"/>
    <w:rPr>
      <w:rFonts w:ascii="Garamond" w:eastAsia="Times New Roman" w:hAnsi="Garamond" w:cs="Times New Roman"/>
      <w:sz w:val="24"/>
      <w:szCs w:val="20"/>
    </w:rPr>
  </w:style>
  <w:style w:type="character" w:customStyle="1" w:styleId="Heading4Char">
    <w:name w:val="Heading 4 Char"/>
    <w:basedOn w:val="DefaultParagraphFont"/>
    <w:link w:val="Heading4"/>
    <w:rsid w:val="00D90377"/>
    <w:rPr>
      <w:rFonts w:ascii="Times New Roman" w:eastAsia="Times New Roman" w:hAnsi="Times New Roman" w:cs="Times New Roman"/>
      <w:sz w:val="28"/>
      <w:szCs w:val="20"/>
    </w:rPr>
  </w:style>
  <w:style w:type="character" w:styleId="Hyperlink">
    <w:name w:val="Hyperlink"/>
    <w:basedOn w:val="DefaultParagraphFont"/>
    <w:uiPriority w:val="99"/>
    <w:unhideWhenUsed/>
    <w:rsid w:val="00D90377"/>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E4B48"/>
    <w:pPr>
      <w:ind w:left="720"/>
      <w:contextualSpacing/>
    </w:pPr>
  </w:style>
  <w:style w:type="paragraph" w:styleId="BalloonText">
    <w:name w:val="Balloon Text"/>
    <w:basedOn w:val="Normal"/>
    <w:link w:val="BalloonTextChar"/>
    <w:uiPriority w:val="99"/>
    <w:semiHidden/>
    <w:unhideWhenUsed/>
    <w:rsid w:val="00FF1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B9"/>
    <w:rPr>
      <w:rFonts w:ascii="Segoe UI" w:eastAsia="Times New Roman" w:hAnsi="Segoe UI" w:cs="Segoe UI"/>
      <w:sz w:val="18"/>
      <w:szCs w:val="18"/>
      <w:lang w:val="en-GB"/>
    </w:rPr>
  </w:style>
  <w:style w:type="table" w:styleId="TableGrid">
    <w:name w:val="Table Grid"/>
    <w:basedOn w:val="TableNormal"/>
    <w:uiPriority w:val="59"/>
    <w:rsid w:val="000116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4AFC"/>
    <w:rPr>
      <w:sz w:val="16"/>
      <w:szCs w:val="16"/>
    </w:rPr>
  </w:style>
  <w:style w:type="paragraph" w:styleId="CommentText">
    <w:name w:val="annotation text"/>
    <w:basedOn w:val="Normal"/>
    <w:link w:val="CommentTextChar"/>
    <w:uiPriority w:val="99"/>
    <w:semiHidden/>
    <w:unhideWhenUsed/>
    <w:rsid w:val="009A4AFC"/>
  </w:style>
  <w:style w:type="character" w:customStyle="1" w:styleId="CommentTextChar">
    <w:name w:val="Comment Text Char"/>
    <w:basedOn w:val="DefaultParagraphFont"/>
    <w:link w:val="CommentText"/>
    <w:uiPriority w:val="99"/>
    <w:semiHidden/>
    <w:rsid w:val="009A4AF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A4AFC"/>
    <w:rPr>
      <w:b/>
      <w:bCs/>
    </w:rPr>
  </w:style>
  <w:style w:type="character" w:customStyle="1" w:styleId="CommentSubjectChar">
    <w:name w:val="Comment Subject Char"/>
    <w:basedOn w:val="CommentTextChar"/>
    <w:link w:val="CommentSubject"/>
    <w:uiPriority w:val="99"/>
    <w:semiHidden/>
    <w:rsid w:val="009A4AFC"/>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B4574F"/>
    <w:pPr>
      <w:spacing w:before="100" w:beforeAutospacing="1" w:after="100" w:afterAutospacing="1"/>
    </w:pPr>
    <w:rPr>
      <w:rFonts w:eastAsiaTheme="minorHAnsi"/>
      <w:sz w:val="24"/>
      <w:szCs w:val="24"/>
      <w:lang w:val="lt-LT" w:eastAsia="lt-LT"/>
    </w:rPr>
  </w:style>
  <w:style w:type="character" w:styleId="PlaceholderText">
    <w:name w:val="Placeholder Text"/>
    <w:basedOn w:val="DefaultParagraphFont"/>
    <w:uiPriority w:val="99"/>
    <w:semiHidden/>
    <w:rsid w:val="00F50A57"/>
    <w:rPr>
      <w:color w:val="80808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449F4"/>
    <w:rPr>
      <w:rFonts w:ascii="Times New Roman" w:eastAsia="Times New Roman" w:hAnsi="Times New Roman" w:cs="Times New Roman"/>
      <w:sz w:val="20"/>
      <w:szCs w:val="20"/>
      <w:lang w:val="en-GB"/>
    </w:rPr>
  </w:style>
  <w:style w:type="paragraph" w:customStyle="1" w:styleId="BodyText1">
    <w:name w:val="Body Text1"/>
    <w:rsid w:val="00A44279"/>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3426">
      <w:bodyDiv w:val="1"/>
      <w:marLeft w:val="0"/>
      <w:marRight w:val="0"/>
      <w:marTop w:val="0"/>
      <w:marBottom w:val="0"/>
      <w:divBdr>
        <w:top w:val="none" w:sz="0" w:space="0" w:color="auto"/>
        <w:left w:val="none" w:sz="0" w:space="0" w:color="auto"/>
        <w:bottom w:val="none" w:sz="0" w:space="0" w:color="auto"/>
        <w:right w:val="none" w:sz="0" w:space="0" w:color="auto"/>
      </w:divBdr>
    </w:div>
    <w:div w:id="1636718593">
      <w:bodyDiv w:val="1"/>
      <w:marLeft w:val="0"/>
      <w:marRight w:val="0"/>
      <w:marTop w:val="0"/>
      <w:marBottom w:val="0"/>
      <w:divBdr>
        <w:top w:val="none" w:sz="0" w:space="0" w:color="auto"/>
        <w:left w:val="none" w:sz="0" w:space="0" w:color="auto"/>
        <w:bottom w:val="none" w:sz="0" w:space="0" w:color="auto"/>
        <w:right w:val="none" w:sz="0" w:space="0" w:color="auto"/>
      </w:divBdr>
    </w:div>
    <w:div w:id="1750030954">
      <w:bodyDiv w:val="1"/>
      <w:marLeft w:val="0"/>
      <w:marRight w:val="0"/>
      <w:marTop w:val="0"/>
      <w:marBottom w:val="0"/>
      <w:divBdr>
        <w:top w:val="none" w:sz="0" w:space="0" w:color="auto"/>
        <w:left w:val="none" w:sz="0" w:space="0" w:color="auto"/>
        <w:bottom w:val="none" w:sz="0" w:space="0" w:color="auto"/>
        <w:right w:val="none" w:sz="0" w:space="0" w:color="auto"/>
      </w:divBdr>
    </w:div>
    <w:div w:id="1765298368">
      <w:bodyDiv w:val="1"/>
      <w:marLeft w:val="0"/>
      <w:marRight w:val="0"/>
      <w:marTop w:val="0"/>
      <w:marBottom w:val="0"/>
      <w:divBdr>
        <w:top w:val="none" w:sz="0" w:space="0" w:color="auto"/>
        <w:left w:val="none" w:sz="0" w:space="0" w:color="auto"/>
        <w:bottom w:val="none" w:sz="0" w:space="0" w:color="auto"/>
        <w:right w:val="none" w:sz="0" w:space="0" w:color="auto"/>
      </w:divBdr>
    </w:div>
    <w:div w:id="20683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A6F4-FF8F-476B-BEFA-3DFD81F1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4348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Ingrida Andriskeviciute</cp:lastModifiedBy>
  <cp:revision>3</cp:revision>
  <cp:lastPrinted>2023-01-19T07:05:00Z</cp:lastPrinted>
  <dcterms:created xsi:type="dcterms:W3CDTF">2023-12-27T13:14:00Z</dcterms:created>
  <dcterms:modified xsi:type="dcterms:W3CDTF">2023-12-27T13:16:00Z</dcterms:modified>
</cp:coreProperties>
</file>