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D139" w14:textId="255603DC" w:rsidR="00EA591F" w:rsidRDefault="00ED3217" w:rsidP="00B863FA">
      <w:pPr>
        <w:spacing w:after="0" w:line="240" w:lineRule="auto"/>
        <w:jc w:val="center"/>
        <w:rPr>
          <w:rFonts w:eastAsia="Times New Roman" w:cs="Times New Roman"/>
          <w:b/>
          <w:lang w:eastAsia="lt-LT"/>
        </w:rPr>
      </w:pPr>
      <w:bookmarkStart w:id="0" w:name="_Hlk141373951"/>
      <w:r>
        <w:rPr>
          <w:rFonts w:eastAsia="Times New Roman" w:cs="Times New Roman"/>
          <w:b/>
          <w:lang w:eastAsia="lt-LT"/>
        </w:rPr>
        <w:t>AKCINĖS BENDROVĖS</w:t>
      </w:r>
      <w:r w:rsidR="0003218F" w:rsidRPr="009F5236">
        <w:rPr>
          <w:rFonts w:eastAsia="Times New Roman" w:cs="Times New Roman"/>
          <w:b/>
          <w:lang w:eastAsia="lt-LT"/>
        </w:rPr>
        <w:t xml:space="preserve"> „ORO NAVIGACIJA“ PERKAM</w:t>
      </w:r>
      <w:r>
        <w:rPr>
          <w:rFonts w:eastAsia="Times New Roman" w:cs="Times New Roman"/>
          <w:b/>
          <w:lang w:eastAsia="lt-LT"/>
        </w:rPr>
        <w:t xml:space="preserve">Ų </w:t>
      </w:r>
      <w:r w:rsidR="008E1F3B">
        <w:rPr>
          <w:rFonts w:eastAsia="Times New Roman" w:cs="Times New Roman"/>
          <w:b/>
          <w:lang w:eastAsia="lt-LT"/>
        </w:rPr>
        <w:t xml:space="preserve">LIZINGO BŪDU </w:t>
      </w:r>
      <w:r w:rsidR="00C86AFF" w:rsidRPr="009F5236">
        <w:rPr>
          <w:rFonts w:eastAsia="Times New Roman" w:cs="Times New Roman"/>
          <w:b/>
          <w:lang w:eastAsia="lt-LT"/>
        </w:rPr>
        <w:t xml:space="preserve">PADIDINTO PRAVAŽUMO </w:t>
      </w:r>
      <w:r w:rsidR="00A64848" w:rsidRPr="009F5236">
        <w:rPr>
          <w:rFonts w:eastAsia="Times New Roman" w:cs="Times New Roman"/>
          <w:b/>
          <w:lang w:eastAsia="lt-LT"/>
        </w:rPr>
        <w:t>AUTOMOBILI</w:t>
      </w:r>
      <w:r>
        <w:rPr>
          <w:rFonts w:eastAsia="Times New Roman" w:cs="Times New Roman"/>
          <w:b/>
          <w:lang w:eastAsia="lt-LT"/>
        </w:rPr>
        <w:t>Ų</w:t>
      </w:r>
      <w:r w:rsidR="008E1F3B">
        <w:rPr>
          <w:rFonts w:eastAsia="Times New Roman" w:cs="Times New Roman"/>
          <w:b/>
          <w:lang w:eastAsia="lt-LT"/>
        </w:rPr>
        <w:t xml:space="preserve"> </w:t>
      </w:r>
      <w:r w:rsidR="00A64848" w:rsidRPr="009F5236">
        <w:rPr>
          <w:rFonts w:eastAsia="Times New Roman" w:cs="Times New Roman"/>
          <w:b/>
          <w:lang w:eastAsia="lt-LT"/>
        </w:rPr>
        <w:t>TECHNINĖ SPECIFIKACIJA</w:t>
      </w:r>
    </w:p>
    <w:p w14:paraId="041FF848" w14:textId="77777777" w:rsidR="00464D57" w:rsidRPr="00B863FA" w:rsidRDefault="00464D57" w:rsidP="00A64848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lt-LT"/>
        </w:rPr>
      </w:pPr>
    </w:p>
    <w:bookmarkEnd w:id="0"/>
    <w:p w14:paraId="18F7EA0E" w14:textId="04E6CD8A" w:rsidR="006C43BE" w:rsidRPr="00F03D64" w:rsidRDefault="00FD0049" w:rsidP="004C6186">
      <w:pPr>
        <w:spacing w:after="0" w:line="240" w:lineRule="auto"/>
        <w:ind w:right="-1"/>
        <w:jc w:val="both"/>
        <w:rPr>
          <w:rFonts w:eastAsia="Times New Roman" w:cs="Times New Roman"/>
          <w:lang w:eastAsia="lt-LT"/>
        </w:rPr>
      </w:pPr>
      <w:r w:rsidRPr="00F03D64">
        <w:rPr>
          <w:rFonts w:eastAsia="Times New Roman" w:cs="Times New Roman"/>
          <w:lang w:eastAsia="lt-LT"/>
        </w:rPr>
        <w:t>Automobiliai turi atitikti reikalavimus nurodytus lentelėje</w:t>
      </w:r>
      <w:r w:rsidR="00E41F79" w:rsidRPr="00F03D64">
        <w:rPr>
          <w:rFonts w:eastAsia="Times New Roman" w:cs="Times New Roman"/>
          <w:lang w:eastAsia="lt-LT"/>
        </w:rPr>
        <w:t>, arba būti ne prastesnių techninių parametrų</w:t>
      </w:r>
      <w:r w:rsidRPr="00F03D64">
        <w:rPr>
          <w:rFonts w:eastAsia="Times New Roman" w:cs="Times New Roman"/>
          <w:lang w:eastAsia="lt-LT"/>
        </w:rPr>
        <w:t>.</w:t>
      </w:r>
    </w:p>
    <w:p w14:paraId="79DAC784" w14:textId="77777777" w:rsidR="00EA591F" w:rsidRPr="00B863FA" w:rsidRDefault="00EA591F" w:rsidP="00EA591F">
      <w:pPr>
        <w:spacing w:after="0" w:line="240" w:lineRule="auto"/>
        <w:rPr>
          <w:rFonts w:eastAsia="Times New Roman" w:cs="Times New Roman"/>
          <w:sz w:val="16"/>
          <w:szCs w:val="16"/>
          <w:lang w:eastAsia="lt-LT"/>
        </w:rPr>
      </w:pPr>
      <w:r w:rsidRPr="009F5236">
        <w:rPr>
          <w:rFonts w:eastAsia="Times New Roman" w:cs="Times New Roman"/>
          <w:lang w:eastAsia="lt-LT"/>
        </w:rPr>
        <w:t> 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773"/>
      </w:tblGrid>
      <w:tr w:rsidR="00EA591F" w:rsidRPr="009F5236" w14:paraId="737E515A" w14:textId="77777777" w:rsidTr="0029738E">
        <w:trPr>
          <w:trHeight w:val="60"/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0824" w14:textId="77777777" w:rsidR="00527F21" w:rsidRPr="009F5236" w:rsidRDefault="00EA591F" w:rsidP="00527F21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9F5236">
              <w:rPr>
                <w:rFonts w:eastAsia="Times New Roman" w:cs="Times New Roman"/>
                <w:b/>
                <w:bCs/>
                <w:lang w:eastAsia="lt-LT"/>
              </w:rPr>
              <w:t>Savybė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2A36" w14:textId="77777777" w:rsidR="00EA591F" w:rsidRPr="009F5236" w:rsidRDefault="00EA591F" w:rsidP="00527F21">
            <w:pPr>
              <w:spacing w:before="120" w:after="12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b/>
                <w:bCs/>
                <w:lang w:eastAsia="lt-LT"/>
              </w:rPr>
              <w:t>Reikalavimai</w:t>
            </w:r>
          </w:p>
        </w:tc>
      </w:tr>
      <w:tr w:rsidR="00EA591F" w:rsidRPr="009F5236" w14:paraId="15C75972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CDB9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Automobilio rūšis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1EEE" w14:textId="32616DAD" w:rsidR="00EA591F" w:rsidRPr="009F5236" w:rsidRDefault="0049126F" w:rsidP="00420784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M1 kategorijos</w:t>
            </w:r>
            <w:r w:rsidR="00420784" w:rsidRPr="009F5236">
              <w:rPr>
                <w:rFonts w:cs="Times New Roman"/>
                <w:lang w:eastAsia="lt-LT"/>
              </w:rPr>
              <w:t xml:space="preserve"> k</w:t>
            </w:r>
            <w:r w:rsidR="00944765" w:rsidRPr="009F5236">
              <w:rPr>
                <w:rFonts w:cs="Times New Roman"/>
                <w:lang w:eastAsia="lt-LT"/>
              </w:rPr>
              <w:t>eleivinis lengvasis automobilis</w:t>
            </w:r>
            <w:r w:rsidR="00FD0049">
              <w:rPr>
                <w:rFonts w:cs="Times New Roman"/>
                <w:lang w:eastAsia="lt-LT"/>
              </w:rPr>
              <w:t xml:space="preserve">, </w:t>
            </w:r>
            <w:r w:rsidR="00944765" w:rsidRPr="009F5236">
              <w:rPr>
                <w:rFonts w:cs="Times New Roman"/>
                <w:lang w:eastAsia="lt-LT"/>
              </w:rPr>
              <w:t xml:space="preserve"> </w:t>
            </w:r>
            <w:r w:rsidR="00FD0049" w:rsidRPr="00FD0049">
              <w:rPr>
                <w:rFonts w:cs="Times New Roman"/>
                <w:lang w:eastAsia="lt-LT"/>
              </w:rPr>
              <w:t xml:space="preserve">I2a (Kompaktiniai ir vidutiniai </w:t>
            </w:r>
            <w:proofErr w:type="spellStart"/>
            <w:r w:rsidR="00FD0049" w:rsidRPr="00FD0049">
              <w:rPr>
                <w:rFonts w:cs="Times New Roman"/>
                <w:lang w:eastAsia="lt-LT"/>
              </w:rPr>
              <w:t>pseudovisureigiai</w:t>
            </w:r>
            <w:proofErr w:type="spellEnd"/>
            <w:r w:rsidR="00FD0049" w:rsidRPr="00FD0049">
              <w:rPr>
                <w:rFonts w:cs="Times New Roman"/>
                <w:lang w:eastAsia="lt-LT"/>
              </w:rPr>
              <w:t xml:space="preserve"> ir visureigiai) arba I1 (Maži </w:t>
            </w:r>
            <w:proofErr w:type="spellStart"/>
            <w:r w:rsidR="00FD0049" w:rsidRPr="00FD0049">
              <w:rPr>
                <w:rFonts w:cs="Times New Roman"/>
                <w:lang w:eastAsia="lt-LT"/>
              </w:rPr>
              <w:t>pseudovisureigiai</w:t>
            </w:r>
            <w:proofErr w:type="spellEnd"/>
            <w:r w:rsidR="00FD0049" w:rsidRPr="00FD0049">
              <w:rPr>
                <w:rFonts w:cs="Times New Roman"/>
                <w:lang w:eastAsia="lt-LT"/>
              </w:rPr>
              <w:t xml:space="preserve"> ir visureigiai) klasės</w:t>
            </w:r>
            <w:r w:rsidR="005E2207">
              <w:rPr>
                <w:rFonts w:cs="Times New Roman"/>
                <w:lang w:eastAsia="lt-LT"/>
              </w:rPr>
              <w:t>.</w:t>
            </w:r>
            <w:r w:rsidR="00221CCE" w:rsidRPr="00AA6332">
              <w:rPr>
                <w:rFonts w:ascii="Arial" w:hAnsi="Arial" w:cs="Arial"/>
              </w:rPr>
              <w:t xml:space="preserve"> </w:t>
            </w:r>
            <w:r w:rsidR="00221CCE" w:rsidRPr="00221CCE">
              <w:rPr>
                <w:rFonts w:cs="Times New Roman"/>
                <w:lang w:eastAsia="lt-LT"/>
              </w:rPr>
              <w:t>Automobilių klasės nurodytos pagal viešai prieinamą „</w:t>
            </w:r>
            <w:proofErr w:type="spellStart"/>
            <w:r w:rsidR="00221CCE" w:rsidRPr="00221CCE">
              <w:rPr>
                <w:rFonts w:cs="Times New Roman"/>
                <w:lang w:eastAsia="lt-LT"/>
              </w:rPr>
              <w:t>AutoTyrimai</w:t>
            </w:r>
            <w:proofErr w:type="spellEnd"/>
            <w:r w:rsidR="00221CCE" w:rsidRPr="00221CCE">
              <w:rPr>
                <w:rFonts w:cs="Times New Roman"/>
                <w:lang w:eastAsia="lt-LT"/>
              </w:rPr>
              <w:t>“ klasifikatorių</w:t>
            </w:r>
            <w:r w:rsidR="00221CCE">
              <w:rPr>
                <w:rFonts w:cs="Times New Roman"/>
                <w:lang w:eastAsia="lt-LT"/>
              </w:rPr>
              <w:t>.</w:t>
            </w:r>
          </w:p>
        </w:tc>
      </w:tr>
      <w:tr w:rsidR="00EA591F" w:rsidRPr="009F5236" w14:paraId="6182F97B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1ABF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Automobilių skaičius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CAEF" w14:textId="52E833CA" w:rsidR="00EA591F" w:rsidRPr="009F5236" w:rsidRDefault="00535E91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4</w:t>
            </w:r>
            <w:r w:rsidR="005E2207">
              <w:rPr>
                <w:rFonts w:eastAsia="Times New Roman" w:cs="Times New Roman"/>
                <w:lang w:eastAsia="lt-LT"/>
              </w:rPr>
              <w:t xml:space="preserve"> vnt.</w:t>
            </w:r>
          </w:p>
        </w:tc>
      </w:tr>
      <w:tr w:rsidR="00EA591F" w:rsidRPr="009F5236" w14:paraId="3B6F1716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C889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Automobilio pagaminimas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1C58" w14:textId="69F1FF4A" w:rsidR="00EA591F" w:rsidRPr="00FD0049" w:rsidRDefault="00EA591F" w:rsidP="00527F21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Automobilis </w:t>
            </w:r>
            <w:r w:rsidR="0065260B">
              <w:rPr>
                <w:rFonts w:eastAsia="Times New Roman" w:cs="Times New Roman"/>
                <w:lang w:eastAsia="lt-LT"/>
              </w:rPr>
              <w:t xml:space="preserve">(įskaitant jo komplektuojančias dalis) turi būti </w:t>
            </w:r>
            <w:r w:rsidRPr="009F5236">
              <w:rPr>
                <w:rFonts w:eastAsia="Times New Roman" w:cs="Times New Roman"/>
                <w:lang w:eastAsia="lt-LT"/>
              </w:rPr>
              <w:t>naujas, neeksploatuotas</w:t>
            </w:r>
            <w:r w:rsidR="0065260B">
              <w:rPr>
                <w:rFonts w:eastAsia="Times New Roman" w:cs="Times New Roman"/>
                <w:lang w:eastAsia="lt-LT"/>
              </w:rPr>
              <w:t>.</w:t>
            </w:r>
            <w:r w:rsidRPr="009F5236">
              <w:rPr>
                <w:rFonts w:eastAsia="Times New Roman" w:cs="Times New Roman"/>
                <w:lang w:eastAsia="lt-LT"/>
              </w:rPr>
              <w:t xml:space="preserve"> </w:t>
            </w:r>
            <w:r w:rsidR="0065260B">
              <w:rPr>
                <w:rFonts w:eastAsia="Times New Roman" w:cs="Times New Roman"/>
                <w:lang w:eastAsia="lt-LT"/>
              </w:rPr>
              <w:t xml:space="preserve">Automobilis turi būti </w:t>
            </w:r>
            <w:r w:rsidRPr="009F5236">
              <w:rPr>
                <w:rFonts w:eastAsia="Times New Roman" w:cs="Times New Roman"/>
                <w:lang w:eastAsia="lt-LT"/>
              </w:rPr>
              <w:t>pagamintas ne anksčiau</w:t>
            </w:r>
            <w:r w:rsidR="005E2207">
              <w:t xml:space="preserve"> </w:t>
            </w:r>
            <w:r w:rsidR="005E2207" w:rsidRPr="005E2207">
              <w:rPr>
                <w:rFonts w:eastAsia="Times New Roman" w:cs="Times New Roman"/>
                <w:lang w:eastAsia="lt-LT"/>
              </w:rPr>
              <w:t>kaip 202</w:t>
            </w:r>
            <w:r w:rsidR="005E2207">
              <w:rPr>
                <w:rFonts w:eastAsia="Times New Roman" w:cs="Times New Roman"/>
                <w:lang w:val="en-US" w:eastAsia="lt-LT"/>
              </w:rPr>
              <w:t>3</w:t>
            </w:r>
            <w:r w:rsidR="005E2207" w:rsidRPr="005E2207">
              <w:rPr>
                <w:rFonts w:eastAsia="Times New Roman" w:cs="Times New Roman"/>
                <w:lang w:eastAsia="lt-LT"/>
              </w:rPr>
              <w:t xml:space="preserve"> metais</w:t>
            </w:r>
            <w:r w:rsidR="0065260B"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EA591F" w:rsidRPr="009F5236" w14:paraId="26C78D83" w14:textId="77777777" w:rsidTr="0029738E">
        <w:trPr>
          <w:trHeight w:val="94"/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8CE5" w14:textId="105839FF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Kėbulo tipas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083B" w14:textId="77777777" w:rsidR="00EA591F" w:rsidRPr="009F5236" w:rsidRDefault="00F928CF" w:rsidP="007F31F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cs="Times New Roman"/>
                <w:lang w:eastAsia="lt-LT"/>
              </w:rPr>
              <w:t>SUV</w:t>
            </w:r>
          </w:p>
        </w:tc>
      </w:tr>
      <w:tr w:rsidR="00EA591F" w:rsidRPr="009F5236" w14:paraId="1EB6BA23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9868" w14:textId="0EF4A7E8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Bendras ilgis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200" w14:textId="358C0546" w:rsidR="00EA591F" w:rsidRPr="009F5236" w:rsidRDefault="002A730A" w:rsidP="002E3CF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cs="Times New Roman"/>
              </w:rPr>
              <w:t xml:space="preserve">Ilgis ne mažiau </w:t>
            </w:r>
            <w:r w:rsidR="008E1F3B">
              <w:rPr>
                <w:rFonts w:cs="Times New Roman"/>
              </w:rPr>
              <w:t>4100</w:t>
            </w:r>
            <w:r w:rsidRPr="009F5236">
              <w:rPr>
                <w:rFonts w:cs="Times New Roman"/>
              </w:rPr>
              <w:t xml:space="preserve">, </w:t>
            </w:r>
          </w:p>
        </w:tc>
      </w:tr>
      <w:tr w:rsidR="0047014D" w:rsidRPr="009F5236" w14:paraId="0F7E07D6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85EA" w14:textId="77777777" w:rsidR="0047014D" w:rsidRPr="009F5236" w:rsidRDefault="0047014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Plotis</w:t>
            </w:r>
            <w:r w:rsidR="00B376FD" w:rsidRPr="009F5236">
              <w:rPr>
                <w:rFonts w:eastAsia="Times New Roman" w:cs="Times New Roman"/>
                <w:lang w:eastAsia="lt-LT"/>
              </w:rPr>
              <w:t xml:space="preserve"> be veidrodėlių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3A7F" w14:textId="77777777" w:rsidR="0047014D" w:rsidRPr="009F5236" w:rsidRDefault="0047014D" w:rsidP="008A4BE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Ne mažiau </w:t>
            </w:r>
            <w:r w:rsidR="008A4BED">
              <w:rPr>
                <w:rFonts w:eastAsia="Times New Roman" w:cs="Times New Roman"/>
                <w:lang w:eastAsia="lt-LT"/>
              </w:rPr>
              <w:t>1700 mm.</w:t>
            </w:r>
          </w:p>
        </w:tc>
      </w:tr>
      <w:tr w:rsidR="00EA591F" w:rsidRPr="009F5236" w14:paraId="434B555E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4D38" w14:textId="77777777" w:rsidR="00EA591F" w:rsidRPr="009F5236" w:rsidRDefault="00816E8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Ratų bazė, m</w:t>
            </w:r>
            <w:r w:rsidR="00EA591F" w:rsidRPr="009F5236">
              <w:rPr>
                <w:rFonts w:eastAsia="Times New Roman" w:cs="Times New Roman"/>
                <w:lang w:eastAsia="lt-LT"/>
              </w:rPr>
              <w:t>m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4B31" w14:textId="77777777" w:rsidR="00EA591F" w:rsidRPr="009F5236" w:rsidRDefault="008A4BED" w:rsidP="0094476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Ne mažiau </w:t>
            </w:r>
            <w:r>
              <w:rPr>
                <w:rFonts w:eastAsia="Times New Roman" w:cs="Times New Roman"/>
                <w:lang w:eastAsia="lt-LT"/>
              </w:rPr>
              <w:t>250</w:t>
            </w:r>
            <w:r w:rsidRPr="009F5236">
              <w:rPr>
                <w:rFonts w:eastAsia="Times New Roman" w:cs="Times New Roman"/>
                <w:lang w:eastAsia="lt-LT"/>
              </w:rPr>
              <w:t>0</w:t>
            </w:r>
            <w:r>
              <w:rPr>
                <w:rFonts w:eastAsia="Times New Roman" w:cs="Times New Roman"/>
                <w:lang w:eastAsia="lt-LT"/>
              </w:rPr>
              <w:t xml:space="preserve"> mm. </w:t>
            </w:r>
          </w:p>
        </w:tc>
      </w:tr>
      <w:tr w:rsidR="00EA591F" w:rsidRPr="009F5236" w14:paraId="6D5084FE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C453" w14:textId="77777777" w:rsidR="00EA591F" w:rsidRPr="009F5236" w:rsidRDefault="00816E8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Prošvaisa, m</w:t>
            </w:r>
            <w:r w:rsidR="00EA591F" w:rsidRPr="009F5236">
              <w:rPr>
                <w:rFonts w:eastAsia="Times New Roman" w:cs="Times New Roman"/>
                <w:lang w:eastAsia="lt-LT"/>
              </w:rPr>
              <w:t>m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8170" w14:textId="40235661" w:rsidR="00EA591F" w:rsidRPr="009F5236" w:rsidRDefault="0047014D" w:rsidP="008A4BE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Nuo </w:t>
            </w:r>
            <w:r w:rsidR="008A4BED">
              <w:rPr>
                <w:rFonts w:eastAsia="Times New Roman" w:cs="Times New Roman"/>
                <w:lang w:eastAsia="lt-LT"/>
              </w:rPr>
              <w:t>18</w:t>
            </w:r>
            <w:r w:rsidR="00F8570C">
              <w:rPr>
                <w:rFonts w:eastAsia="Times New Roman" w:cs="Times New Roman"/>
                <w:lang w:eastAsia="lt-LT"/>
              </w:rPr>
              <w:t>0</w:t>
            </w:r>
            <w:r w:rsidR="008A4BED">
              <w:rPr>
                <w:rFonts w:eastAsia="Times New Roman" w:cs="Times New Roman"/>
                <w:lang w:eastAsia="lt-LT"/>
              </w:rPr>
              <w:t xml:space="preserve"> mm. </w:t>
            </w:r>
          </w:p>
        </w:tc>
      </w:tr>
      <w:tr w:rsidR="00A64848" w:rsidRPr="009F5236" w14:paraId="3D6BEFE9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0646" w14:textId="77777777" w:rsidR="00A64848" w:rsidRPr="009F5236" w:rsidRDefault="00944765" w:rsidP="0094476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cs="Times New Roman"/>
                <w:lang w:eastAsia="lt-LT"/>
              </w:rPr>
              <w:t>Durelių skaičius</w:t>
            </w:r>
            <w:r w:rsidRPr="009F5236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8AF6" w14:textId="77777777" w:rsidR="00A64848" w:rsidRPr="009F5236" w:rsidRDefault="00944765" w:rsidP="0047014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5</w:t>
            </w:r>
          </w:p>
        </w:tc>
      </w:tr>
      <w:tr w:rsidR="00EA591F" w:rsidRPr="009F5236" w14:paraId="34FBCF13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90BD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Kėbulo spalva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8D5C" w14:textId="377D2A62" w:rsidR="00EA591F" w:rsidRPr="009F5236" w:rsidRDefault="00F8570C" w:rsidP="004B488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F8570C">
              <w:rPr>
                <w:rFonts w:eastAsia="Times New Roman" w:cstheme="minorHAnsi"/>
                <w:iCs/>
                <w:lang w:eastAsia="lt-LT"/>
              </w:rPr>
              <w:t>Galimybė pasirinkti iš 3 spalvų. Dvi iš jų turi būti mėlyna (mėlynos atspalviai) ir balta</w:t>
            </w:r>
          </w:p>
        </w:tc>
      </w:tr>
      <w:tr w:rsidR="00EA591F" w:rsidRPr="009F5236" w14:paraId="0DEEBD3A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DEC6" w14:textId="79776AE7" w:rsidR="00EA591F" w:rsidRPr="009F5236" w:rsidRDefault="00C12512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G</w:t>
            </w:r>
            <w:r w:rsidR="00EA591F" w:rsidRPr="009F5236">
              <w:rPr>
                <w:rFonts w:eastAsia="Times New Roman" w:cs="Times New Roman"/>
                <w:lang w:eastAsia="lt-LT"/>
              </w:rPr>
              <w:t>alia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27B9" w14:textId="1C753740" w:rsidR="00EA591F" w:rsidRPr="009F5236" w:rsidRDefault="00C003D2" w:rsidP="0094476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Ne mažiau kaip</w:t>
            </w:r>
            <w:r w:rsidR="00EA591F" w:rsidRPr="009F5236">
              <w:rPr>
                <w:rFonts w:eastAsia="Times New Roman" w:cs="Times New Roman"/>
                <w:lang w:eastAsia="lt-LT"/>
              </w:rPr>
              <w:t xml:space="preserve"> </w:t>
            </w:r>
            <w:r w:rsidR="008E1F3B">
              <w:rPr>
                <w:rFonts w:eastAsia="Times New Roman" w:cs="Times New Roman"/>
                <w:lang w:eastAsia="lt-LT"/>
              </w:rPr>
              <w:t>75</w:t>
            </w:r>
            <w:r w:rsidR="00EA591F" w:rsidRPr="009F5236">
              <w:rPr>
                <w:rFonts w:eastAsia="Times New Roman" w:cs="Times New Roman"/>
                <w:lang w:eastAsia="lt-LT"/>
              </w:rPr>
              <w:t xml:space="preserve"> kW</w:t>
            </w:r>
          </w:p>
        </w:tc>
      </w:tr>
      <w:tr w:rsidR="00EA591F" w:rsidRPr="009F5236" w14:paraId="2FECDF9B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0575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Varantysis tiltas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137F" w14:textId="77777777" w:rsidR="00EA591F" w:rsidRPr="009F5236" w:rsidRDefault="002A730A" w:rsidP="002A730A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</w:t>
            </w:r>
            <w:r w:rsidR="00EA591F" w:rsidRPr="009F5236">
              <w:rPr>
                <w:rFonts w:eastAsia="Times New Roman" w:cs="Times New Roman"/>
                <w:lang w:eastAsia="lt-LT"/>
              </w:rPr>
              <w:t xml:space="preserve">isų ratų pavara </w:t>
            </w:r>
            <w:r w:rsidR="00C003D2">
              <w:rPr>
                <w:rFonts w:eastAsia="Times New Roman" w:cs="Times New Roman"/>
                <w:lang w:eastAsia="lt-LT"/>
              </w:rPr>
              <w:t xml:space="preserve"> (4x4)</w:t>
            </w:r>
          </w:p>
        </w:tc>
      </w:tr>
      <w:tr w:rsidR="00EA591F" w:rsidRPr="009F5236" w14:paraId="04E515B9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0970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Pavarų dėžės tipas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D625" w14:textId="75F7F777" w:rsidR="00EA591F" w:rsidRPr="009F5236" w:rsidRDefault="008E1F3B" w:rsidP="00C003D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A</w:t>
            </w:r>
            <w:r w:rsidR="00166BF4">
              <w:rPr>
                <w:rFonts w:eastAsia="Times New Roman" w:cs="Times New Roman"/>
                <w:lang w:eastAsia="lt-LT"/>
              </w:rPr>
              <w:t>utomatinė</w:t>
            </w:r>
            <w:r w:rsidR="00EA591F" w:rsidRPr="009F5236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EA591F" w:rsidRPr="009F5236" w14:paraId="119A774F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0A3C" w14:textId="77777777" w:rsidR="00EA591F" w:rsidRPr="009F5236" w:rsidRDefault="004D483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Degalų</w:t>
            </w:r>
            <w:r w:rsidR="00EA591F" w:rsidRPr="009F5236">
              <w:rPr>
                <w:rFonts w:eastAsia="Times New Roman" w:cs="Times New Roman"/>
                <w:lang w:eastAsia="lt-LT"/>
              </w:rPr>
              <w:t xml:space="preserve"> tipas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8A33" w14:textId="26D59983" w:rsidR="00EA591F" w:rsidRPr="009F5236" w:rsidRDefault="00DF3451" w:rsidP="008355D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Hibridas (b</w:t>
            </w:r>
            <w:r w:rsidR="00944765" w:rsidRPr="009F5236">
              <w:rPr>
                <w:rFonts w:cs="Times New Roman"/>
                <w:lang w:eastAsia="lt-LT"/>
              </w:rPr>
              <w:t>enzinas</w:t>
            </w:r>
            <w:r w:rsidR="00FD26DB">
              <w:rPr>
                <w:rFonts w:cs="Times New Roman"/>
                <w:lang w:eastAsia="lt-LT"/>
              </w:rPr>
              <w:t>/elektra</w:t>
            </w:r>
            <w:r>
              <w:rPr>
                <w:rFonts w:cs="Times New Roman"/>
                <w:lang w:eastAsia="lt-LT"/>
              </w:rPr>
              <w:t>)</w:t>
            </w:r>
          </w:p>
        </w:tc>
      </w:tr>
      <w:tr w:rsidR="004D483D" w:rsidRPr="009F5236" w14:paraId="019A1E66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CEB0" w14:textId="77777777" w:rsidR="004D483D" w:rsidRPr="009F5236" w:rsidRDefault="004D483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Vidutinės degalų sąnaudos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098" w14:textId="3C66A573" w:rsidR="004D483D" w:rsidRPr="009F5236" w:rsidRDefault="004D483D" w:rsidP="00B376FD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Ne daugiau </w:t>
            </w:r>
            <w:r w:rsidR="006B5C7F">
              <w:rPr>
                <w:rFonts w:eastAsia="Times New Roman" w:cs="Times New Roman"/>
                <w:lang w:eastAsia="lt-LT"/>
              </w:rPr>
              <w:t xml:space="preserve">kaip </w:t>
            </w:r>
            <w:r w:rsidR="008E1F3B">
              <w:rPr>
                <w:rFonts w:eastAsia="Times New Roman" w:cs="Times New Roman"/>
                <w:lang w:eastAsia="lt-LT"/>
              </w:rPr>
              <w:t>6</w:t>
            </w:r>
            <w:r w:rsidRPr="009F5236">
              <w:rPr>
                <w:rFonts w:eastAsia="Times New Roman" w:cs="Times New Roman"/>
                <w:lang w:eastAsia="lt-LT"/>
              </w:rPr>
              <w:t xml:space="preserve"> l/100 km</w:t>
            </w:r>
          </w:p>
        </w:tc>
      </w:tr>
      <w:tr w:rsidR="00EA591F" w:rsidRPr="009F5236" w14:paraId="49F0187D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E71B" w14:textId="77777777" w:rsidR="00EA591F" w:rsidRPr="009F5236" w:rsidRDefault="0047014D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Sėdimos vietos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A532" w14:textId="77777777" w:rsidR="00EA591F" w:rsidRPr="009F5236" w:rsidRDefault="002A730A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5</w:t>
            </w:r>
          </w:p>
        </w:tc>
      </w:tr>
      <w:tr w:rsidR="00EA591F" w:rsidRPr="009F5236" w14:paraId="21370544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40C7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Saugos diržai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C77E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Vairuotojo ir visoms keleivių vietoms</w:t>
            </w:r>
          </w:p>
        </w:tc>
      </w:tr>
      <w:tr w:rsidR="00EA591F" w:rsidRPr="009F5236" w14:paraId="0D746105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C909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Galvos atramos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51C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Vairuotojo ir visoms keleivių vietoms</w:t>
            </w:r>
          </w:p>
        </w:tc>
      </w:tr>
      <w:tr w:rsidR="00EA591F" w:rsidRPr="009F5236" w14:paraId="03ADBACD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BB3B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Oro pagalvės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AC09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Vairuotojo ir keleivio oro saugos pagalvės</w:t>
            </w:r>
            <w:r w:rsidR="002A730A" w:rsidRPr="009F5236">
              <w:rPr>
                <w:rFonts w:eastAsia="Times New Roman" w:cs="Times New Roman"/>
                <w:lang w:eastAsia="lt-LT"/>
              </w:rPr>
              <w:t>, šoninės oro pagalvės</w:t>
            </w:r>
          </w:p>
        </w:tc>
      </w:tr>
      <w:tr w:rsidR="00EA591F" w:rsidRPr="009F5236" w14:paraId="1E17C61F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02AB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Automobilio valdymo saugumo sistemos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8FB2" w14:textId="77777777" w:rsidR="00F14E8B" w:rsidRDefault="00C003D2" w:rsidP="00420784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Vairo</w:t>
            </w:r>
            <w:r w:rsidR="00F33A6B" w:rsidRPr="009F5236">
              <w:rPr>
                <w:rFonts w:eastAsia="Times New Roman" w:cs="Times New Roman"/>
                <w:lang w:eastAsia="lt-LT"/>
              </w:rPr>
              <w:t xml:space="preserve"> stiprintuvas, </w:t>
            </w:r>
          </w:p>
          <w:p w14:paraId="58473CCD" w14:textId="14AB2294" w:rsidR="00420784" w:rsidRPr="009F5236" w:rsidRDefault="00420784" w:rsidP="00420784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ABS (stabdžių antiblokavimo sistema) </w:t>
            </w:r>
          </w:p>
          <w:p w14:paraId="1CCAED22" w14:textId="4ACA443C" w:rsidR="00F14E8B" w:rsidRDefault="00F14E8B" w:rsidP="00BB11FB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A</w:t>
            </w:r>
            <w:r w:rsidR="00420784" w:rsidRPr="009F5236">
              <w:rPr>
                <w:rFonts w:eastAsia="Times New Roman" w:cs="Times New Roman"/>
                <w:lang w:eastAsia="lt-LT"/>
              </w:rPr>
              <w:t>varinio stabdymo sistema</w:t>
            </w:r>
          </w:p>
          <w:p w14:paraId="17A23508" w14:textId="2AD4ECB2" w:rsidR="00F14E8B" w:rsidRDefault="00F14E8B" w:rsidP="00BB11FB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L</w:t>
            </w:r>
            <w:r w:rsidR="00420784" w:rsidRPr="009F5236">
              <w:rPr>
                <w:rFonts w:eastAsia="Times New Roman" w:cs="Times New Roman"/>
                <w:lang w:eastAsia="lt-LT"/>
              </w:rPr>
              <w:t>aisvų rankų įranga</w:t>
            </w:r>
          </w:p>
          <w:p w14:paraId="4EEDA981" w14:textId="77777777" w:rsidR="00F14E8B" w:rsidRDefault="00F14E8B" w:rsidP="00BB11FB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G</w:t>
            </w:r>
            <w:r w:rsidR="00BB11FB">
              <w:rPr>
                <w:rFonts w:eastAsia="Times New Roman" w:cs="Times New Roman"/>
                <w:lang w:eastAsia="lt-LT"/>
              </w:rPr>
              <w:t>amykliniai galiniai</w:t>
            </w:r>
            <w:r w:rsidR="00420784" w:rsidRPr="009F5236">
              <w:rPr>
                <w:rFonts w:eastAsia="Times New Roman" w:cs="Times New Roman"/>
                <w:lang w:eastAsia="lt-LT"/>
              </w:rPr>
              <w:t xml:space="preserve"> atstumo jutikliai arba </w:t>
            </w:r>
            <w:r w:rsidR="00535E91">
              <w:rPr>
                <w:rFonts w:eastAsia="Times New Roman" w:cs="Times New Roman"/>
                <w:lang w:eastAsia="lt-LT"/>
              </w:rPr>
              <w:t>galinio vaizdo</w:t>
            </w:r>
            <w:r w:rsidR="00420784" w:rsidRPr="009F5236">
              <w:rPr>
                <w:rFonts w:eastAsia="Times New Roman" w:cs="Times New Roman"/>
                <w:lang w:eastAsia="lt-LT"/>
              </w:rPr>
              <w:t xml:space="preserve"> kamera</w:t>
            </w:r>
          </w:p>
          <w:p w14:paraId="3FF466C7" w14:textId="5A41D49A" w:rsidR="00EA591F" w:rsidRPr="009F5236" w:rsidRDefault="00EA591F" w:rsidP="00BB11FB">
            <w:pPr>
              <w:tabs>
                <w:tab w:val="left" w:pos="2280"/>
              </w:tabs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</w:tr>
      <w:tr w:rsidR="00EA591F" w:rsidRPr="009F5236" w14:paraId="07C68EB6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756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Rūko žibintai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FA13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Priekiniai rūko žibintai ir galinis rūko žibintas</w:t>
            </w:r>
          </w:p>
        </w:tc>
      </w:tr>
      <w:tr w:rsidR="00EA591F" w:rsidRPr="009F5236" w14:paraId="1C01EE48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8D7E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Audiosistema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0F84" w14:textId="77777777" w:rsidR="00EA591F" w:rsidRPr="009F5236" w:rsidRDefault="000525DA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Gamyklinė audiosistema</w:t>
            </w:r>
          </w:p>
        </w:tc>
      </w:tr>
      <w:tr w:rsidR="00EA591F" w:rsidRPr="009F5236" w14:paraId="0A8E3359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03E5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Veidrodėliai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2375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Elektra valdomi galinio vaizdo šoniniai veidrodėliai</w:t>
            </w:r>
          </w:p>
        </w:tc>
      </w:tr>
      <w:tr w:rsidR="00EA591F" w:rsidRPr="009F5236" w14:paraId="67460475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89EB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Salono šildymas ir vėdinimas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B2C5" w14:textId="77777777" w:rsidR="00EA591F" w:rsidRPr="009F5236" w:rsidRDefault="007F31FD" w:rsidP="000B126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Kondicionierius</w:t>
            </w:r>
            <w:r w:rsidR="001F382A" w:rsidRPr="009F5236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EA591F" w:rsidRPr="009F5236" w14:paraId="58EFFD3F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F4FE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Užraktas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6ABF" w14:textId="77777777" w:rsidR="00EA591F" w:rsidRPr="009F5236" w:rsidRDefault="00EA591F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Centrinis visų durelių užraktas su nuotoliniu valdymu</w:t>
            </w:r>
          </w:p>
        </w:tc>
      </w:tr>
      <w:tr w:rsidR="00730CC8" w:rsidRPr="009F5236" w14:paraId="0FB3F528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7602" w14:textId="77777777" w:rsidR="00730CC8" w:rsidRPr="009F5236" w:rsidRDefault="00730CC8" w:rsidP="005C0D1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Ratlankiai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302D" w14:textId="77777777" w:rsidR="00730CC8" w:rsidRPr="009F5236" w:rsidRDefault="00B376FD" w:rsidP="00F928C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Ne </w:t>
            </w:r>
            <w:r w:rsidR="00C86AFF" w:rsidRPr="009F5236">
              <w:rPr>
                <w:rFonts w:eastAsia="Times New Roman" w:cs="Times New Roman"/>
                <w:lang w:eastAsia="lt-LT"/>
              </w:rPr>
              <w:t xml:space="preserve">mažesni kaip 16 colių. </w:t>
            </w:r>
            <w:r w:rsidR="00730CC8" w:rsidRPr="009F5236">
              <w:rPr>
                <w:rFonts w:eastAsia="Times New Roman" w:cs="Times New Roman"/>
                <w:lang w:eastAsia="lt-LT"/>
              </w:rPr>
              <w:t xml:space="preserve">Lengvo lydinio </w:t>
            </w:r>
            <w:r w:rsidR="00F928CF" w:rsidRPr="009F5236">
              <w:rPr>
                <w:rFonts w:eastAsia="Times New Roman" w:cs="Times New Roman"/>
                <w:lang w:eastAsia="lt-LT"/>
              </w:rPr>
              <w:t>ratlankiai</w:t>
            </w:r>
            <w:r w:rsidR="00C86AFF" w:rsidRPr="009F5236"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730CC8" w:rsidRPr="009F5236" w14:paraId="04EF510A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CBF6" w14:textId="77777777" w:rsidR="00730CC8" w:rsidRPr="009F5236" w:rsidRDefault="00730CC8" w:rsidP="005C0D1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Kilimėliai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5A55" w14:textId="6CDF13AC" w:rsidR="00730CC8" w:rsidRPr="009F5236" w:rsidRDefault="00F14E8B" w:rsidP="005C0D1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T</w:t>
            </w:r>
            <w:r w:rsidRPr="00985494">
              <w:rPr>
                <w:rFonts w:eastAsia="Times New Roman" w:cs="Times New Roman"/>
                <w:lang w:eastAsia="lt-LT"/>
              </w:rPr>
              <w:t>ekstilini</w:t>
            </w:r>
            <w:r>
              <w:rPr>
                <w:rFonts w:eastAsia="Times New Roman" w:cs="Times New Roman"/>
                <w:lang w:eastAsia="lt-LT"/>
              </w:rPr>
              <w:t>ų</w:t>
            </w:r>
            <w:r w:rsidRPr="00985494">
              <w:rPr>
                <w:rFonts w:eastAsia="Times New Roman" w:cs="Times New Roman"/>
                <w:lang w:eastAsia="lt-LT"/>
              </w:rPr>
              <w:t xml:space="preserve"> ir gumini</w:t>
            </w:r>
            <w:r>
              <w:rPr>
                <w:rFonts w:eastAsia="Times New Roman" w:cs="Times New Roman"/>
                <w:lang w:eastAsia="lt-LT"/>
              </w:rPr>
              <w:t>ų</w:t>
            </w:r>
            <w:r w:rsidRPr="00985494">
              <w:rPr>
                <w:rFonts w:eastAsia="Times New Roman" w:cs="Times New Roman"/>
                <w:lang w:eastAsia="lt-LT"/>
              </w:rPr>
              <w:t xml:space="preserve"> kilimėli</w:t>
            </w:r>
            <w:r>
              <w:rPr>
                <w:rFonts w:eastAsia="Times New Roman" w:cs="Times New Roman"/>
                <w:lang w:eastAsia="lt-LT"/>
              </w:rPr>
              <w:t>ų komplektai</w:t>
            </w:r>
            <w:r w:rsidRPr="00985494">
              <w:rPr>
                <w:rFonts w:eastAsia="Times New Roman" w:cs="Times New Roman"/>
                <w:lang w:eastAsia="lt-LT"/>
              </w:rPr>
              <w:t xml:space="preserve">, </w:t>
            </w:r>
            <w:r>
              <w:rPr>
                <w:rFonts w:eastAsia="Times New Roman" w:cs="Times New Roman"/>
                <w:lang w:eastAsia="lt-LT"/>
              </w:rPr>
              <w:t>p</w:t>
            </w:r>
            <w:r w:rsidR="00816E8D" w:rsidRPr="009F5236">
              <w:rPr>
                <w:rFonts w:eastAsia="Times New Roman" w:cs="Times New Roman"/>
                <w:lang w:eastAsia="lt-LT"/>
              </w:rPr>
              <w:t>o vairuotojo ir visų keleivių kojomis</w:t>
            </w:r>
          </w:p>
        </w:tc>
      </w:tr>
      <w:tr w:rsidR="00730CC8" w:rsidRPr="009F5236" w14:paraId="5D682DB3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9E28" w14:textId="77777777" w:rsidR="00730CC8" w:rsidRPr="009F5236" w:rsidRDefault="00730CC8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Minimalūs aplinkos apsaugos kriterijai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6736" w14:textId="6174A2A3" w:rsidR="00730CC8" w:rsidRPr="009F5236" w:rsidRDefault="00BB11FB" w:rsidP="002A730A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E2240">
              <w:rPr>
                <w:rFonts w:eastAsia="Times New Roman" w:cstheme="minorHAnsi"/>
                <w:lang w:eastAsia="lt-LT"/>
              </w:rPr>
              <w:t xml:space="preserve">Transporto priemonė turi atitikti </w:t>
            </w:r>
            <w:r>
              <w:rPr>
                <w:rFonts w:eastAsia="Times New Roman" w:cstheme="minorHAnsi"/>
                <w:lang w:eastAsia="lt-LT"/>
              </w:rPr>
              <w:t xml:space="preserve">ne </w:t>
            </w:r>
            <w:r w:rsidR="00982AB4">
              <w:rPr>
                <w:rFonts w:eastAsia="Times New Roman" w:cstheme="minorHAnsi"/>
                <w:lang w:eastAsia="lt-LT"/>
              </w:rPr>
              <w:t>žem</w:t>
            </w:r>
            <w:r>
              <w:rPr>
                <w:rFonts w:eastAsia="Times New Roman" w:cstheme="minorHAnsi"/>
                <w:lang w:eastAsia="lt-LT"/>
              </w:rPr>
              <w:t xml:space="preserve">esnį kaip </w:t>
            </w:r>
            <w:r w:rsidRPr="000E2240">
              <w:rPr>
                <w:rFonts w:eastAsia="Times New Roman" w:cstheme="minorHAnsi"/>
                <w:lang w:eastAsia="lt-LT"/>
              </w:rPr>
              <w:t>EURO 6 standartą</w:t>
            </w:r>
            <w:r w:rsidR="00555CFE">
              <w:rPr>
                <w:rFonts w:eastAsia="Times New Roman" w:cstheme="minorHAnsi"/>
                <w:lang w:eastAsia="lt-LT"/>
              </w:rPr>
              <w:t xml:space="preserve"> arba lygiavertį.</w:t>
            </w:r>
          </w:p>
        </w:tc>
      </w:tr>
      <w:tr w:rsidR="00730CC8" w:rsidRPr="009F5236" w14:paraId="7791AD97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F276" w14:textId="77777777" w:rsidR="00730CC8" w:rsidRPr="009F5236" w:rsidRDefault="00730CC8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Automobilio komplektacija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5124" w14:textId="77777777" w:rsidR="004F7337" w:rsidRDefault="00730CC8" w:rsidP="00317D64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Automobilis privalo būti taip sukomplektuotas, kad jį būtų galima be papildomų priemonių eksploatuoti Lietuvos Respublikoje. </w:t>
            </w:r>
            <w:r w:rsidR="004F7337" w:rsidRPr="004F7337">
              <w:rPr>
                <w:rFonts w:eastAsia="Times New Roman" w:cs="Times New Roman"/>
                <w:lang w:eastAsia="lt-LT"/>
              </w:rPr>
              <w:t>Komplektacija negali būti mažesnė (dirbtinai sumažinta, iškomplektuota), negu numatyta standartinė gamintojo įranga ir privaloma Lietuvoje, vadovaujantis ES nuostatomis. Automobilis turi būti paruoštas eksploatuoti Šiaurės Europos sąlygomis.</w:t>
            </w:r>
          </w:p>
          <w:p w14:paraId="6DBF1217" w14:textId="1285FF83" w:rsidR="004C6186" w:rsidRDefault="00730CC8" w:rsidP="00317D64">
            <w:pPr>
              <w:spacing w:after="0" w:line="240" w:lineRule="auto"/>
              <w:jc w:val="both"/>
            </w:pPr>
            <w:r w:rsidRPr="009F5236">
              <w:rPr>
                <w:rFonts w:eastAsia="Times New Roman" w:cs="Times New Roman"/>
                <w:lang w:eastAsia="lt-LT"/>
              </w:rPr>
              <w:lastRenderedPageBreak/>
              <w:t>Kartu su automobiliu turi būti pateikiam</w:t>
            </w:r>
            <w:r w:rsidR="004F7337">
              <w:rPr>
                <w:rFonts w:eastAsia="Times New Roman" w:cs="Times New Roman"/>
                <w:lang w:eastAsia="lt-LT"/>
              </w:rPr>
              <w:t>i</w:t>
            </w:r>
            <w:r w:rsidR="004C6186">
              <w:rPr>
                <w:rFonts w:eastAsia="Times New Roman" w:cs="Times New Roman"/>
                <w:lang w:eastAsia="lt-LT"/>
              </w:rPr>
              <w:t>:</w:t>
            </w:r>
            <w:r w:rsidR="004F7337">
              <w:t xml:space="preserve"> </w:t>
            </w:r>
          </w:p>
          <w:p w14:paraId="6DB98C8F" w14:textId="2B537FF0" w:rsidR="006E16BF" w:rsidRPr="00492AFD" w:rsidRDefault="004C6186" w:rsidP="006E16BF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t xml:space="preserve">- </w:t>
            </w:r>
            <w:r w:rsidR="004F7337" w:rsidRPr="004F7337">
              <w:rPr>
                <w:rFonts w:eastAsia="Times New Roman" w:cs="Times New Roman"/>
                <w:lang w:eastAsia="lt-LT"/>
              </w:rPr>
              <w:t>teisės aktais nustatytus reikalavimus atitinkant</w:t>
            </w:r>
            <w:r w:rsidR="004F7337">
              <w:rPr>
                <w:rFonts w:eastAsia="Times New Roman" w:cs="Times New Roman"/>
                <w:lang w:eastAsia="lt-LT"/>
              </w:rPr>
              <w:t>y</w:t>
            </w:r>
            <w:r w:rsidR="004F7337" w:rsidRPr="004F7337">
              <w:rPr>
                <w:rFonts w:eastAsia="Times New Roman" w:cs="Times New Roman"/>
                <w:lang w:eastAsia="lt-LT"/>
              </w:rPr>
              <w:t>s</w:t>
            </w:r>
            <w:r w:rsidR="00492AFD">
              <w:rPr>
                <w:rFonts w:eastAsia="Times New Roman" w:cs="Times New Roman"/>
                <w:lang w:eastAsia="lt-LT"/>
              </w:rPr>
              <w:t xml:space="preserve">: </w:t>
            </w:r>
            <w:r w:rsidR="00730CC8" w:rsidRPr="009F5236">
              <w:rPr>
                <w:rFonts w:eastAsia="Times New Roman" w:cs="Times New Roman"/>
                <w:lang w:eastAsia="lt-LT"/>
              </w:rPr>
              <w:t>gesintuvas</w:t>
            </w:r>
            <w:r w:rsidR="00492AFD">
              <w:rPr>
                <w:rFonts w:eastAsia="Times New Roman" w:cs="Times New Roman"/>
                <w:lang w:eastAsia="lt-LT"/>
              </w:rPr>
              <w:t xml:space="preserve">, </w:t>
            </w:r>
            <w:r w:rsidR="00730CC8" w:rsidRPr="009F5236">
              <w:rPr>
                <w:rFonts w:eastAsia="Times New Roman" w:cs="Times New Roman"/>
                <w:lang w:eastAsia="lt-LT"/>
              </w:rPr>
              <w:t>pirmosios pagalbos rinkinys</w:t>
            </w:r>
            <w:r w:rsidR="00492AFD">
              <w:rPr>
                <w:rFonts w:eastAsia="Times New Roman" w:cs="Times New Roman"/>
                <w:lang w:eastAsia="lt-LT"/>
              </w:rPr>
              <w:t>,</w:t>
            </w:r>
            <w:r w:rsidR="00730CC8" w:rsidRPr="009F5236">
              <w:rPr>
                <w:rFonts w:eastAsia="Times New Roman" w:cs="Times New Roman"/>
                <w:lang w:eastAsia="lt-LT"/>
              </w:rPr>
              <w:t xml:space="preserve"> avarinio sustojimo ženklas</w:t>
            </w:r>
            <w:r w:rsidR="00492AFD">
              <w:rPr>
                <w:rFonts w:eastAsia="Times New Roman" w:cs="Times New Roman"/>
                <w:lang w:eastAsia="lt-LT"/>
              </w:rPr>
              <w:t>,</w:t>
            </w:r>
            <w:r w:rsidR="00730CC8" w:rsidRPr="009F5236">
              <w:rPr>
                <w:rFonts w:eastAsia="Times New Roman" w:cs="Times New Roman"/>
                <w:lang w:eastAsia="lt-LT"/>
              </w:rPr>
              <w:t xml:space="preserve"> liemenė su šviesą atspindinčiais elementais</w:t>
            </w:r>
            <w:r w:rsidR="006E16BF">
              <w:rPr>
                <w:rFonts w:eastAsia="Times New Roman" w:cs="Times New Roman"/>
                <w:lang w:eastAsia="lt-LT"/>
              </w:rPr>
              <w:t>;</w:t>
            </w:r>
          </w:p>
          <w:p w14:paraId="66B157F5" w14:textId="0C9F1940" w:rsidR="006E16BF" w:rsidRDefault="006E16BF" w:rsidP="006E16BF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 xml:space="preserve">- </w:t>
            </w:r>
            <w:r w:rsidR="009B2074" w:rsidRPr="009F5236">
              <w:rPr>
                <w:rFonts w:eastAsia="Times New Roman" w:cs="Times New Roman"/>
                <w:lang w:eastAsia="lt-LT"/>
              </w:rPr>
              <w:t>žieminių</w:t>
            </w:r>
            <w:r>
              <w:rPr>
                <w:rFonts w:eastAsia="Times New Roman" w:cs="Times New Roman"/>
                <w:lang w:eastAsia="lt-LT"/>
              </w:rPr>
              <w:t xml:space="preserve"> ir </w:t>
            </w:r>
            <w:r w:rsidR="00317D64">
              <w:rPr>
                <w:rFonts w:eastAsia="Times New Roman" w:cs="Times New Roman"/>
                <w:lang w:eastAsia="lt-LT"/>
              </w:rPr>
              <w:t>vasarinių*</w:t>
            </w:r>
            <w:r w:rsidR="009B2074" w:rsidRPr="009F5236">
              <w:rPr>
                <w:rFonts w:eastAsia="Times New Roman" w:cs="Times New Roman"/>
                <w:lang w:eastAsia="lt-LT"/>
              </w:rPr>
              <w:t xml:space="preserve"> </w:t>
            </w:r>
            <w:r w:rsidRPr="006E16BF">
              <w:rPr>
                <w:rFonts w:eastAsia="Times New Roman" w:cs="Times New Roman"/>
                <w:lang w:eastAsia="lt-LT"/>
              </w:rPr>
              <w:t>padangų</w:t>
            </w:r>
            <w:r w:rsidR="00F03D64">
              <w:rPr>
                <w:rFonts w:eastAsia="Times New Roman" w:cs="Times New Roman"/>
                <w:lang w:eastAsia="lt-LT"/>
              </w:rPr>
              <w:t xml:space="preserve"> </w:t>
            </w:r>
            <w:r w:rsidRPr="006E16BF">
              <w:rPr>
                <w:rFonts w:eastAsia="Times New Roman" w:cs="Times New Roman"/>
                <w:lang w:eastAsia="lt-LT"/>
              </w:rPr>
              <w:t>komplekta</w:t>
            </w:r>
            <w:r>
              <w:rPr>
                <w:rFonts w:eastAsia="Times New Roman" w:cs="Times New Roman"/>
                <w:lang w:eastAsia="lt-LT"/>
              </w:rPr>
              <w:t>i</w:t>
            </w:r>
            <w:r w:rsidR="00F107B0">
              <w:rPr>
                <w:rFonts w:eastAsia="Times New Roman" w:cs="Times New Roman"/>
                <w:lang w:eastAsia="lt-LT"/>
              </w:rPr>
              <w:t>. Vienas iš jų turi būti sumontuotas ant automobilio su nemažesniais nei R16 lengvo lydinio ratlankiais</w:t>
            </w:r>
            <w:r>
              <w:rPr>
                <w:rFonts w:eastAsia="Times New Roman" w:cs="Times New Roman"/>
                <w:lang w:eastAsia="lt-LT"/>
              </w:rPr>
              <w:t>;</w:t>
            </w:r>
          </w:p>
          <w:p w14:paraId="0FDB9FE4" w14:textId="304E4919" w:rsidR="00492AFD" w:rsidRPr="009F5236" w:rsidRDefault="006E16BF" w:rsidP="006E16BF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 xml:space="preserve">- </w:t>
            </w:r>
            <w:r w:rsidR="00317D64">
              <w:rPr>
                <w:rFonts w:eastAsia="Times New Roman" w:cs="Times New Roman"/>
                <w:lang w:eastAsia="lt-LT"/>
              </w:rPr>
              <w:t xml:space="preserve"> </w:t>
            </w:r>
            <w:r w:rsidRPr="006E16BF">
              <w:rPr>
                <w:rFonts w:eastAsia="Times New Roman" w:cs="Times New Roman"/>
                <w:lang w:eastAsia="lt-LT"/>
              </w:rPr>
              <w:t xml:space="preserve">atsarginis normalaus dydžio arba vietą taupantis ratas bei </w:t>
            </w:r>
            <w:r>
              <w:rPr>
                <w:rFonts w:eastAsia="Times New Roman" w:cs="Times New Roman"/>
                <w:lang w:eastAsia="lt-LT"/>
              </w:rPr>
              <w:t xml:space="preserve">priemonės </w:t>
            </w:r>
            <w:r w:rsidR="00317D64">
              <w:rPr>
                <w:rFonts w:eastAsia="Times New Roman" w:cs="Times New Roman"/>
                <w:lang w:eastAsia="lt-LT"/>
              </w:rPr>
              <w:t>rato pakeitimui</w:t>
            </w:r>
            <w:r w:rsidR="00C86AD7"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730CC8" w:rsidRPr="009F5236" w14:paraId="2A3D731F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69CD" w14:textId="77777777" w:rsidR="00730CC8" w:rsidRPr="009F5236" w:rsidRDefault="00730CC8" w:rsidP="00EA591F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lastRenderedPageBreak/>
              <w:t>Garantija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D999" w14:textId="4F8C9932" w:rsidR="00B72FDF" w:rsidRDefault="00730CC8" w:rsidP="00D22620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 xml:space="preserve">Ne mažiau kaip </w:t>
            </w:r>
            <w:r w:rsidR="0078453E" w:rsidRPr="0078453E">
              <w:rPr>
                <w:rFonts w:eastAsia="Times New Roman" w:cs="Times New Roman"/>
                <w:lang w:eastAsia="lt-LT"/>
              </w:rPr>
              <w:t>36</w:t>
            </w:r>
            <w:r w:rsidR="003B16DA" w:rsidRPr="009F5236">
              <w:rPr>
                <w:rFonts w:eastAsia="Times New Roman" w:cs="Times New Roman"/>
                <w:lang w:eastAsia="lt-LT"/>
              </w:rPr>
              <w:t xml:space="preserve"> mėnes</w:t>
            </w:r>
            <w:r w:rsidR="00317D64">
              <w:rPr>
                <w:rFonts w:eastAsia="Times New Roman" w:cs="Times New Roman"/>
                <w:lang w:eastAsia="lt-LT"/>
              </w:rPr>
              <w:t>ių</w:t>
            </w:r>
            <w:r w:rsidR="003B16DA" w:rsidRPr="009F5236">
              <w:rPr>
                <w:rFonts w:eastAsia="Times New Roman" w:cs="Times New Roman"/>
                <w:lang w:eastAsia="lt-LT"/>
              </w:rPr>
              <w:t xml:space="preserve"> ar</w:t>
            </w:r>
            <w:r w:rsidR="002450E8">
              <w:rPr>
                <w:rFonts w:eastAsia="Times New Roman" w:cs="Times New Roman"/>
                <w:lang w:eastAsia="lt-LT"/>
              </w:rPr>
              <w:t>ba</w:t>
            </w:r>
            <w:r w:rsidR="003B16DA" w:rsidRPr="009F5236">
              <w:rPr>
                <w:rFonts w:eastAsia="Times New Roman" w:cs="Times New Roman"/>
                <w:lang w:eastAsia="lt-LT"/>
              </w:rPr>
              <w:t xml:space="preserve"> 10</w:t>
            </w:r>
            <w:r w:rsidRPr="009F5236">
              <w:rPr>
                <w:rFonts w:eastAsia="Times New Roman" w:cs="Times New Roman"/>
                <w:lang w:eastAsia="lt-LT"/>
              </w:rPr>
              <w:t>0 tūkst. km ridos</w:t>
            </w:r>
            <w:r w:rsidR="00D22620">
              <w:rPr>
                <w:rFonts w:eastAsia="Times New Roman" w:cs="Times New Roman"/>
                <w:lang w:eastAsia="lt-LT"/>
              </w:rPr>
              <w:t>.</w:t>
            </w:r>
            <w:r w:rsidR="00555CFE">
              <w:rPr>
                <w:rFonts w:eastAsia="Times New Roman" w:cs="Times New Roman"/>
                <w:lang w:eastAsia="lt-LT"/>
              </w:rPr>
              <w:t xml:space="preserve"> </w:t>
            </w:r>
            <w:r w:rsidR="00B72FDF" w:rsidRPr="00B72FDF">
              <w:rPr>
                <w:rFonts w:eastAsia="Times New Roman" w:cs="Times New Roman"/>
                <w:lang w:eastAsia="lt-LT"/>
              </w:rPr>
              <w:t>Tiekėjas</w:t>
            </w:r>
            <w:r w:rsidR="00BC038F">
              <w:rPr>
                <w:rFonts w:eastAsia="Times New Roman" w:cs="Times New Roman"/>
                <w:lang w:eastAsia="lt-LT"/>
              </w:rPr>
              <w:t xml:space="preserve"> </w:t>
            </w:r>
            <w:r w:rsidR="00B72FDF" w:rsidRPr="00B72FDF">
              <w:rPr>
                <w:rFonts w:eastAsia="Times New Roman" w:cs="Times New Roman"/>
                <w:lang w:eastAsia="lt-LT"/>
              </w:rPr>
              <w:t xml:space="preserve">privalo užtikrinti </w:t>
            </w:r>
            <w:r w:rsidR="00EE2A45">
              <w:rPr>
                <w:rFonts w:eastAsia="Times New Roman" w:cs="Times New Roman"/>
                <w:lang w:eastAsia="lt-LT"/>
              </w:rPr>
              <w:t xml:space="preserve">automobilio </w:t>
            </w:r>
            <w:r w:rsidR="00BC038F" w:rsidRPr="00BC038F">
              <w:rPr>
                <w:rFonts w:eastAsia="Times New Roman" w:cs="Times New Roman"/>
                <w:lang w:eastAsia="lt-LT"/>
              </w:rPr>
              <w:t xml:space="preserve">garantinio remonto </w:t>
            </w:r>
            <w:r w:rsidR="00EE2A45">
              <w:rPr>
                <w:rFonts w:eastAsia="Times New Roman" w:cs="Times New Roman"/>
                <w:lang w:eastAsia="lt-LT"/>
              </w:rPr>
              <w:t xml:space="preserve">ir </w:t>
            </w:r>
            <w:r w:rsidR="00B72FDF" w:rsidRPr="00B72FDF">
              <w:rPr>
                <w:rFonts w:eastAsia="Times New Roman" w:cs="Times New Roman"/>
                <w:lang w:eastAsia="lt-LT"/>
              </w:rPr>
              <w:t>eksploatacinės automobilio gamintojo numatytos techninės priežiūros</w:t>
            </w:r>
            <w:r w:rsidR="00777F13">
              <w:rPr>
                <w:rFonts w:eastAsia="Times New Roman" w:cs="Times New Roman"/>
                <w:lang w:eastAsia="lt-LT"/>
              </w:rPr>
              <w:t xml:space="preserve"> </w:t>
            </w:r>
            <w:r w:rsidR="00B72FDF" w:rsidRPr="00B72FDF">
              <w:rPr>
                <w:rFonts w:eastAsia="Times New Roman" w:cs="Times New Roman"/>
                <w:lang w:eastAsia="lt-LT"/>
              </w:rPr>
              <w:t xml:space="preserve">atlikimą </w:t>
            </w:r>
            <w:r w:rsidR="00613C4E" w:rsidRPr="00613C4E">
              <w:rPr>
                <w:rFonts w:eastAsia="Times New Roman" w:cs="Times New Roman"/>
                <w:lang w:eastAsia="lt-LT"/>
              </w:rPr>
              <w:t>autorizuotame gamintojo servise</w:t>
            </w:r>
            <w:r w:rsidR="00B72FDF" w:rsidRPr="00B72FDF">
              <w:rPr>
                <w:rFonts w:eastAsia="Times New Roman" w:cs="Times New Roman"/>
                <w:lang w:eastAsia="lt-LT"/>
              </w:rPr>
              <w:t>.</w:t>
            </w:r>
            <w:r w:rsidR="007560DC">
              <w:rPr>
                <w:rFonts w:eastAsia="Times New Roman" w:cs="Times New Roman"/>
                <w:lang w:eastAsia="lt-LT"/>
              </w:rPr>
              <w:t xml:space="preserve"> Automobilių</w:t>
            </w:r>
            <w:r w:rsidR="00B72FDF" w:rsidRPr="00B72FDF">
              <w:rPr>
                <w:rFonts w:eastAsia="Times New Roman" w:cs="Times New Roman"/>
                <w:lang w:eastAsia="lt-LT"/>
              </w:rPr>
              <w:t xml:space="preserve"> technin</w:t>
            </w:r>
            <w:r w:rsidR="007560DC">
              <w:rPr>
                <w:rFonts w:eastAsia="Times New Roman" w:cs="Times New Roman"/>
                <w:lang w:eastAsia="lt-LT"/>
              </w:rPr>
              <w:t>į</w:t>
            </w:r>
            <w:r w:rsidR="00B72FDF" w:rsidRPr="00B72FDF">
              <w:rPr>
                <w:rFonts w:eastAsia="Times New Roman" w:cs="Times New Roman"/>
                <w:lang w:eastAsia="lt-LT"/>
              </w:rPr>
              <w:t xml:space="preserve"> aptarnavim</w:t>
            </w:r>
            <w:r w:rsidR="007560DC">
              <w:rPr>
                <w:rFonts w:eastAsia="Times New Roman" w:cs="Times New Roman"/>
                <w:lang w:eastAsia="lt-LT"/>
              </w:rPr>
              <w:t xml:space="preserve">ą </w:t>
            </w:r>
            <w:r w:rsidR="001B4A8F">
              <w:rPr>
                <w:rFonts w:eastAsia="Times New Roman" w:cs="Times New Roman"/>
                <w:lang w:eastAsia="lt-LT"/>
              </w:rPr>
              <w:t>Perkančioji organizacija</w:t>
            </w:r>
            <w:r w:rsidR="00B72FDF" w:rsidRPr="00B72FDF">
              <w:rPr>
                <w:rFonts w:eastAsia="Times New Roman" w:cs="Times New Roman"/>
                <w:lang w:eastAsia="lt-LT"/>
              </w:rPr>
              <w:t xml:space="preserve"> </w:t>
            </w:r>
            <w:r w:rsidR="007560DC">
              <w:rPr>
                <w:rFonts w:eastAsia="Times New Roman" w:cs="Times New Roman"/>
                <w:lang w:eastAsia="lt-LT"/>
              </w:rPr>
              <w:t>atlieka savo sąskaita</w:t>
            </w:r>
            <w:r w:rsidR="00B72FDF" w:rsidRPr="00B72FDF">
              <w:rPr>
                <w:rFonts w:eastAsia="Times New Roman" w:cs="Times New Roman"/>
                <w:lang w:eastAsia="lt-LT"/>
              </w:rPr>
              <w:t>.</w:t>
            </w:r>
          </w:p>
          <w:p w14:paraId="3F909F56" w14:textId="04C6A951" w:rsidR="00730CC8" w:rsidRPr="009F5236" w:rsidRDefault="00D22620" w:rsidP="00D22620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D22620">
              <w:rPr>
                <w:rFonts w:eastAsia="Times New Roman" w:cs="Times New Roman"/>
                <w:lang w:eastAsia="lt-LT"/>
              </w:rPr>
              <w:t xml:space="preserve">Garantinio laikotarpio metu, </w:t>
            </w:r>
            <w:r w:rsidR="00275B43" w:rsidRPr="00275B43">
              <w:rPr>
                <w:rFonts w:eastAsia="Times New Roman" w:cs="Times New Roman"/>
                <w:lang w:eastAsia="lt-LT"/>
              </w:rPr>
              <w:t>garantinis remontas privalo būti atliktas</w:t>
            </w:r>
            <w:r w:rsidR="00777F13">
              <w:rPr>
                <w:rFonts w:eastAsia="Times New Roman" w:cs="Times New Roman"/>
                <w:lang w:eastAsia="lt-LT"/>
              </w:rPr>
              <w:t xml:space="preserve"> </w:t>
            </w:r>
            <w:r w:rsidR="00275B43" w:rsidRPr="00275B43">
              <w:rPr>
                <w:rFonts w:eastAsia="Times New Roman" w:cs="Times New Roman"/>
                <w:lang w:eastAsia="lt-LT"/>
              </w:rPr>
              <w:t xml:space="preserve">ne </w:t>
            </w:r>
            <w:r w:rsidR="00275B43">
              <w:rPr>
                <w:rFonts w:eastAsia="Times New Roman" w:cs="Times New Roman"/>
                <w:lang w:eastAsia="lt-LT"/>
              </w:rPr>
              <w:t>ilgiau</w:t>
            </w:r>
            <w:r w:rsidR="00275B43" w:rsidRPr="00275B43">
              <w:rPr>
                <w:rFonts w:eastAsia="Times New Roman" w:cs="Times New Roman"/>
                <w:lang w:eastAsia="lt-LT"/>
              </w:rPr>
              <w:t xml:space="preserve"> kaip per </w:t>
            </w:r>
            <w:r w:rsidR="006704BA" w:rsidRPr="00F03D64">
              <w:rPr>
                <w:rFonts w:eastAsia="Times New Roman" w:cs="Times New Roman"/>
                <w:lang w:eastAsia="lt-LT"/>
              </w:rPr>
              <w:t>5</w:t>
            </w:r>
            <w:r w:rsidR="00275B43" w:rsidRPr="00275B43">
              <w:rPr>
                <w:rFonts w:eastAsia="Times New Roman" w:cs="Times New Roman"/>
                <w:lang w:eastAsia="lt-LT"/>
              </w:rPr>
              <w:t xml:space="preserve"> darbo dienas</w:t>
            </w:r>
            <w:r w:rsidR="0027704F">
              <w:t xml:space="preserve"> </w:t>
            </w:r>
            <w:r w:rsidR="00613C4E" w:rsidRPr="00B71EE8">
              <w:t>nuo pranešimo</w:t>
            </w:r>
            <w:r w:rsidR="00613C4E">
              <w:t xml:space="preserve"> apie gedimą</w:t>
            </w:r>
            <w:r w:rsidR="00613C4E" w:rsidRPr="00B71EE8">
              <w:t xml:space="preserve"> Tiekėjui išsiuntimo</w:t>
            </w:r>
            <w:r w:rsidR="00777F13">
              <w:t xml:space="preserve"> dienos</w:t>
            </w:r>
            <w:r w:rsidR="006704BA">
              <w:rPr>
                <w:rFonts w:eastAsia="Times New Roman" w:cs="Times New Roman"/>
                <w:lang w:eastAsia="lt-LT"/>
              </w:rPr>
              <w:t>,</w:t>
            </w:r>
            <w:r w:rsidR="006704BA">
              <w:t xml:space="preserve"> </w:t>
            </w:r>
            <w:r w:rsidR="006704BA" w:rsidRPr="006704BA">
              <w:rPr>
                <w:rFonts w:eastAsia="Times New Roman" w:cs="Times New Roman"/>
                <w:lang w:eastAsia="lt-LT"/>
              </w:rPr>
              <w:t>išskyrus atvejus, kai Tiekėjas įrodo, kad gedimui pašalinti būtinas ilgesnis terminas ir gavus P</w:t>
            </w:r>
            <w:r w:rsidR="006704BA">
              <w:rPr>
                <w:rFonts w:eastAsia="Times New Roman" w:cs="Times New Roman"/>
                <w:lang w:eastAsia="lt-LT"/>
              </w:rPr>
              <w:t>erkančiosios organizacijos</w:t>
            </w:r>
            <w:r w:rsidR="006704BA" w:rsidRPr="006704BA">
              <w:rPr>
                <w:rFonts w:eastAsia="Times New Roman" w:cs="Times New Roman"/>
                <w:lang w:eastAsia="lt-LT"/>
              </w:rPr>
              <w:t xml:space="preserve"> sutikimą</w:t>
            </w:r>
            <w:r w:rsidR="006704BA">
              <w:rPr>
                <w:rFonts w:eastAsia="Times New Roman" w:cs="Times New Roman"/>
                <w:lang w:eastAsia="lt-LT"/>
              </w:rPr>
              <w:t>.</w:t>
            </w:r>
            <w:r w:rsidR="00613C4E">
              <w:t xml:space="preserve"> </w:t>
            </w:r>
            <w:r w:rsidR="00E065B1">
              <w:t>Automobilį remontui Perkančioji organizacija pristato ne vėliau kaip kitą darbo dieną nuo pranešimo apie gedimą Tiekėjui išsiuntimo, savo sąskaita. Perkančiajai organizacijai vėluojant pristatyti automobilį, remonto atlikimo terminas pratęsiamas atitinkamam laikotarpiui.</w:t>
            </w:r>
          </w:p>
        </w:tc>
      </w:tr>
      <w:tr w:rsidR="00324B59" w:rsidRPr="009F5236" w14:paraId="57C9E021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CAFE" w14:textId="214C13C4" w:rsidR="00324B59" w:rsidRPr="009F5236" w:rsidRDefault="00324B59" w:rsidP="00324B5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96EFF">
              <w:t>Automobilio pristatymo terminas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32A1" w14:textId="0407DEF9" w:rsidR="00324B59" w:rsidRDefault="00324B59" w:rsidP="00324B59">
            <w:pPr>
              <w:spacing w:after="0" w:line="240" w:lineRule="auto"/>
            </w:pPr>
            <w:r w:rsidRPr="00D96EFF">
              <w:t xml:space="preserve">Per </w:t>
            </w:r>
            <w:r w:rsidR="001B4A8F">
              <w:t>9</w:t>
            </w:r>
            <w:r w:rsidRPr="00D96EFF">
              <w:t xml:space="preserve"> mėnesius nuo sutarties sudarymo dienos</w:t>
            </w:r>
            <w:r>
              <w:t>.</w:t>
            </w:r>
          </w:p>
          <w:p w14:paraId="0B264FA3" w14:textId="42820956" w:rsidR="00324B59" w:rsidRPr="00324B59" w:rsidRDefault="00AC7846" w:rsidP="00324B5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Automobilis turi būti</w:t>
            </w:r>
            <w:r w:rsidR="00324B59" w:rsidRPr="00324B59">
              <w:rPr>
                <w:rFonts w:eastAsia="Times New Roman" w:cs="Times New Roman"/>
                <w:lang w:eastAsia="lt-LT"/>
              </w:rPr>
              <w:t xml:space="preserve"> įregistruot</w:t>
            </w:r>
            <w:r>
              <w:rPr>
                <w:rFonts w:eastAsia="Times New Roman" w:cs="Times New Roman"/>
                <w:lang w:eastAsia="lt-LT"/>
              </w:rPr>
              <w:t>as</w:t>
            </w:r>
            <w:r w:rsidR="00324B59" w:rsidRPr="00324B59">
              <w:rPr>
                <w:rFonts w:eastAsia="Times New Roman" w:cs="Times New Roman"/>
                <w:lang w:eastAsia="lt-LT"/>
              </w:rPr>
              <w:t xml:space="preserve"> VĮ „Regitra“ </w:t>
            </w:r>
            <w:r w:rsidR="00FB205E" w:rsidRPr="00FB205E">
              <w:rPr>
                <w:rFonts w:eastAsia="Times New Roman" w:cs="Times New Roman"/>
                <w:lang w:eastAsia="lt-LT"/>
              </w:rPr>
              <w:t xml:space="preserve">ne vėliau nei </w:t>
            </w:r>
            <w:r w:rsidR="00FB205E">
              <w:rPr>
                <w:rFonts w:eastAsia="Times New Roman" w:cs="Times New Roman"/>
                <w:lang w:eastAsia="lt-LT"/>
              </w:rPr>
              <w:t>jo</w:t>
            </w:r>
            <w:r w:rsidR="00FB205E" w:rsidRPr="00FB205E">
              <w:rPr>
                <w:rFonts w:eastAsia="Times New Roman" w:cs="Times New Roman"/>
                <w:lang w:eastAsia="lt-LT"/>
              </w:rPr>
              <w:t xml:space="preserve"> </w:t>
            </w:r>
            <w:r w:rsidR="00FB205E">
              <w:rPr>
                <w:rFonts w:eastAsia="Times New Roman" w:cs="Times New Roman"/>
                <w:lang w:eastAsia="lt-LT"/>
              </w:rPr>
              <w:t xml:space="preserve">pristatymo </w:t>
            </w:r>
            <w:r w:rsidR="00A02914">
              <w:rPr>
                <w:rFonts w:eastAsia="Times New Roman" w:cs="Times New Roman"/>
                <w:lang w:eastAsia="lt-LT"/>
              </w:rPr>
              <w:t>P</w:t>
            </w:r>
            <w:r w:rsidR="009F136B">
              <w:rPr>
                <w:rFonts w:eastAsia="Times New Roman" w:cs="Times New Roman"/>
                <w:lang w:eastAsia="lt-LT"/>
              </w:rPr>
              <w:t>erkančiajai organizacijai</w:t>
            </w:r>
            <w:r w:rsidR="00A02914">
              <w:rPr>
                <w:rFonts w:eastAsia="Times New Roman" w:cs="Times New Roman"/>
                <w:lang w:eastAsia="lt-LT"/>
              </w:rPr>
              <w:t xml:space="preserve"> </w:t>
            </w:r>
            <w:r w:rsidR="00324B59" w:rsidRPr="00324B59">
              <w:rPr>
                <w:rFonts w:eastAsia="Times New Roman" w:cs="Times New Roman"/>
                <w:lang w:eastAsia="lt-LT"/>
              </w:rPr>
              <w:t>dien</w:t>
            </w:r>
            <w:r w:rsidR="00FB205E">
              <w:rPr>
                <w:rFonts w:eastAsia="Times New Roman" w:cs="Times New Roman"/>
                <w:lang w:eastAsia="lt-LT"/>
              </w:rPr>
              <w:t>ą</w:t>
            </w:r>
            <w:r w:rsidR="00A02914">
              <w:rPr>
                <w:rFonts w:eastAsia="Times New Roman" w:cs="Times New Roman"/>
                <w:lang w:eastAsia="lt-LT"/>
              </w:rPr>
              <w:t>.</w:t>
            </w:r>
            <w:r w:rsidR="00C86AD7">
              <w:t xml:space="preserve"> </w:t>
            </w:r>
            <w:r w:rsidR="00C86AD7" w:rsidRPr="00C86AD7">
              <w:rPr>
                <w:rFonts w:eastAsia="Times New Roman" w:cs="Times New Roman"/>
                <w:lang w:eastAsia="lt-LT"/>
              </w:rPr>
              <w:t xml:space="preserve">Kartu su </w:t>
            </w:r>
            <w:r w:rsidR="00C86AD7">
              <w:rPr>
                <w:rFonts w:eastAsia="Times New Roman" w:cs="Times New Roman"/>
                <w:lang w:eastAsia="lt-LT"/>
              </w:rPr>
              <w:t>automobiliu</w:t>
            </w:r>
            <w:r w:rsidR="00C86AD7" w:rsidRPr="00C86AD7">
              <w:rPr>
                <w:rFonts w:eastAsia="Times New Roman" w:cs="Times New Roman"/>
                <w:lang w:eastAsia="lt-LT"/>
              </w:rPr>
              <w:t xml:space="preserve"> turi būti pateikta</w:t>
            </w:r>
            <w:r w:rsidR="00C86AD7">
              <w:rPr>
                <w:rFonts w:eastAsia="Times New Roman" w:cs="Times New Roman"/>
                <w:lang w:eastAsia="lt-LT"/>
              </w:rPr>
              <w:t>s</w:t>
            </w:r>
            <w:r w:rsidR="00C86AD7" w:rsidRPr="00C86AD7">
              <w:rPr>
                <w:rFonts w:eastAsia="Times New Roman" w:cs="Times New Roman"/>
                <w:lang w:eastAsia="lt-LT"/>
              </w:rPr>
              <w:t xml:space="preserve"> techninis pasas</w:t>
            </w:r>
            <w:r w:rsidR="00C86AD7">
              <w:rPr>
                <w:rFonts w:eastAsia="Times New Roman" w:cs="Times New Roman"/>
                <w:lang w:eastAsia="lt-LT"/>
              </w:rPr>
              <w:t xml:space="preserve"> ir automobilio</w:t>
            </w:r>
            <w:r w:rsidR="00C86AD7" w:rsidRPr="00C86AD7">
              <w:rPr>
                <w:rFonts w:eastAsia="Times New Roman" w:cs="Times New Roman"/>
                <w:lang w:eastAsia="lt-LT"/>
              </w:rPr>
              <w:t xml:space="preserve"> eksploatavimo instrukcija lietuvių kalba</w:t>
            </w:r>
            <w:r w:rsidR="00C86AD7">
              <w:rPr>
                <w:rFonts w:eastAsia="Times New Roman" w:cs="Times New Roman"/>
                <w:lang w:eastAsia="lt-LT"/>
              </w:rPr>
              <w:t>.</w:t>
            </w:r>
            <w:r w:rsidR="00C86AD7" w:rsidRPr="00C86AD7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730CC8" w:rsidRPr="009F5236" w14:paraId="082DF0EF" w14:textId="77777777" w:rsidTr="0029738E">
        <w:trPr>
          <w:jc w:val="center"/>
        </w:trPr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2DAD" w14:textId="77777777" w:rsidR="00730CC8" w:rsidRPr="009F5236" w:rsidRDefault="00730CC8" w:rsidP="00A6484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9F5236">
              <w:rPr>
                <w:rFonts w:eastAsia="Times New Roman" w:cs="Times New Roman"/>
                <w:lang w:eastAsia="lt-LT"/>
              </w:rPr>
              <w:t>Pristatymo adresas</w:t>
            </w:r>
          </w:p>
        </w:tc>
        <w:tc>
          <w:tcPr>
            <w:tcW w:w="6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0F47" w14:textId="5885B908" w:rsidR="00324B59" w:rsidRPr="00A02914" w:rsidRDefault="009B2074" w:rsidP="009B2074">
            <w:pPr>
              <w:spacing w:after="0" w:line="240" w:lineRule="auto"/>
              <w:rPr>
                <w:rFonts w:eastAsia="Times New Roman" w:cs="Times New Roman"/>
                <w:iCs/>
                <w:lang w:eastAsia="lt-LT"/>
              </w:rPr>
            </w:pPr>
            <w:r w:rsidRPr="009F5236">
              <w:rPr>
                <w:rFonts w:eastAsia="Times New Roman" w:cs="Times New Roman"/>
                <w:iCs/>
                <w:lang w:eastAsia="lt-LT"/>
              </w:rPr>
              <w:t xml:space="preserve">Balio Karvelio </w:t>
            </w:r>
            <w:r w:rsidR="006E16BF">
              <w:rPr>
                <w:rFonts w:eastAsia="Times New Roman" w:cs="Times New Roman"/>
                <w:iCs/>
                <w:lang w:eastAsia="lt-LT"/>
              </w:rPr>
              <w:t xml:space="preserve">g. </w:t>
            </w:r>
            <w:r w:rsidRPr="009F5236">
              <w:rPr>
                <w:rFonts w:eastAsia="Times New Roman" w:cs="Times New Roman"/>
                <w:iCs/>
                <w:lang w:eastAsia="lt-LT"/>
              </w:rPr>
              <w:t>25</w:t>
            </w:r>
            <w:r w:rsidR="00730CC8" w:rsidRPr="009F5236">
              <w:rPr>
                <w:rFonts w:eastAsia="Times New Roman" w:cs="Times New Roman"/>
                <w:iCs/>
                <w:lang w:eastAsia="lt-LT"/>
              </w:rPr>
              <w:t>, Vilnius</w:t>
            </w:r>
          </w:p>
        </w:tc>
      </w:tr>
    </w:tbl>
    <w:p w14:paraId="6580C801" w14:textId="77777777" w:rsidR="00EA591F" w:rsidRPr="00B863FA" w:rsidRDefault="00EA591F" w:rsidP="00EA591F">
      <w:pPr>
        <w:spacing w:after="0" w:line="240" w:lineRule="auto"/>
        <w:rPr>
          <w:rFonts w:eastAsia="Times New Roman" w:cs="Times New Roman"/>
          <w:sz w:val="16"/>
          <w:szCs w:val="16"/>
          <w:lang w:val="en-US" w:eastAsia="lt-LT"/>
        </w:rPr>
      </w:pPr>
      <w:r w:rsidRPr="009F5236">
        <w:rPr>
          <w:rFonts w:eastAsia="Times New Roman" w:cs="Times New Roman"/>
          <w:lang w:eastAsia="lt-LT"/>
        </w:rPr>
        <w:t> </w:t>
      </w:r>
    </w:p>
    <w:p w14:paraId="796A4E6E" w14:textId="7652DBDD" w:rsidR="0003218F" w:rsidRDefault="00EA591F" w:rsidP="0029738E">
      <w:pPr>
        <w:spacing w:after="0" w:line="240" w:lineRule="auto"/>
        <w:ind w:left="-142"/>
        <w:jc w:val="both"/>
        <w:rPr>
          <w:rFonts w:cstheme="minorHAnsi"/>
        </w:rPr>
      </w:pPr>
      <w:r w:rsidRPr="009F5236">
        <w:rPr>
          <w:rFonts w:eastAsia="Times New Roman" w:cs="Times New Roman"/>
          <w:lang w:eastAsia="lt-LT"/>
        </w:rPr>
        <w:t> </w:t>
      </w:r>
      <w:r w:rsidR="00317D64" w:rsidRPr="00317D64">
        <w:t xml:space="preserve"> </w:t>
      </w:r>
      <w:r w:rsidR="00317D64">
        <w:t xml:space="preserve">* </w:t>
      </w:r>
      <w:r w:rsidR="00BB11FB" w:rsidRPr="005A2947">
        <w:rPr>
          <w:rFonts w:cstheme="minorHAnsi"/>
        </w:rPr>
        <w:t>Su automobiliu turi būti pristatyti abu, žieminių ir vasarinių padangų komplektai. Vienas iš jų, priklausomai kaip reglamentuoja kelių eismo taisyklės, turi būti sumontuotas ant automobilio</w:t>
      </w:r>
      <w:r w:rsidR="00BB11FB" w:rsidRPr="000E2240">
        <w:rPr>
          <w:rFonts w:cstheme="minorHAnsi"/>
        </w:rPr>
        <w:t>.</w:t>
      </w:r>
    </w:p>
    <w:p w14:paraId="60A32D5C" w14:textId="38636724" w:rsidR="0078453E" w:rsidRPr="00B863FA" w:rsidRDefault="0078453E" w:rsidP="0029738E">
      <w:pPr>
        <w:pStyle w:val="BodyTextIndent"/>
        <w:ind w:left="-142" w:firstLine="0"/>
        <w:rPr>
          <w:rFonts w:asciiTheme="minorHAnsi" w:hAnsiTheme="minorHAnsi" w:cstheme="minorHAnsi"/>
          <w:sz w:val="16"/>
          <w:szCs w:val="16"/>
        </w:rPr>
      </w:pPr>
    </w:p>
    <w:p w14:paraId="5F86E6F0" w14:textId="455F6FB8" w:rsidR="0078453E" w:rsidRPr="00B863FA" w:rsidRDefault="00ED29B2" w:rsidP="008F38F3">
      <w:pPr>
        <w:pStyle w:val="BodyTextIndent"/>
        <w:ind w:left="0" w:hanging="142"/>
        <w:rPr>
          <w:rFonts w:asciiTheme="minorHAnsi" w:hAnsiTheme="minorHAnsi" w:cstheme="minorHAnsi"/>
          <w:sz w:val="22"/>
          <w:szCs w:val="22"/>
        </w:rPr>
      </w:pPr>
      <w:r w:rsidRPr="00B863FA">
        <w:rPr>
          <w:rFonts w:asciiTheme="minorHAnsi" w:hAnsiTheme="minorHAnsi" w:cstheme="minorHAnsi"/>
          <w:sz w:val="22"/>
          <w:szCs w:val="22"/>
        </w:rPr>
        <w:t>Lizingo sąlygos</w:t>
      </w:r>
      <w:r w:rsidR="0078453E" w:rsidRPr="00B863FA">
        <w:rPr>
          <w:rFonts w:asciiTheme="minorHAnsi" w:hAnsiTheme="minorHAnsi" w:cstheme="minorHAnsi"/>
          <w:sz w:val="22"/>
          <w:szCs w:val="22"/>
        </w:rPr>
        <w:t>:</w:t>
      </w:r>
    </w:p>
    <w:p w14:paraId="3649938D" w14:textId="77777777" w:rsidR="00ED29B2" w:rsidRPr="00B863FA" w:rsidRDefault="00ED29B2" w:rsidP="0078453E">
      <w:pPr>
        <w:pStyle w:val="BodyTextIndent"/>
        <w:ind w:left="284" w:hanging="187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ED29B2" w:rsidRPr="00ED29B2" w14:paraId="1EDA3FB4" w14:textId="77777777" w:rsidTr="00B863FA">
        <w:tc>
          <w:tcPr>
            <w:tcW w:w="3261" w:type="dxa"/>
          </w:tcPr>
          <w:p w14:paraId="6DC0D288" w14:textId="21CC896E" w:rsidR="00ED29B2" w:rsidRPr="00841C46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Padinis įnašas</w:t>
            </w:r>
          </w:p>
        </w:tc>
        <w:tc>
          <w:tcPr>
            <w:tcW w:w="6662" w:type="dxa"/>
          </w:tcPr>
          <w:p w14:paraId="1959A34B" w14:textId="0F03BD79" w:rsidR="00ED29B2" w:rsidRPr="00841C46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10 proc.</w:t>
            </w:r>
            <w:r w:rsidR="003935B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nuo bendros pasiūlymo vertės</w:t>
            </w:r>
            <w:r w:rsidR="003935B2" w:rsidRPr="00841C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29B2" w:rsidRPr="00ED29B2" w14:paraId="6857CB19" w14:textId="77777777" w:rsidTr="00B863FA">
        <w:tc>
          <w:tcPr>
            <w:tcW w:w="3261" w:type="dxa"/>
          </w:tcPr>
          <w:p w14:paraId="35CA8C7F" w14:textId="46C80295" w:rsidR="00ED29B2" w:rsidRPr="00841C46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Lizingo terminas</w:t>
            </w:r>
          </w:p>
        </w:tc>
        <w:tc>
          <w:tcPr>
            <w:tcW w:w="6662" w:type="dxa"/>
          </w:tcPr>
          <w:p w14:paraId="367CAF24" w14:textId="4176D71C" w:rsidR="00ED29B2" w:rsidRPr="00841C46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60 mėn. </w:t>
            </w:r>
          </w:p>
        </w:tc>
      </w:tr>
      <w:tr w:rsidR="00352B1F" w:rsidRPr="00ED29B2" w14:paraId="7EDF2692" w14:textId="77777777" w:rsidTr="00B863FA">
        <w:tc>
          <w:tcPr>
            <w:tcW w:w="3261" w:type="dxa"/>
          </w:tcPr>
          <w:p w14:paraId="29456DD0" w14:textId="595F789F" w:rsidR="00352B1F" w:rsidRPr="00841C46" w:rsidRDefault="00352B1F" w:rsidP="00352B1F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Mokėjimų periodiškumas </w:t>
            </w:r>
          </w:p>
        </w:tc>
        <w:tc>
          <w:tcPr>
            <w:tcW w:w="6662" w:type="dxa"/>
          </w:tcPr>
          <w:p w14:paraId="67929EB3" w14:textId="3EA363B9" w:rsidR="00352B1F" w:rsidRPr="00841C46" w:rsidRDefault="00352B1F" w:rsidP="00352B1F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Mokėjimai vykdomi kas mėnesį</w:t>
            </w:r>
          </w:p>
        </w:tc>
      </w:tr>
      <w:tr w:rsidR="00352B1F" w:rsidRPr="00ED29B2" w14:paraId="2715C1D6" w14:textId="77777777" w:rsidTr="00B863FA">
        <w:tc>
          <w:tcPr>
            <w:tcW w:w="3261" w:type="dxa"/>
          </w:tcPr>
          <w:p w14:paraId="063DA29F" w14:textId="63C7799F" w:rsidR="00352B1F" w:rsidRPr="00841C46" w:rsidRDefault="00352B1F" w:rsidP="00352B1F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Mėnesio įmokos apskaičiavimo metodas</w:t>
            </w:r>
          </w:p>
        </w:tc>
        <w:tc>
          <w:tcPr>
            <w:tcW w:w="6662" w:type="dxa"/>
          </w:tcPr>
          <w:p w14:paraId="0594588D" w14:textId="6C790F7E" w:rsidR="00352B1F" w:rsidRPr="00841C46" w:rsidRDefault="00890419" w:rsidP="00352B1F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Linijinis</w:t>
            </w:r>
          </w:p>
        </w:tc>
      </w:tr>
      <w:tr w:rsidR="00A12122" w:rsidRPr="00ED29B2" w14:paraId="30419F22" w14:textId="77777777" w:rsidTr="00B863FA">
        <w:tc>
          <w:tcPr>
            <w:tcW w:w="3261" w:type="dxa"/>
          </w:tcPr>
          <w:p w14:paraId="5EEC82BB" w14:textId="6C8FEE63" w:rsidR="00A12122" w:rsidRPr="00841C46" w:rsidRDefault="00A1212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Palūkanos</w:t>
            </w:r>
          </w:p>
        </w:tc>
        <w:tc>
          <w:tcPr>
            <w:tcW w:w="6662" w:type="dxa"/>
          </w:tcPr>
          <w:p w14:paraId="32603798" w14:textId="55D0EB60" w:rsidR="00A12122" w:rsidRPr="00841C46" w:rsidRDefault="00FF769F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Palūkanų norma k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intam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53530">
              <w:rPr>
                <w:rFonts w:asciiTheme="minorHAnsi" w:hAnsiTheme="minorHAnsi" w:cstheme="minorHAnsi"/>
                <w:sz w:val="22"/>
                <w:szCs w:val="22"/>
              </w:rPr>
              <w:t xml:space="preserve"> (s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utarties kaina gali k</w:t>
            </w:r>
            <w:r w:rsidR="009725E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istis, priklausomai nuo E</w:t>
            </w:r>
            <w:r w:rsidR="00553530">
              <w:rPr>
                <w:rFonts w:asciiTheme="minorHAnsi" w:hAnsiTheme="minorHAnsi" w:cstheme="minorHAnsi"/>
                <w:sz w:val="22"/>
                <w:szCs w:val="22"/>
              </w:rPr>
              <w:t>URIBOR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pokyči</w:t>
            </w:r>
            <w:r w:rsidR="00352B1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5353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725EF">
              <w:rPr>
                <w:rFonts w:asciiTheme="minorHAnsi" w:hAnsiTheme="minorHAnsi" w:cstheme="minorHAnsi"/>
                <w:sz w:val="22"/>
                <w:szCs w:val="22"/>
              </w:rPr>
              <w:t>Kintamą p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alūkanų norm</w:t>
            </w:r>
            <w:r w:rsidR="009725EF">
              <w:rPr>
                <w:rFonts w:asciiTheme="minorHAnsi" w:hAnsiTheme="minorHAnsi" w:cstheme="minorHAnsi"/>
                <w:sz w:val="22"/>
                <w:szCs w:val="22"/>
              </w:rPr>
              <w:t>ą sudaro pastovioji palūkanų normos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dalis </w:t>
            </w:r>
            <w:r w:rsidR="009725EF">
              <w:rPr>
                <w:rFonts w:asciiTheme="minorHAnsi" w:hAnsiTheme="minorHAnsi" w:cstheme="minorHAnsi"/>
                <w:sz w:val="22"/>
                <w:szCs w:val="22"/>
              </w:rPr>
              <w:t xml:space="preserve">ir </w:t>
            </w:r>
            <w:r w:rsidR="0018184A">
              <w:rPr>
                <w:rFonts w:asciiTheme="minorHAnsi" w:hAnsiTheme="minorHAnsi" w:cstheme="minorHAnsi"/>
                <w:sz w:val="22"/>
                <w:szCs w:val="22"/>
              </w:rPr>
              <w:t xml:space="preserve">kas </w:t>
            </w:r>
            <w:r w:rsidR="0018184A" w:rsidRPr="00F03D64">
              <w:rPr>
                <w:rFonts w:asciiTheme="minorHAnsi" w:hAnsiTheme="minorHAnsi" w:cstheme="minorHAnsi"/>
                <w:sz w:val="22"/>
                <w:szCs w:val="22"/>
              </w:rPr>
              <w:t>6 m</w:t>
            </w:r>
            <w:r w:rsidR="0018184A">
              <w:rPr>
                <w:rFonts w:asciiTheme="minorHAnsi" w:hAnsiTheme="minorHAnsi" w:cstheme="minorHAnsi"/>
                <w:sz w:val="22"/>
                <w:szCs w:val="22"/>
              </w:rPr>
              <w:t xml:space="preserve">ėn. 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perskaičiuojama </w:t>
            </w:r>
            <w:r w:rsidR="0018184A">
              <w:rPr>
                <w:rFonts w:asciiTheme="minorHAnsi" w:hAnsiTheme="minorHAnsi" w:cstheme="minorHAnsi"/>
                <w:sz w:val="22"/>
                <w:szCs w:val="22"/>
              </w:rPr>
              <w:t xml:space="preserve">kintanti bazinė 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palūkanų </w:t>
            </w:r>
            <w:r w:rsidR="0018184A">
              <w:rPr>
                <w:rFonts w:asciiTheme="minorHAnsi" w:hAnsiTheme="minorHAnsi" w:cstheme="minorHAnsi"/>
                <w:sz w:val="22"/>
                <w:szCs w:val="22"/>
              </w:rPr>
              <w:t>norma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– 6 mėn</w:t>
            </w:r>
            <w:r w:rsidR="0018184A">
              <w:rPr>
                <w:rFonts w:asciiTheme="minorHAnsi" w:hAnsiTheme="minorHAnsi" w:cstheme="minorHAnsi"/>
                <w:sz w:val="22"/>
                <w:szCs w:val="22"/>
              </w:rPr>
              <w:t>. E</w:t>
            </w:r>
            <w:r w:rsidR="00553530">
              <w:rPr>
                <w:rFonts w:asciiTheme="minorHAnsi" w:hAnsiTheme="minorHAnsi" w:cstheme="minorHAnsi"/>
                <w:sz w:val="22"/>
                <w:szCs w:val="22"/>
              </w:rPr>
              <w:t>URIBOR</w:t>
            </w:r>
            <w:r w:rsidR="00A12122" w:rsidRPr="00841C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769F" w:rsidRPr="00ED29B2" w14:paraId="75760216" w14:textId="77777777" w:rsidTr="00B863FA">
        <w:tc>
          <w:tcPr>
            <w:tcW w:w="3261" w:type="dxa"/>
          </w:tcPr>
          <w:p w14:paraId="2CC9B300" w14:textId="19465B8D" w:rsidR="00FF769F" w:rsidRPr="00841C46" w:rsidRDefault="00FF769F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Lizingo grąžinimo grafikas</w:t>
            </w:r>
          </w:p>
        </w:tc>
        <w:tc>
          <w:tcPr>
            <w:tcW w:w="6662" w:type="dxa"/>
          </w:tcPr>
          <w:p w14:paraId="50E4D2C0" w14:textId="151B54F8" w:rsidR="00FF769F" w:rsidRPr="00841C46" w:rsidRDefault="00FF769F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Pateikiamas kartu su pasiūlymu. Lizingo grąžinimo grafike turi būti nurodyta </w:t>
            </w:r>
            <w:r w:rsidR="004B6F1E" w:rsidRPr="004B6F1E">
              <w:rPr>
                <w:rFonts w:asciiTheme="minorHAnsi" w:hAnsiTheme="minorHAnsi" w:cstheme="minorHAnsi"/>
                <w:sz w:val="22"/>
                <w:szCs w:val="22"/>
              </w:rPr>
              <w:t>turto kaina su PVM</w:t>
            </w:r>
            <w:r w:rsidR="004B6F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B6F1E" w:rsidRPr="004B6F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pradinis įnašas proc., nekintanti banko marža, </w:t>
            </w:r>
            <w:r w:rsidRPr="009A59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7951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9A59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7951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  <w:r w:rsidRPr="009A59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9A5955" w:rsidRPr="009A59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  <w:r w:rsidR="000759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53530">
              <w:rPr>
                <w:rFonts w:asciiTheme="minorHAnsi" w:hAnsiTheme="minorHAnsi" w:cstheme="minorHAnsi"/>
                <w:sz w:val="22"/>
                <w:szCs w:val="22"/>
              </w:rPr>
              <w:t>URIBOR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, įmokos datos, neišpirkto turto vertė, turto išpirkimo įmokos, palūkanos  ir kt. mokesčiai.</w:t>
            </w:r>
            <w:r w:rsidR="00841C46">
              <w:t xml:space="preserve"> </w:t>
            </w:r>
            <w:r w:rsidR="00841C46" w:rsidRPr="00841C46">
              <w:rPr>
                <w:rFonts w:asciiTheme="minorHAnsi" w:hAnsiTheme="minorHAnsi" w:cstheme="minorHAnsi"/>
                <w:sz w:val="22"/>
                <w:szCs w:val="22"/>
              </w:rPr>
              <w:t>Į Tiekėjo siūlomą lizingo kainą turi būti įskaičiuoti visi mokesčiai (įskaitant, bet neapribojant sutarties aptarnavimo, sutarties pasirašymo, administravimo mokestis ir pan.).</w:t>
            </w:r>
          </w:p>
        </w:tc>
      </w:tr>
      <w:tr w:rsidR="00ED29B2" w:rsidRPr="00ED29B2" w14:paraId="48927A8F" w14:textId="77777777" w:rsidTr="00B863FA">
        <w:tc>
          <w:tcPr>
            <w:tcW w:w="3261" w:type="dxa"/>
          </w:tcPr>
          <w:p w14:paraId="267D2859" w14:textId="1D8CFDC2" w:rsidR="00ED29B2" w:rsidRPr="00841C46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Likutinė vertė</w:t>
            </w:r>
          </w:p>
        </w:tc>
        <w:tc>
          <w:tcPr>
            <w:tcW w:w="6662" w:type="dxa"/>
          </w:tcPr>
          <w:p w14:paraId="2A819734" w14:textId="2807FC5F" w:rsidR="00ED29B2" w:rsidRPr="009A5955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59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 proc.</w:t>
            </w:r>
          </w:p>
        </w:tc>
      </w:tr>
      <w:tr w:rsidR="00D673CB" w:rsidRPr="00ED29B2" w14:paraId="6AC81E52" w14:textId="77777777" w:rsidTr="00B863FA">
        <w:tc>
          <w:tcPr>
            <w:tcW w:w="3261" w:type="dxa"/>
          </w:tcPr>
          <w:p w14:paraId="64E3D10A" w14:textId="5589BE5D" w:rsidR="00D673CB" w:rsidRPr="00841C46" w:rsidRDefault="003935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Vidutinė automobilių r</w:t>
            </w:r>
            <w:r w:rsidR="00D673CB" w:rsidRPr="00841C46">
              <w:rPr>
                <w:rFonts w:asciiTheme="minorHAnsi" w:hAnsiTheme="minorHAnsi" w:cstheme="minorHAnsi"/>
                <w:sz w:val="22"/>
                <w:szCs w:val="22"/>
              </w:rPr>
              <w:t>ida</w:t>
            </w:r>
            <w:r w:rsidR="008C02C7" w:rsidRPr="00841C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C02C7" w:rsidRPr="00841C46">
              <w:rPr>
                <w:rFonts w:asciiTheme="minorHAnsi" w:hAnsiTheme="minorHAnsi" w:cstheme="minorHAnsi"/>
                <w:sz w:val="22"/>
                <w:szCs w:val="22"/>
              </w:rPr>
              <w:t>per 60 mėn.</w:t>
            </w: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2" w:type="dxa"/>
          </w:tcPr>
          <w:p w14:paraId="12D75AEE" w14:textId="00EA2247" w:rsidR="00D673CB" w:rsidRPr="00841C46" w:rsidRDefault="00D673CB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1C46">
              <w:rPr>
                <w:rFonts w:asciiTheme="minorHAnsi" w:hAnsiTheme="minorHAnsi" w:cstheme="minorHAnsi"/>
                <w:sz w:val="22"/>
                <w:szCs w:val="22"/>
              </w:rPr>
              <w:t>Ne daugiau kaip 80 000 km.</w:t>
            </w:r>
          </w:p>
        </w:tc>
      </w:tr>
      <w:tr w:rsidR="00ED29B2" w:rsidRPr="00ED29B2" w14:paraId="319F452B" w14:textId="77777777" w:rsidTr="00B863FA">
        <w:tc>
          <w:tcPr>
            <w:tcW w:w="3261" w:type="dxa"/>
          </w:tcPr>
          <w:p w14:paraId="748CEDC7" w14:textId="28FC6D21" w:rsidR="00ED29B2" w:rsidRPr="00555CFE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5CFE">
              <w:rPr>
                <w:rFonts w:asciiTheme="minorHAnsi" w:hAnsiTheme="minorHAnsi" w:cstheme="minorHAnsi"/>
                <w:sz w:val="22"/>
                <w:szCs w:val="22"/>
              </w:rPr>
              <w:t>Kitos sąlygos</w:t>
            </w:r>
          </w:p>
        </w:tc>
        <w:tc>
          <w:tcPr>
            <w:tcW w:w="6662" w:type="dxa"/>
          </w:tcPr>
          <w:p w14:paraId="5D8AD1CB" w14:textId="6F697B0B" w:rsidR="00ED29B2" w:rsidRPr="00555CFE" w:rsidRDefault="00ED29B2" w:rsidP="0078453E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5CFE">
              <w:rPr>
                <w:rFonts w:asciiTheme="minorHAnsi" w:hAnsiTheme="minorHAnsi" w:cstheme="minorHAnsi"/>
                <w:sz w:val="22"/>
                <w:szCs w:val="22"/>
              </w:rPr>
              <w:t>Galimybė išsipirkti automobil</w:t>
            </w:r>
            <w:r w:rsidR="0072583C" w:rsidRPr="00555CFE">
              <w:rPr>
                <w:rFonts w:asciiTheme="minorHAnsi" w:hAnsiTheme="minorHAnsi" w:cstheme="minorHAnsi"/>
                <w:sz w:val="22"/>
                <w:szCs w:val="22"/>
              </w:rPr>
              <w:t>ius</w:t>
            </w:r>
            <w:r w:rsidRPr="00555CFE">
              <w:rPr>
                <w:rFonts w:asciiTheme="minorHAnsi" w:hAnsiTheme="minorHAnsi" w:cstheme="minorHAnsi"/>
                <w:sz w:val="22"/>
                <w:szCs w:val="22"/>
              </w:rPr>
              <w:t xml:space="preserve"> po 60 mėn. </w:t>
            </w:r>
            <w:r w:rsidR="00173999">
              <w:rPr>
                <w:rFonts w:asciiTheme="minorHAnsi" w:hAnsiTheme="minorHAnsi" w:cstheme="minorHAnsi"/>
                <w:sz w:val="22"/>
                <w:szCs w:val="22"/>
              </w:rPr>
              <w:t>lizingo</w:t>
            </w:r>
          </w:p>
        </w:tc>
      </w:tr>
    </w:tbl>
    <w:p w14:paraId="716E763B" w14:textId="56402181" w:rsidR="007A6D13" w:rsidRDefault="007A6D13" w:rsidP="00F107B0">
      <w:pPr>
        <w:spacing w:after="0"/>
        <w:rPr>
          <w:rFonts w:cstheme="minorHAnsi"/>
        </w:rPr>
      </w:pPr>
    </w:p>
    <w:sectPr w:rsidR="007A6D13" w:rsidSect="004834B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AB00" w14:textId="77777777" w:rsidR="004834B0" w:rsidRDefault="004834B0" w:rsidP="00527F21">
      <w:pPr>
        <w:spacing w:after="0" w:line="240" w:lineRule="auto"/>
      </w:pPr>
      <w:r>
        <w:separator/>
      </w:r>
    </w:p>
  </w:endnote>
  <w:endnote w:type="continuationSeparator" w:id="0">
    <w:p w14:paraId="5ABF315A" w14:textId="77777777" w:rsidR="004834B0" w:rsidRDefault="004834B0" w:rsidP="0052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1C47" w14:textId="77777777" w:rsidR="004834B0" w:rsidRDefault="004834B0" w:rsidP="00527F21">
      <w:pPr>
        <w:spacing w:after="0" w:line="240" w:lineRule="auto"/>
      </w:pPr>
      <w:r>
        <w:separator/>
      </w:r>
    </w:p>
  </w:footnote>
  <w:footnote w:type="continuationSeparator" w:id="0">
    <w:p w14:paraId="3CD8915F" w14:textId="77777777" w:rsidR="004834B0" w:rsidRDefault="004834B0" w:rsidP="0052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295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8"/>
        <w:szCs w:val="8"/>
      </w:rPr>
    </w:sdtEndPr>
    <w:sdtContent>
      <w:p w14:paraId="18A9319C" w14:textId="77777777" w:rsidR="00527F21" w:rsidRDefault="00527F21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527F21">
          <w:rPr>
            <w:rFonts w:ascii="Times New Roman" w:hAnsi="Times New Roman" w:cs="Times New Roman"/>
          </w:rPr>
          <w:fldChar w:fldCharType="begin"/>
        </w:r>
        <w:r w:rsidRPr="00527F21">
          <w:rPr>
            <w:rFonts w:ascii="Times New Roman" w:hAnsi="Times New Roman" w:cs="Times New Roman"/>
          </w:rPr>
          <w:instrText xml:space="preserve"> PAGE   \* MERGEFORMAT </w:instrText>
        </w:r>
        <w:r w:rsidRPr="00527F21">
          <w:rPr>
            <w:rFonts w:ascii="Times New Roman" w:hAnsi="Times New Roman" w:cs="Times New Roman"/>
          </w:rPr>
          <w:fldChar w:fldCharType="separate"/>
        </w:r>
        <w:r w:rsidR="00955B01">
          <w:rPr>
            <w:rFonts w:ascii="Times New Roman" w:hAnsi="Times New Roman" w:cs="Times New Roman"/>
            <w:noProof/>
          </w:rPr>
          <w:t>2</w:t>
        </w:r>
        <w:r w:rsidRPr="00527F21">
          <w:rPr>
            <w:rFonts w:ascii="Times New Roman" w:hAnsi="Times New Roman" w:cs="Times New Roman"/>
            <w:noProof/>
          </w:rPr>
          <w:fldChar w:fldCharType="end"/>
        </w:r>
      </w:p>
      <w:p w14:paraId="329FA809" w14:textId="77777777" w:rsidR="00527F21" w:rsidRPr="00527F21" w:rsidRDefault="00000000" w:rsidP="00527F21">
        <w:pPr>
          <w:pStyle w:val="Header"/>
          <w:jc w:val="both"/>
          <w:rPr>
            <w:rFonts w:ascii="Times New Roman" w:hAnsi="Times New Roman" w:cs="Times New Roman"/>
            <w:sz w:val="8"/>
            <w:szCs w:val="8"/>
          </w:rPr>
        </w:pPr>
      </w:p>
    </w:sdtContent>
  </w:sdt>
  <w:p w14:paraId="31FE2BE6" w14:textId="77777777" w:rsidR="00527F21" w:rsidRPr="00527F21" w:rsidRDefault="00527F21" w:rsidP="00527F2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ECD"/>
    <w:multiLevelType w:val="hybridMultilevel"/>
    <w:tmpl w:val="CBEA7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4C54"/>
    <w:multiLevelType w:val="hybridMultilevel"/>
    <w:tmpl w:val="EC5ABF30"/>
    <w:lvl w:ilvl="0" w:tplc="4446AB4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1CD138C"/>
    <w:multiLevelType w:val="hybridMultilevel"/>
    <w:tmpl w:val="3176C4C4"/>
    <w:lvl w:ilvl="0" w:tplc="FCDE8C9E">
      <w:start w:val="2019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C73131"/>
    <w:multiLevelType w:val="hybridMultilevel"/>
    <w:tmpl w:val="64822706"/>
    <w:lvl w:ilvl="0" w:tplc="0427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84E81"/>
    <w:multiLevelType w:val="hybridMultilevel"/>
    <w:tmpl w:val="CBEA7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75815">
    <w:abstractNumId w:val="3"/>
  </w:num>
  <w:num w:numId="2" w16cid:durableId="2081518902">
    <w:abstractNumId w:val="2"/>
  </w:num>
  <w:num w:numId="3" w16cid:durableId="782723176">
    <w:abstractNumId w:val="1"/>
  </w:num>
  <w:num w:numId="4" w16cid:durableId="522279917">
    <w:abstractNumId w:val="0"/>
  </w:num>
  <w:num w:numId="5" w16cid:durableId="189566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1F"/>
    <w:rsid w:val="00006F87"/>
    <w:rsid w:val="000257D8"/>
    <w:rsid w:val="0003218F"/>
    <w:rsid w:val="000344BA"/>
    <w:rsid w:val="00041DA1"/>
    <w:rsid w:val="00044143"/>
    <w:rsid w:val="00052499"/>
    <w:rsid w:val="000525DA"/>
    <w:rsid w:val="00066DA4"/>
    <w:rsid w:val="00073A47"/>
    <w:rsid w:val="000759BB"/>
    <w:rsid w:val="000A2074"/>
    <w:rsid w:val="000B126F"/>
    <w:rsid w:val="000E71FC"/>
    <w:rsid w:val="000F1CA7"/>
    <w:rsid w:val="000F3D29"/>
    <w:rsid w:val="000F5216"/>
    <w:rsid w:val="00112A3C"/>
    <w:rsid w:val="001274F9"/>
    <w:rsid w:val="001564BE"/>
    <w:rsid w:val="001600AB"/>
    <w:rsid w:val="00166BF4"/>
    <w:rsid w:val="00173999"/>
    <w:rsid w:val="0018184A"/>
    <w:rsid w:val="001B4A8F"/>
    <w:rsid w:val="001B7B05"/>
    <w:rsid w:val="001C6AAE"/>
    <w:rsid w:val="001D27A2"/>
    <w:rsid w:val="001F382A"/>
    <w:rsid w:val="001F723F"/>
    <w:rsid w:val="00221CCE"/>
    <w:rsid w:val="002450E8"/>
    <w:rsid w:val="00275B43"/>
    <w:rsid w:val="0027704F"/>
    <w:rsid w:val="00280288"/>
    <w:rsid w:val="0029738E"/>
    <w:rsid w:val="002A730A"/>
    <w:rsid w:val="002C0B2B"/>
    <w:rsid w:val="002E3CFC"/>
    <w:rsid w:val="00317D64"/>
    <w:rsid w:val="00324B59"/>
    <w:rsid w:val="00352B1F"/>
    <w:rsid w:val="00367FA6"/>
    <w:rsid w:val="00392161"/>
    <w:rsid w:val="003935B2"/>
    <w:rsid w:val="003A0790"/>
    <w:rsid w:val="003B16DA"/>
    <w:rsid w:val="003B2D65"/>
    <w:rsid w:val="003F78A7"/>
    <w:rsid w:val="00420784"/>
    <w:rsid w:val="00426EF2"/>
    <w:rsid w:val="00444F02"/>
    <w:rsid w:val="00460479"/>
    <w:rsid w:val="00464D57"/>
    <w:rsid w:val="0047014D"/>
    <w:rsid w:val="004726E3"/>
    <w:rsid w:val="00481121"/>
    <w:rsid w:val="004834B0"/>
    <w:rsid w:val="0049126F"/>
    <w:rsid w:val="00492AFD"/>
    <w:rsid w:val="004A5611"/>
    <w:rsid w:val="004B488D"/>
    <w:rsid w:val="004B5E9C"/>
    <w:rsid w:val="004B6042"/>
    <w:rsid w:val="004B665B"/>
    <w:rsid w:val="004B6F1E"/>
    <w:rsid w:val="004C6186"/>
    <w:rsid w:val="004D1734"/>
    <w:rsid w:val="004D483D"/>
    <w:rsid w:val="004E0396"/>
    <w:rsid w:val="004F7337"/>
    <w:rsid w:val="00527F21"/>
    <w:rsid w:val="00535E91"/>
    <w:rsid w:val="00553530"/>
    <w:rsid w:val="00555A1C"/>
    <w:rsid w:val="00555CFE"/>
    <w:rsid w:val="0059221B"/>
    <w:rsid w:val="005E0695"/>
    <w:rsid w:val="005E2207"/>
    <w:rsid w:val="006012B9"/>
    <w:rsid w:val="00602D52"/>
    <w:rsid w:val="00613C4E"/>
    <w:rsid w:val="00614B73"/>
    <w:rsid w:val="006421C6"/>
    <w:rsid w:val="00645AB6"/>
    <w:rsid w:val="0065260B"/>
    <w:rsid w:val="006704BA"/>
    <w:rsid w:val="00685749"/>
    <w:rsid w:val="006B5C7F"/>
    <w:rsid w:val="006C2D83"/>
    <w:rsid w:val="006C43BE"/>
    <w:rsid w:val="006E16BF"/>
    <w:rsid w:val="00710E6D"/>
    <w:rsid w:val="0072583C"/>
    <w:rsid w:val="00730CC8"/>
    <w:rsid w:val="00747E95"/>
    <w:rsid w:val="00754B4F"/>
    <w:rsid w:val="007560DC"/>
    <w:rsid w:val="00776905"/>
    <w:rsid w:val="00776B8A"/>
    <w:rsid w:val="00777F13"/>
    <w:rsid w:val="0078453E"/>
    <w:rsid w:val="00786345"/>
    <w:rsid w:val="007951FE"/>
    <w:rsid w:val="007A6D13"/>
    <w:rsid w:val="007B3D71"/>
    <w:rsid w:val="007F31FD"/>
    <w:rsid w:val="00805F1A"/>
    <w:rsid w:val="00816E8D"/>
    <w:rsid w:val="008355D2"/>
    <w:rsid w:val="00841C46"/>
    <w:rsid w:val="00890419"/>
    <w:rsid w:val="008A4BED"/>
    <w:rsid w:val="008B53BE"/>
    <w:rsid w:val="008B567B"/>
    <w:rsid w:val="008C02C7"/>
    <w:rsid w:val="008D3BE8"/>
    <w:rsid w:val="008E04DE"/>
    <w:rsid w:val="008E1F3B"/>
    <w:rsid w:val="008F3356"/>
    <w:rsid w:val="008F38F3"/>
    <w:rsid w:val="0093087C"/>
    <w:rsid w:val="009333FB"/>
    <w:rsid w:val="009357AC"/>
    <w:rsid w:val="009437F9"/>
    <w:rsid w:val="00944765"/>
    <w:rsid w:val="00955B01"/>
    <w:rsid w:val="009649D6"/>
    <w:rsid w:val="009725EF"/>
    <w:rsid w:val="00982AB4"/>
    <w:rsid w:val="0099652B"/>
    <w:rsid w:val="009A5955"/>
    <w:rsid w:val="009B03F0"/>
    <w:rsid w:val="009B2074"/>
    <w:rsid w:val="009B2187"/>
    <w:rsid w:val="009E00F9"/>
    <w:rsid w:val="009F136B"/>
    <w:rsid w:val="009F5236"/>
    <w:rsid w:val="00A01A4E"/>
    <w:rsid w:val="00A02914"/>
    <w:rsid w:val="00A12122"/>
    <w:rsid w:val="00A37E0B"/>
    <w:rsid w:val="00A506EE"/>
    <w:rsid w:val="00A64848"/>
    <w:rsid w:val="00A80510"/>
    <w:rsid w:val="00A84E85"/>
    <w:rsid w:val="00A8791E"/>
    <w:rsid w:val="00AB2764"/>
    <w:rsid w:val="00AC0A1B"/>
    <w:rsid w:val="00AC7846"/>
    <w:rsid w:val="00AE4AC1"/>
    <w:rsid w:val="00B376FD"/>
    <w:rsid w:val="00B5066F"/>
    <w:rsid w:val="00B528C3"/>
    <w:rsid w:val="00B54E0A"/>
    <w:rsid w:val="00B66726"/>
    <w:rsid w:val="00B66A4E"/>
    <w:rsid w:val="00B72FDF"/>
    <w:rsid w:val="00B83D2A"/>
    <w:rsid w:val="00B863FA"/>
    <w:rsid w:val="00BB11FB"/>
    <w:rsid w:val="00BC038F"/>
    <w:rsid w:val="00BD343C"/>
    <w:rsid w:val="00BF7884"/>
    <w:rsid w:val="00C003D2"/>
    <w:rsid w:val="00C06D17"/>
    <w:rsid w:val="00C12512"/>
    <w:rsid w:val="00C75316"/>
    <w:rsid w:val="00C86AD7"/>
    <w:rsid w:val="00C86AFF"/>
    <w:rsid w:val="00CA5938"/>
    <w:rsid w:val="00CA6CC0"/>
    <w:rsid w:val="00CE5317"/>
    <w:rsid w:val="00CF7B18"/>
    <w:rsid w:val="00D132F9"/>
    <w:rsid w:val="00D22620"/>
    <w:rsid w:val="00D673CB"/>
    <w:rsid w:val="00D82A55"/>
    <w:rsid w:val="00D82E22"/>
    <w:rsid w:val="00D9149D"/>
    <w:rsid w:val="00DA01B3"/>
    <w:rsid w:val="00DB4BB4"/>
    <w:rsid w:val="00DD00A1"/>
    <w:rsid w:val="00DF3451"/>
    <w:rsid w:val="00E065B1"/>
    <w:rsid w:val="00E35A8B"/>
    <w:rsid w:val="00E4012A"/>
    <w:rsid w:val="00E41F79"/>
    <w:rsid w:val="00E72150"/>
    <w:rsid w:val="00EA591F"/>
    <w:rsid w:val="00EC287A"/>
    <w:rsid w:val="00EC4F92"/>
    <w:rsid w:val="00ED29B2"/>
    <w:rsid w:val="00ED3217"/>
    <w:rsid w:val="00ED5588"/>
    <w:rsid w:val="00EE2A45"/>
    <w:rsid w:val="00F03D64"/>
    <w:rsid w:val="00F107B0"/>
    <w:rsid w:val="00F1378E"/>
    <w:rsid w:val="00F14E8B"/>
    <w:rsid w:val="00F33A6B"/>
    <w:rsid w:val="00F5259E"/>
    <w:rsid w:val="00F8570C"/>
    <w:rsid w:val="00F928CF"/>
    <w:rsid w:val="00FB051A"/>
    <w:rsid w:val="00FB205E"/>
    <w:rsid w:val="00FD0049"/>
    <w:rsid w:val="00FD26DB"/>
    <w:rsid w:val="00FF04D1"/>
    <w:rsid w:val="00FF3724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CC79"/>
  <w15:docId w15:val="{020D9CC5-4C85-4C15-9256-45D97E5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218F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21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21"/>
  </w:style>
  <w:style w:type="paragraph" w:styleId="Footer">
    <w:name w:val="footer"/>
    <w:basedOn w:val="Normal"/>
    <w:link w:val="FooterChar"/>
    <w:uiPriority w:val="99"/>
    <w:unhideWhenUsed/>
    <w:rsid w:val="00527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21"/>
  </w:style>
  <w:style w:type="paragraph" w:styleId="BalloonText">
    <w:name w:val="Balloon Text"/>
    <w:basedOn w:val="Normal"/>
    <w:link w:val="BalloonTextChar"/>
    <w:uiPriority w:val="99"/>
    <w:semiHidden/>
    <w:unhideWhenUsed/>
    <w:rsid w:val="00955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00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0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7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CCE"/>
    <w:rPr>
      <w:color w:val="E36C0A" w:themeColor="accent6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2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Robertas Noreika</dc:creator>
  <cp:lastModifiedBy>Božena Rokienė</cp:lastModifiedBy>
  <cp:revision>20</cp:revision>
  <cp:lastPrinted>2020-03-19T10:24:00Z</cp:lastPrinted>
  <dcterms:created xsi:type="dcterms:W3CDTF">2023-09-19T11:17:00Z</dcterms:created>
  <dcterms:modified xsi:type="dcterms:W3CDTF">2024-01-17T07:56:00Z</dcterms:modified>
</cp:coreProperties>
</file>