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57BD8" w:rsidRPr="00257BD8" w14:paraId="6BD6A9BE" w14:textId="77777777" w:rsidTr="00257BD8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B8EA" w14:textId="77777777"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257BD8" w:rsidRPr="00257BD8" w14:paraId="2D997DC9" w14:textId="77777777" w:rsidTr="00257BD8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DBD4" w14:textId="77777777" w:rsidR="00257BD8" w:rsidRPr="00257BD8" w:rsidRDefault="00D52D22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2024</w:t>
            </w:r>
            <w:r w:rsidR="00257BD8"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2CF4" w14:textId="77777777"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257BD8" w:rsidRPr="00257BD8" w14:paraId="351219E0" w14:textId="77777777" w:rsidTr="00257BD8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4622" w14:textId="77777777" w:rsidR="00257BD8" w:rsidRPr="00257BD8" w:rsidRDefault="00B34D1B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4</w:t>
            </w:r>
            <w:r w:rsidR="00257BD8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7672" w14:textId="77777777"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C310" w14:textId="77777777"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127770C8" w14:textId="77777777" w:rsidR="00052A51" w:rsidRDefault="00052A51" w:rsidP="00052A51">
      <w:pPr>
        <w:spacing w:after="0" w:line="276" w:lineRule="auto"/>
        <w:ind w:left="5040" w:firstLine="720"/>
        <w:rPr>
          <w:rFonts w:ascii="Times New Roman" w:eastAsia="Calibri" w:hAnsi="Times New Roman" w:cs="Times New Roman"/>
          <w:lang w:val="lt-LT"/>
        </w:rPr>
      </w:pPr>
    </w:p>
    <w:p w14:paraId="0B2E6A4C" w14:textId="77777777"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14:paraId="0EB09D96" w14:textId="77777777"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14:paraId="289A2AE8" w14:textId="77777777"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3D6CCE96" w14:textId="77777777"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14:paraId="123E3533" w14:textId="77777777"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</w:t>
      </w:r>
      <w:r>
        <w:rPr>
          <w:rFonts w:ascii="Times New Roman" w:eastAsia="Calibri" w:hAnsi="Times New Roman" w:cs="Times New Roman"/>
          <w:sz w:val="24"/>
          <w:lang w:val="lt-LT"/>
        </w:rPr>
        <w:t>10.2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14:paraId="778B9DCC" w14:textId="77777777"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vokų su pasiūlymais atplėšimo 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52D22">
        <w:rPr>
          <w:rFonts w:ascii="Times New Roman" w:eastAsia="Calibri" w:hAnsi="Times New Roman" w:cs="Times New Roman"/>
          <w:b/>
          <w:sz w:val="24"/>
          <w:lang w:val="lt-LT"/>
        </w:rPr>
        <w:t>– 2024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m. </w:t>
      </w:r>
      <w:r w:rsidR="00D52D22">
        <w:rPr>
          <w:rFonts w:ascii="Times New Roman" w:eastAsia="Calibri" w:hAnsi="Times New Roman" w:cs="Times New Roman"/>
          <w:b/>
          <w:sz w:val="24"/>
          <w:lang w:val="lt-LT"/>
        </w:rPr>
        <w:t>lapkritį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14:paraId="423184C2" w14:textId="77777777"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00BEE4D1" w14:textId="77777777"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14:paraId="365CCD57" w14:textId="77777777"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213E4AEA" w14:textId="77777777"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14:paraId="6DCCBCCF" w14:textId="77777777"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 w14:anchorId="0254D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5pt;height:16.9pt" o:ole="" fillcolor="window">
            <v:imagedata r:id="rId6" o:title=""/>
          </v:shape>
          <o:OLEObject Type="Embed" ProgID="Equation.3" ShapeID="_x0000_i1025" DrawAspect="Content" ObjectID="_1769345925" r:id="rId7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 w14:anchorId="0D1D5D82">
          <v:shape id="_x0000_i1026" type="#_x0000_t75" style="width:41.45pt;height:33.8pt" o:ole="" fillcolor="window">
            <v:imagedata r:id="rId8" o:title=""/>
          </v:shape>
          <o:OLEObject Type="Embed" ProgID="Equation.3" ShapeID="_x0000_i1026" DrawAspect="Content" ObjectID="_1769345926" r:id="rId9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14:paraId="62744E2E" w14:textId="77777777"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5. Nuolaida (priedas) nekeičiama per visą sutarties galiojimo laiką. Sutartyje (Sutarties 1 priede) nurodyta kaina keičiama,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kainos indeksas yra didesnis negu 1,1 ar mažesnis negu 0,9.</w:t>
      </w:r>
    </w:p>
    <w:p w14:paraId="22E813A7" w14:textId="77777777" w:rsidR="00E056B9" w:rsidRPr="00F6755A" w:rsidRDefault="00E056B9" w:rsidP="00A33435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3C46B872" w14:textId="77777777" w:rsidR="00E056B9" w:rsidRPr="00F6755A" w:rsidRDefault="00E056B9" w:rsidP="00A334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, KAINOS KEITIMO TVARKA</w:t>
      </w:r>
    </w:p>
    <w:p w14:paraId="001ED1E6" w14:textId="77777777"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396707EC" w14:textId="77777777"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kaina nuo Sutarties sudarymo nebuvo keičiama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14:paraId="40A7B863" w14:textId="77777777"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 w14:anchorId="3A99027F">
          <v:shape id="_x0000_i1027" type="#_x0000_t75" style="width:108.55pt;height:34.9pt" o:ole="" fillcolor="window">
            <v:imagedata r:id="rId10" o:title=""/>
          </v:shape>
          <o:OLEObject Type="Embed" ProgID="Equation.3" ShapeID="_x0000_i1027" DrawAspect="Content" ObjectID="_1769345927" r:id="rId11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14:paraId="7D59730C" w14:textId="77777777"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14:paraId="6B9F7F54" w14:textId="77777777"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(Sutarties 1 priede) nurodytą kainą.</w:t>
      </w:r>
    </w:p>
    <w:p w14:paraId="60E4AFFA" w14:textId="77777777"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kaina nuo sutarties sudarymo jau buvo pakeista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14:paraId="403FEA67" w14:textId="77777777"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 w14:anchorId="1B018A70">
          <v:shape id="_x0000_i1028" type="#_x0000_t75" style="width:109.65pt;height:34.9pt" o:ole="" fillcolor="window">
            <v:imagedata r:id="rId12" o:title=""/>
          </v:shape>
          <o:OLEObject Type="Embed" ProgID="Equation.3" ShapeID="_x0000_i1028" DrawAspect="Content" ObjectID="_1769345928" r:id="rId13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14:paraId="6F10506D" w14:textId="77777777"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14:paraId="5FEA4BB9" w14:textId="77777777"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14:paraId="3A67E83A" w14:textId="77777777"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14:paraId="3F44C1C0" w14:textId="77777777"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14:paraId="4BC9C3EE" w14:textId="77777777"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14:paraId="166E71DB" w14:textId="77777777"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14:paraId="2612A3B8" w14:textId="77777777"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14:paraId="21932836" w14:textId="77777777" w:rsidR="00E056B9" w:rsidRDefault="00E056B9" w:rsidP="00E056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257A53FE" w14:textId="74D88B73" w:rsidR="00E056B9" w:rsidRPr="00F6755A" w:rsidRDefault="00E056B9" w:rsidP="00E056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="00704190">
        <w:rPr>
          <w:rFonts w:ascii="Times New Roman" w:eastAsia="Calibri" w:hAnsi="Times New Roman" w:cs="Times New Roman"/>
          <w:b/>
          <w:sz w:val="24"/>
          <w:lang w:val="lt-LT"/>
        </w:rPr>
        <w:t>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14:paraId="60F50FD6" w14:textId="77777777" w:rsidR="00E056B9" w:rsidRPr="00F6755A" w:rsidRDefault="00E056B9" w:rsidP="00E056B9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346D7968" w14:textId="59A40EE0" w:rsidR="00E056B9" w:rsidRPr="00F6755A" w:rsidRDefault="00B329A9" w:rsidP="00E056B9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10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. Kainos pakeitimas galimas tik po to kai gaunama </w:t>
      </w:r>
      <w:r w:rsidR="00E056B9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="00E056B9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informacija apie vidutines mažmenines kainas ir jų pokyčius praėjusį mėnesį. Kainos pakeitimą inicijuoja suinteresuota Sutarties </w:t>
      </w:r>
      <w:r w:rsidR="00E056B9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E056B9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="00E056B9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pažymas). Du mėnesius nuo </w:t>
      </w:r>
      <w:r w:rsidR="00E056B9">
        <w:rPr>
          <w:rFonts w:ascii="Times New Roman" w:eastAsia="Calibri" w:hAnsi="Times New Roman" w:cs="Times New Roman"/>
          <w:sz w:val="24"/>
          <w:lang w:val="lt-LT"/>
        </w:rPr>
        <w:t>pirmojo prekės užsakymo pateikimo dienos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nurodyt</w:t>
      </w:r>
      <w:r w:rsidR="00E056B9">
        <w:rPr>
          <w:rFonts w:ascii="Times New Roman" w:eastAsia="Calibri" w:hAnsi="Times New Roman" w:cs="Times New Roman"/>
          <w:sz w:val="24"/>
          <w:lang w:val="lt-LT"/>
        </w:rPr>
        <w:t xml:space="preserve">ais įkainiais 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>(pasiūlyme nurodyt</w:t>
      </w:r>
      <w:r w:rsidR="00E056B9">
        <w:rPr>
          <w:rFonts w:ascii="Times New Roman" w:eastAsia="Calibri" w:hAnsi="Times New Roman" w:cs="Times New Roman"/>
          <w:sz w:val="24"/>
          <w:lang w:val="lt-LT"/>
        </w:rPr>
        <w:t>ais įkainiais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14:paraId="66D75D80" w14:textId="485BE52A" w:rsidR="00E056B9" w:rsidRPr="00F6755A" w:rsidRDefault="00B329A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11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. Pakeista konkretaus pavadinimo prekės kaina įforminama sutarties </w:t>
      </w:r>
      <w:r w:rsidR="00E056B9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14:paraId="6F2AE5B8" w14:textId="06CC5A6D" w:rsidR="00E056B9" w:rsidRPr="00F6755A" w:rsidRDefault="00B329A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12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kainos keitimo ne vėliau kaip per 3 (tris) darbo dienas, nuo </w:t>
      </w:r>
      <w:r w:rsidR="00E056B9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E056B9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14:paraId="5BBBA519" w14:textId="129E9EE2" w:rsidR="00E056B9" w:rsidRDefault="00B329A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13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 w:rsidR="00E056B9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="00E056B9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>papildoma informacija apie teikiamas konkretaus pavadinimo prekės (-</w:t>
      </w:r>
      <w:proofErr w:type="spellStart"/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) vidutines mažmenines kainas. Gavus </w:t>
      </w:r>
      <w:r w:rsidR="00E056B9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="00E056B9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>informaciją apie konkretaus pavadinimo prekės (-</w:t>
      </w:r>
      <w:proofErr w:type="spellStart"/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14:paraId="48B9A798" w14:textId="7113CD59" w:rsidR="00E056B9" w:rsidRDefault="00B329A9" w:rsidP="00E056B9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14</w:t>
      </w:r>
      <w:bookmarkStart w:id="0" w:name="_GoBack"/>
      <w:bookmarkEnd w:id="0"/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="00E056B9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E056B9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14:paraId="155F4132" w14:textId="77777777" w:rsidR="00052A51" w:rsidRDefault="00052A51" w:rsidP="00E056B9">
      <w:pPr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sectPr w:rsidR="00052A51" w:rsidSect="00F6755A">
      <w:headerReference w:type="default" r:id="rId14"/>
      <w:pgSz w:w="11906" w:h="16838"/>
      <w:pgMar w:top="567" w:right="567" w:bottom="51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047C3" w14:textId="77777777" w:rsidR="00830FB3" w:rsidRDefault="00830FB3">
      <w:pPr>
        <w:spacing w:after="0" w:line="240" w:lineRule="auto"/>
      </w:pPr>
      <w:r>
        <w:separator/>
      </w:r>
    </w:p>
  </w:endnote>
  <w:endnote w:type="continuationSeparator" w:id="0">
    <w:p w14:paraId="2092382D" w14:textId="77777777" w:rsidR="00830FB3" w:rsidRDefault="0083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5535C" w14:textId="77777777" w:rsidR="00830FB3" w:rsidRDefault="00830FB3">
      <w:pPr>
        <w:spacing w:after="0" w:line="240" w:lineRule="auto"/>
      </w:pPr>
      <w:r>
        <w:separator/>
      </w:r>
    </w:p>
  </w:footnote>
  <w:footnote w:type="continuationSeparator" w:id="0">
    <w:p w14:paraId="033CE911" w14:textId="77777777" w:rsidR="00830FB3" w:rsidRDefault="0083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0B63" w14:textId="3C429A75"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329A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11328"/>
    <w:rsid w:val="00047EF1"/>
    <w:rsid w:val="00052A51"/>
    <w:rsid w:val="00053BD2"/>
    <w:rsid w:val="00086493"/>
    <w:rsid w:val="000B24F0"/>
    <w:rsid w:val="000D610E"/>
    <w:rsid w:val="00135751"/>
    <w:rsid w:val="001527D5"/>
    <w:rsid w:val="0016647B"/>
    <w:rsid w:val="0019653C"/>
    <w:rsid w:val="001A1FA6"/>
    <w:rsid w:val="001C05B5"/>
    <w:rsid w:val="001C3F96"/>
    <w:rsid w:val="001C7F7B"/>
    <w:rsid w:val="001D278A"/>
    <w:rsid w:val="002347D7"/>
    <w:rsid w:val="00257BD8"/>
    <w:rsid w:val="00274CBF"/>
    <w:rsid w:val="002F5DCE"/>
    <w:rsid w:val="00330734"/>
    <w:rsid w:val="003377E3"/>
    <w:rsid w:val="00340583"/>
    <w:rsid w:val="00367BE8"/>
    <w:rsid w:val="00371419"/>
    <w:rsid w:val="0037316B"/>
    <w:rsid w:val="003917D4"/>
    <w:rsid w:val="003D7CBA"/>
    <w:rsid w:val="004401B6"/>
    <w:rsid w:val="004471FF"/>
    <w:rsid w:val="004A5222"/>
    <w:rsid w:val="004B264A"/>
    <w:rsid w:val="004C16F3"/>
    <w:rsid w:val="004E56AD"/>
    <w:rsid w:val="004F07C7"/>
    <w:rsid w:val="005327DC"/>
    <w:rsid w:val="0055359B"/>
    <w:rsid w:val="005556FC"/>
    <w:rsid w:val="0056162A"/>
    <w:rsid w:val="006661BB"/>
    <w:rsid w:val="006871CC"/>
    <w:rsid w:val="006B429A"/>
    <w:rsid w:val="006C252B"/>
    <w:rsid w:val="006C59CE"/>
    <w:rsid w:val="006E37D6"/>
    <w:rsid w:val="006E4013"/>
    <w:rsid w:val="00700892"/>
    <w:rsid w:val="00704190"/>
    <w:rsid w:val="007264D3"/>
    <w:rsid w:val="007313FD"/>
    <w:rsid w:val="00737879"/>
    <w:rsid w:val="00765332"/>
    <w:rsid w:val="007C4B30"/>
    <w:rsid w:val="007F201D"/>
    <w:rsid w:val="00830FB3"/>
    <w:rsid w:val="0084082F"/>
    <w:rsid w:val="00842121"/>
    <w:rsid w:val="008844EF"/>
    <w:rsid w:val="00896BBE"/>
    <w:rsid w:val="008C3286"/>
    <w:rsid w:val="008D7727"/>
    <w:rsid w:val="00912891"/>
    <w:rsid w:val="00981083"/>
    <w:rsid w:val="009C0086"/>
    <w:rsid w:val="009D3C69"/>
    <w:rsid w:val="00A15057"/>
    <w:rsid w:val="00A248C0"/>
    <w:rsid w:val="00AB1D2D"/>
    <w:rsid w:val="00AE02C6"/>
    <w:rsid w:val="00B20F1E"/>
    <w:rsid w:val="00B24814"/>
    <w:rsid w:val="00B329A9"/>
    <w:rsid w:val="00B34D1B"/>
    <w:rsid w:val="00B36070"/>
    <w:rsid w:val="00B8619A"/>
    <w:rsid w:val="00BD1A50"/>
    <w:rsid w:val="00BD36EA"/>
    <w:rsid w:val="00BD5F3C"/>
    <w:rsid w:val="00C10A5D"/>
    <w:rsid w:val="00C557FB"/>
    <w:rsid w:val="00CB1D53"/>
    <w:rsid w:val="00CD3284"/>
    <w:rsid w:val="00CE1902"/>
    <w:rsid w:val="00D15DB7"/>
    <w:rsid w:val="00D33690"/>
    <w:rsid w:val="00D35BEA"/>
    <w:rsid w:val="00D52D22"/>
    <w:rsid w:val="00DC23D6"/>
    <w:rsid w:val="00DC33A4"/>
    <w:rsid w:val="00DE2E04"/>
    <w:rsid w:val="00DF4128"/>
    <w:rsid w:val="00E056B9"/>
    <w:rsid w:val="00E81ED3"/>
    <w:rsid w:val="00F10684"/>
    <w:rsid w:val="00F5362D"/>
    <w:rsid w:val="00F77AC9"/>
    <w:rsid w:val="00FA0161"/>
    <w:rsid w:val="00FD5A35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6B73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D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42</cp:revision>
  <cp:lastPrinted>2020-07-07T07:36:00Z</cp:lastPrinted>
  <dcterms:created xsi:type="dcterms:W3CDTF">2021-11-22T12:13:00Z</dcterms:created>
  <dcterms:modified xsi:type="dcterms:W3CDTF">2024-02-13T14:12:00Z</dcterms:modified>
</cp:coreProperties>
</file>