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2269" w14:textId="77777777" w:rsidR="009C0648" w:rsidRDefault="009C0648" w:rsidP="009C06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14:paraId="5988F813" w14:textId="77777777" w:rsidR="009C0648" w:rsidRDefault="009C0648" w:rsidP="009C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14:paraId="76A1DA40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EB1ED" w14:textId="13C670D1" w:rsidR="009C0648" w:rsidRDefault="009C0648" w:rsidP="009C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073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585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273C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47F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947F3">
        <w:rPr>
          <w:rFonts w:ascii="Times New Roman" w:eastAsia="Times New Roman" w:hAnsi="Times New Roman" w:cs="Times New Roman"/>
          <w:sz w:val="24"/>
          <w:szCs w:val="24"/>
        </w:rPr>
        <w:t>27</w:t>
      </w:r>
    </w:p>
    <w:p w14:paraId="123CA180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5458"/>
      </w:tblGrid>
      <w:tr w:rsidR="009C0648" w:rsidRPr="009C0648" w14:paraId="391C2639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98BE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pavadinimas ir kodas</w:t>
            </w:r>
          </w:p>
          <w:p w14:paraId="7F786C23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tiekėjų grupė, nurodyti visų tiekėjų grupės partnerių pavadinimai ir kodai)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6FB" w14:textId="12F613D9" w:rsidR="009C0648" w:rsidRDefault="0080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 Žemaitijos pienas</w:t>
            </w:r>
          </w:p>
        </w:tc>
      </w:tr>
      <w:tr w:rsidR="009C0648" w:rsidRPr="009C0648" w14:paraId="31016880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26C9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adresas</w:t>
            </w:r>
          </w:p>
          <w:p w14:paraId="1623AAD7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 pasiūlymą pateikia tiekėjų grupė, nurodyti visų tiekėjų grupės partnerių adresus)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7F5" w14:textId="3C32565B" w:rsidR="009C0648" w:rsidRDefault="0080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Sedos g.35,Telšiai</w:t>
            </w:r>
          </w:p>
        </w:tc>
      </w:tr>
      <w:tr w:rsidR="009C0648" w:rsidRPr="009C0648" w14:paraId="50ED498F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224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įgalioto asmens pasirašyti pasiūlymą vardas ir pavardė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82C" w14:textId="74CA1870" w:rsidR="009C0648" w:rsidRDefault="00BD7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Edgaras Ramonas</w:t>
            </w:r>
          </w:p>
        </w:tc>
      </w:tr>
      <w:tr w:rsidR="009C0648" w:rsidRPr="009C0648" w14:paraId="017EFF4E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CA2B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įgalioto asmens bendrauti pateikto pasiūlymo klausimais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795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648" w14:paraId="779DC9C9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474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telefono/fakso numeris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3B3" w14:textId="0F05EEFF" w:rsidR="009C0648" w:rsidRDefault="00BD7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861945177</w:t>
            </w:r>
          </w:p>
        </w:tc>
      </w:tr>
      <w:tr w:rsidR="009C0648" w14:paraId="0E925910" w14:textId="77777777" w:rsidTr="00E73690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09D8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Dalyvio el. pašto adresas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DFA" w14:textId="71F6DE82" w:rsidR="009C0648" w:rsidRPr="008073B3" w:rsidRDefault="0080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@zpienas.lt</w:t>
            </w:r>
          </w:p>
        </w:tc>
      </w:tr>
    </w:tbl>
    <w:p w14:paraId="1F6F7B1A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26871" w14:textId="77777777" w:rsidR="009C0648" w:rsidRDefault="009C0648" w:rsidP="009C0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Pažymime, kad sutinkame su visomis pirkimo dokumentų sąlygomis.</w:t>
      </w:r>
    </w:p>
    <w:p w14:paraId="2CFD8248" w14:textId="77777777" w:rsidR="009C0648" w:rsidRDefault="009C0648" w:rsidP="009C06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Siūlome šiuos prekių įkainius: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850"/>
        <w:gridCol w:w="1701"/>
        <w:gridCol w:w="1701"/>
        <w:gridCol w:w="2264"/>
      </w:tblGrid>
      <w:tr w:rsidR="009C0648" w14:paraId="26D0688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C5B9" w14:textId="1EAE0788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E73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FB35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Prekių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1883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</w:t>
            </w:r>
          </w:p>
          <w:p w14:paraId="429F47F6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132" w14:textId="5F7D61B3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Preliminarus </w:t>
            </w:r>
            <w:r w:rsidR="00677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E73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mėn. prekių tiekimo laikotarpio</w:t>
            </w:r>
          </w:p>
          <w:p w14:paraId="3A3B7A49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  <w:p w14:paraId="16CF0462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07B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 įkainis EUR be PVM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6019" w14:textId="77777777" w:rsidR="009C0648" w:rsidRDefault="009C06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Preliminari kaina EUR be PVM</w:t>
            </w:r>
          </w:p>
        </w:tc>
      </w:tr>
      <w:tr w:rsidR="009F5A79" w14:paraId="2BD473AB" w14:textId="77777777" w:rsidTr="000528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BCD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D8F" w14:textId="4EFDF255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Pienas „Lankų“ 2,5proc.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FAFB" w14:textId="6C240CA7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3577" w14:textId="3B7A05AB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F1FE9A" w14:textId="1B145D24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C15B33" w14:textId="2F6C7F07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3570,00</w:t>
            </w:r>
          </w:p>
        </w:tc>
      </w:tr>
      <w:tr w:rsidR="009F5A79" w14:paraId="34FF17A5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D2F" w14:textId="1E80BE9B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112F" w14:textId="03CDD0D1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Kefyras „Lankų“ 2,5proc.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F8E3" w14:textId="37028D59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AE0" w14:textId="7272940B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D4381E" w14:textId="7745E3BA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79C173" w14:textId="7051EFC1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9F5A79" w14:paraId="6F43C6C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47E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F3D" w14:textId="68717E63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aseptinis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2proc.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EC5B" w14:textId="13F30BEB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26B0" w14:textId="59AD8EC1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EE20A6" w14:textId="4F3E4982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67841C" w14:textId="1267B282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128,25</w:t>
            </w:r>
          </w:p>
        </w:tc>
      </w:tr>
      <w:tr w:rsidR="009F5A79" w14:paraId="6F4FF91A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792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C1E9" w14:textId="00BCCF08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Šaltibarščių kefyras „Žemaitijos“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F87C" w14:textId="285D8EB8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9C04" w14:textId="2BBBDA09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C51FBF" w14:textId="2396F2A5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5F9124" w14:textId="2F37CE37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</w:tr>
      <w:tr w:rsidR="009F5A79" w14:paraId="7BE94239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509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C7E5" w14:textId="3C1B086E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Sviestas „Žemaitijos“ 200g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45B4" w14:textId="03B5FB55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D5FF" w14:textId="2A11F176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2A55AD" w14:textId="70E7656D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25B6FA" w14:textId="0AEED52C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1650,00</w:t>
            </w:r>
          </w:p>
        </w:tc>
      </w:tr>
      <w:tr w:rsidR="009F5A79" w14:paraId="660F1525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87C2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0267" w14:textId="00A36AB2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Jogurtinė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grietinė „Žemaitijos“ 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1CF6" w14:textId="77779B9B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04B" w14:textId="27B38CCC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3CB631" w14:textId="782AFD5B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26516F" w14:textId="0774AD83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486,40</w:t>
            </w:r>
          </w:p>
        </w:tc>
      </w:tr>
      <w:tr w:rsidR="009F5A79" w14:paraId="4279F4C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62A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2E6A" w14:textId="20AD69AB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Ekologiškas natūralus jogurtas „Dobilas“ 125g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5461" w14:textId="42997E32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C5BC" w14:textId="7301263D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3A957C" w14:textId="24468884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85AE3C" w14:textId="22313ABB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</w:tr>
      <w:tr w:rsidR="009F5A79" w14:paraId="0C54564F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A2D2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4527" w14:textId="201D0E63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Ekologiškas natūralus jogurtas „Dobilas“ 300g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D478" w14:textId="29603C57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B744" w14:textId="021E22B7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8983F8" w14:textId="40EFFE8E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9899E3" w14:textId="55A6DDFE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</w:tr>
      <w:tr w:rsidR="009F5A79" w14:paraId="7061D85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B91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4CC" w14:textId="372E3675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Tepamas sūrelis „Rambynas“ visi skoniai 175g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B5A5" w14:textId="16A28AA4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7C57" w14:textId="2384AA55" w:rsidR="009F5A79" w:rsidRPr="00743CA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9F0A1F" w14:textId="520555D1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540C1E" w14:textId="7D9F2CBD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568,75</w:t>
            </w:r>
          </w:p>
        </w:tc>
      </w:tr>
      <w:tr w:rsidR="009F5A79" w14:paraId="1909D5BD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546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25F4" w14:textId="6D26A8FC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Sūris Germanto Tilsit(Vaikams) 200g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BF9" w14:textId="6C955D6F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A21" w14:textId="154B2968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321015" w14:textId="31BA10AA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9FC307" w14:textId="5E845C33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972,00</w:t>
            </w:r>
          </w:p>
        </w:tc>
      </w:tr>
      <w:tr w:rsidR="009F5A79" w14:paraId="17175C54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03F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0748" w14:textId="38306001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-nik sūrio lazdelės 280g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506A" w14:textId="75C5D02F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C4A0" w14:textId="66540AAC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E33153" w14:textId="4A1E0626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E81917" w14:textId="16D1EF04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1309,00</w:t>
            </w:r>
          </w:p>
        </w:tc>
      </w:tr>
      <w:tr w:rsidR="009F5A79" w14:paraId="01DEAC8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53D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43D" w14:textId="3FD2317C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„Žemaitijos“ Varškė 180g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D466" w14:textId="40D08D7D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1789" w14:textId="55CE21A7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66AB60" w14:textId="7CDEC913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95C18" w14:textId="0ECB21CE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2472,00</w:t>
            </w:r>
          </w:p>
        </w:tc>
      </w:tr>
      <w:tr w:rsidR="009F5A79" w14:paraId="09A9576C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C03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A62F" w14:textId="06D65D5E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Grietinė „Žemaitijos“ 200g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4F3D" w14:textId="1BD0DC57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9BDF" w14:textId="361B564B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18324" w14:textId="09D4E5FA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1B0E0B5" w14:textId="21DC9BE7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1377,00</w:t>
            </w:r>
          </w:p>
        </w:tc>
      </w:tr>
      <w:tr w:rsidR="009F5A79" w14:paraId="6740AC09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1A4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E63" w14:textId="5FF7E083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Ekologiškas varškės sūrelis „Dobilas“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A5B0" w14:textId="72818091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618" w14:textId="73763227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A9F295" w14:textId="478755E7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CC4359" w14:textId="2755AC02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9F5A79" w14:paraId="1E9966A3" w14:textId="77777777" w:rsidTr="00743CA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51B" w14:textId="77777777" w:rsidR="009F5A79" w:rsidRPr="00743CA9" w:rsidRDefault="009F5A79" w:rsidP="009F5A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8C80" w14:textId="14901A13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Pienas A2 be laktozės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CD1E" w14:textId="6D2E28F8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975E" w14:textId="7267EE89" w:rsid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6ED615" w14:textId="2DF74D98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17A172" w14:textId="1CB4A052" w:rsidR="009F5A79" w:rsidRPr="009F5A79" w:rsidRDefault="009F5A79" w:rsidP="009F5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A79"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</w:tc>
      </w:tr>
      <w:tr w:rsidR="009F5A79" w14:paraId="687E2856" w14:textId="77777777" w:rsidTr="00240391"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6352" w14:textId="4ECEC687" w:rsidR="009F5A79" w:rsidRDefault="009F5A79" w:rsidP="009F5A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Bendra preliminari pasiūlymo kaina be PVM  EUR </w:t>
            </w:r>
            <w:r w:rsidRPr="009F5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14460,10</w:t>
            </w:r>
          </w:p>
        </w:tc>
      </w:tr>
      <w:tr w:rsidR="009F5A79" w14:paraId="2757B3BF" w14:textId="77777777" w:rsidTr="00240391"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CE9" w14:textId="3715E0E9" w:rsidR="009F5A79" w:rsidRDefault="009F5A79" w:rsidP="009F5A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PVM EUR </w:t>
            </w:r>
            <w:r w:rsidRPr="009F5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3036,62</w:t>
            </w:r>
          </w:p>
        </w:tc>
      </w:tr>
      <w:tr w:rsidR="009F5A79" w14:paraId="5097E8D2" w14:textId="77777777" w:rsidTr="00240391"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7CB4" w14:textId="764EEB5D" w:rsidR="009F5A79" w:rsidRDefault="009F5A79" w:rsidP="009F5A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Bendra preliminari pasiūlymo kaina su PVM  EUR </w:t>
            </w:r>
            <w:r w:rsidRPr="009F5A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17496,72</w:t>
            </w:r>
          </w:p>
        </w:tc>
      </w:tr>
    </w:tbl>
    <w:p w14:paraId="6ECB9B8D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B5335" w14:textId="7846B3C6" w:rsidR="009C0648" w:rsidRPr="0020674C" w:rsidRDefault="009C0648" w:rsidP="009C0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4C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764619" w:rsidRPr="0020674C">
        <w:rPr>
          <w:rFonts w:ascii="Times New Roman" w:eastAsia="Times New Roman" w:hAnsi="Times New Roman" w:cs="Times New Roman"/>
          <w:sz w:val="24"/>
          <w:szCs w:val="24"/>
        </w:rPr>
        <w:t xml:space="preserve">bendrą </w:t>
      </w:r>
      <w:r w:rsidRPr="0020674C">
        <w:rPr>
          <w:rFonts w:ascii="Times New Roman" w:eastAsia="Times New Roman" w:hAnsi="Times New Roman" w:cs="Times New Roman"/>
          <w:sz w:val="24"/>
          <w:szCs w:val="24"/>
        </w:rPr>
        <w:t>preliminarią pasiūlymo kainą turi būti įskaityti visi dalyvio mokami mokesčiai ir visos dalyvio patiriamos su pasiūlymo rengimu ir su pirkimo sutarties vykdymu susijusios, tame tarpe elektroninių sąskaitų faktūrų pateikimo, išlaidos.</w:t>
      </w:r>
    </w:p>
    <w:p w14:paraId="7753C9C7" w14:textId="4B6BA964" w:rsidR="009C0648" w:rsidRPr="0020674C" w:rsidRDefault="009C0648" w:rsidP="009C0648">
      <w:pPr>
        <w:tabs>
          <w:tab w:val="left" w:pos="8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9962B" w14:textId="77777777" w:rsidR="00764619" w:rsidRPr="0020674C" w:rsidRDefault="00764619" w:rsidP="007646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74C">
        <w:rPr>
          <w:rFonts w:ascii="Times New Roman" w:eastAsia="Times New Roman" w:hAnsi="Times New Roman" w:cs="Times New Roman"/>
          <w:i/>
          <w:sz w:val="24"/>
          <w:szCs w:val="24"/>
        </w:rPr>
        <w:t>Tais atvejais, kai pagal galiojančius teisės aktus dalyviui nereikia mokėti PVM, jis nurodo bendrą pasiūlymo kainą be PVM ir priežastis, dėl kurių PVM nemoka.</w:t>
      </w:r>
    </w:p>
    <w:p w14:paraId="6470D9F7" w14:textId="31D19CE2" w:rsidR="009C0648" w:rsidRDefault="009C0648" w:rsidP="009C0648">
      <w:pPr>
        <w:tabs>
          <w:tab w:val="left" w:pos="8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Informacija apie kiekvieno tiekėjų grupės partnerio savo jėgomis tiekti prekių dalies vertę (pildoma, jei pasiūlymą pateikia tiekėjų grupė):</w:t>
      </w:r>
    </w:p>
    <w:p w14:paraId="517C5AF3" w14:textId="77777777" w:rsidR="00677A50" w:rsidRDefault="00677A50" w:rsidP="009C0648">
      <w:pPr>
        <w:tabs>
          <w:tab w:val="left" w:pos="8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"/>
        <w:gridCol w:w="3097"/>
        <w:gridCol w:w="2956"/>
        <w:gridCol w:w="1687"/>
        <w:gridCol w:w="1267"/>
      </w:tblGrid>
      <w:tr w:rsidR="009C0648" w14:paraId="1EE05295" w14:textId="77777777" w:rsidTr="009C0648">
        <w:trPr>
          <w:trHeight w:val="112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D08A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8FA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Partnerio 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FFC5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Numatomos tiekti prekės</w:t>
            </w:r>
          </w:p>
          <w:p w14:paraId="794419A1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3970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Partnerio prekių dalies vertė pasiūlymo kainoje</w:t>
            </w:r>
          </w:p>
        </w:tc>
      </w:tr>
      <w:tr w:rsidR="009C0648" w14:paraId="48A2BA3C" w14:textId="77777777" w:rsidTr="009C064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041" w14:textId="77777777" w:rsidR="009C0648" w:rsidRDefault="009C06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A416" w14:textId="77777777" w:rsidR="009C0648" w:rsidRDefault="009C06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BBDA" w14:textId="77777777" w:rsidR="009C0648" w:rsidRDefault="009C064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8E8F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su PVM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E129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Proc.</w:t>
            </w:r>
          </w:p>
        </w:tc>
      </w:tr>
      <w:tr w:rsidR="009C0648" w14:paraId="374D1A84" w14:textId="77777777" w:rsidTr="009C064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F8F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79AC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238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3CD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7EC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648" w14:paraId="6B32CAD2" w14:textId="77777777" w:rsidTr="009C0648"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155E" w14:textId="77777777" w:rsidR="009C0648" w:rsidRDefault="009C0648">
            <w:pPr>
              <w:tabs>
                <w:tab w:val="left" w:pos="817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1B5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A5F7" w14:textId="77777777" w:rsidR="009C0648" w:rsidRDefault="009C0648">
            <w:pPr>
              <w:tabs>
                <w:tab w:val="left" w:pos="8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9BCF2E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7D8F9" w14:textId="77777777" w:rsidR="009C0648" w:rsidRDefault="009C0648" w:rsidP="009C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Dalyvis pasiūlyme privalo išviešinti subtiekėjus ir ūkio subjektus, kurių pajėgumais remiasi, taip pat nurodyti ir kitus žinomus subtiekėjus.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72"/>
        <w:gridCol w:w="2958"/>
        <w:gridCol w:w="1898"/>
        <w:gridCol w:w="1277"/>
      </w:tblGrid>
      <w:tr w:rsidR="009C0648" w:rsidRPr="009C0648" w14:paraId="5B6307A2" w14:textId="77777777" w:rsidTr="009C0648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AA51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Eil.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nr.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199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Subtiekėjo pavadinimas, kodas ir adresas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1897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Numatomos tiekti prekės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208F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Pirkimo sutarties dalis pasiūlymo kainoje, kuriai ketinama pasitelkti subtiekėjus</w:t>
            </w:r>
          </w:p>
        </w:tc>
      </w:tr>
      <w:tr w:rsidR="009C0648" w14:paraId="4D6BDAE6" w14:textId="77777777" w:rsidTr="009C06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AB18" w14:textId="77777777" w:rsidR="009C0648" w:rsidRDefault="009C0648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7803" w14:textId="77777777" w:rsidR="009C0648" w:rsidRDefault="009C0648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B8B8" w14:textId="77777777" w:rsidR="009C0648" w:rsidRDefault="009C0648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7EF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EUR su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325D" w14:textId="77777777" w:rsidR="009C0648" w:rsidRDefault="009C0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Proc.</w:t>
            </w:r>
          </w:p>
        </w:tc>
      </w:tr>
      <w:tr w:rsidR="009C0648" w14:paraId="5AB01FE6" w14:textId="77777777" w:rsidTr="009C064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7D7A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595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9AD0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48D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101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C0648" w14:paraId="09AF27E3" w14:textId="77777777" w:rsidTr="009C064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A0E8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C2C4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4EB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B70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6C6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C0648" w14:paraId="5BF214B6" w14:textId="77777777" w:rsidTr="009C064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FE8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2D9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82E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589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708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C0648" w14:paraId="4AD1CAC7" w14:textId="77777777" w:rsidTr="009C0648"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7CE8" w14:textId="77777777" w:rsidR="009C0648" w:rsidRDefault="009C06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Viso: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49C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6E7" w14:textId="77777777" w:rsidR="009C0648" w:rsidRDefault="009C06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D5D0C7B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B4C2DF" w14:textId="77777777" w:rsidR="009C0648" w:rsidRDefault="009C0648" w:rsidP="009C064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Pastaba. </w:t>
      </w:r>
      <w:r>
        <w:rPr>
          <w:rFonts w:ascii="Times New Roman" w:eastAsia="Times New Roman" w:hAnsi="Times New Roman" w:cs="Times New Roman"/>
          <w:sz w:val="24"/>
          <w:szCs w:val="20"/>
        </w:rPr>
        <w:t>Tiekėjo (tiekėjų grupės partnerių) ir subtiekėjų bendra numatomų tiekti prekių vertė turi atitikti bendrą pasiūlymo sumą EUR su PVM.</w:t>
      </w:r>
    </w:p>
    <w:p w14:paraId="22A4A5FA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02DCE" w14:textId="77777777" w:rsidR="009C0648" w:rsidRDefault="009C0648" w:rsidP="009C0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Siūlomos prekės visiškai atitinka pirkimo dokumentuose nurodytus reikalavimus.</w:t>
      </w:r>
    </w:p>
    <w:p w14:paraId="4D6A0456" w14:textId="77777777" w:rsidR="009C0648" w:rsidRDefault="009C0648" w:rsidP="009C0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54289" w14:textId="77777777" w:rsidR="009C0648" w:rsidRDefault="009C0648" w:rsidP="009C0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59"/>
      </w:tblGrid>
      <w:tr w:rsidR="009C0648" w14:paraId="29567821" w14:textId="77777777" w:rsidTr="009C06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862B" w14:textId="77777777" w:rsidR="009C0648" w:rsidRDefault="009C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F7F7" w14:textId="77777777" w:rsidR="009C0648" w:rsidRDefault="009C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Dokumentų pavadinimai</w:t>
            </w:r>
          </w:p>
        </w:tc>
      </w:tr>
      <w:tr w:rsidR="009C0648" w14:paraId="50529EA7" w14:textId="77777777" w:rsidTr="009C06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2B5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6D9" w14:textId="0A886403" w:rsidR="009C0648" w:rsidRDefault="002F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įgaliojimas</w:t>
            </w:r>
          </w:p>
        </w:tc>
      </w:tr>
      <w:tr w:rsidR="009C0648" w14:paraId="7EFF8B9F" w14:textId="77777777" w:rsidTr="009C06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551F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1AF" w14:textId="77777777" w:rsidR="009C0648" w:rsidRDefault="009C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C43AE" w14:textId="77777777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D39DD" w14:textId="77777777" w:rsidR="009C0648" w:rsidRDefault="009C0648" w:rsidP="009C0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Šiame pasiūlyme yra pateikta konfidenciali informacija: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2523"/>
        <w:gridCol w:w="3261"/>
        <w:gridCol w:w="3261"/>
      </w:tblGrid>
      <w:tr w:rsidR="009C0648" w:rsidRPr="009C0648" w14:paraId="69F856C2" w14:textId="77777777" w:rsidTr="009C064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89FC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91752F5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3348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266C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Dokumente esanti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konfidenciali informacija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(nurodoma dokumento dalis / puslapis, kuriame yra konfidenciali informacija)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F232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Konfidencialios informacijos pagrindimas (paaiškinama, kuo remiantis nurodytas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dokumentas ar jo dalis yra konfidencialūs)</w:t>
            </w:r>
          </w:p>
        </w:tc>
      </w:tr>
      <w:tr w:rsidR="009C0648" w14:paraId="198B04CC" w14:textId="77777777" w:rsidTr="009C064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E35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05F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15EF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179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648" w14:paraId="6263F8CB" w14:textId="77777777" w:rsidTr="009C0648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58A" w14:textId="77777777" w:rsidR="009C0648" w:rsidRDefault="009C064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B0EE" w14:textId="77777777" w:rsidR="009C0648" w:rsidRDefault="009C064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ADE" w14:textId="77777777" w:rsidR="009C0648" w:rsidRDefault="009C064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72A" w14:textId="77777777" w:rsidR="009C0648" w:rsidRDefault="009C0648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4C68FA" w14:textId="77777777" w:rsidR="009C0648" w:rsidRDefault="009C0648" w:rsidP="009C06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40181" w14:textId="77777777" w:rsidR="009C0648" w:rsidRDefault="009C0648" w:rsidP="009C064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Jeigu kvalifikacija dėl teisės verstis atitinkama veikla nebuvo tikrinama arba tikrinama ne visa apimtimi, įsipareigojame perkančiajai organizacijai, kad pirkimo sutartį vykdys tik tokią teisę turintys asmenys. </w:t>
      </w:r>
      <w:r>
        <w:rPr>
          <w:rFonts w:ascii="Times New Roman" w:hAnsi="Times New Roman"/>
          <w:sz w:val="24"/>
          <w:szCs w:val="24"/>
        </w:rPr>
        <w:t>Perkančiajai organizacijai pareikalavus, įsipareigojame pateikti dokumentus, įrodančius, kad pirkimo sutartį vykdo ar vykdys tik tokią teisę turintys asmenys.</w:t>
      </w:r>
    </w:p>
    <w:p w14:paraId="5D9AA507" w14:textId="77777777" w:rsidR="009C0648" w:rsidRDefault="009C0648" w:rsidP="009C064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9DE6E" w14:textId="77777777" w:rsidR="009C0648" w:rsidRDefault="009C0648" w:rsidP="009C0648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Pasiūlymas galioja iki pirkimo dokumentuose nurodyto termino pabaigos.</w:t>
      </w:r>
    </w:p>
    <w:p w14:paraId="4596D01E" w14:textId="7831C372" w:rsidR="009C0648" w:rsidRDefault="009C0648" w:rsidP="009C064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r w:rsidR="004E7863">
        <w:rPr>
          <w:rFonts w:ascii="Times New Roman" w:eastAsia="Times New Roman" w:hAnsi="Times New Roman" w:cs="Times New Roman"/>
          <w:sz w:val="24"/>
          <w:szCs w:val="24"/>
        </w:rPr>
        <w:t>Edgaras Ramonas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4782C96" w14:textId="77777777" w:rsidR="009C0648" w:rsidRDefault="009C0648" w:rsidP="009C0648">
      <w:pPr>
        <w:pStyle w:val="Puslapioinaostekstas"/>
        <w:jc w:val="both"/>
        <w:rPr>
          <w:i/>
          <w:sz w:val="24"/>
          <w:szCs w:val="24"/>
          <w:lang w:val="lt-LT"/>
        </w:rPr>
      </w:pPr>
      <w:r w:rsidRPr="009C0648">
        <w:rPr>
          <w:i/>
          <w:sz w:val="24"/>
          <w:szCs w:val="24"/>
          <w:lang w:val="lt-LT"/>
        </w:rPr>
        <w:t>Dalyvis arba jo įgaliotas asmuo</w:t>
      </w:r>
      <w:r w:rsidRPr="009C0648">
        <w:rPr>
          <w:i/>
          <w:sz w:val="24"/>
          <w:szCs w:val="24"/>
          <w:lang w:val="lt-LT"/>
        </w:rPr>
        <w:tab/>
        <w:t>parašas</w:t>
      </w:r>
      <w:r w:rsidRPr="009C0648">
        <w:rPr>
          <w:i/>
          <w:sz w:val="24"/>
          <w:szCs w:val="24"/>
          <w:lang w:val="lt-LT"/>
        </w:rPr>
        <w:tab/>
      </w:r>
      <w:r w:rsidRPr="009C0648">
        <w:rPr>
          <w:i/>
          <w:sz w:val="24"/>
          <w:szCs w:val="24"/>
          <w:lang w:val="lt-LT"/>
        </w:rPr>
        <w:tab/>
        <w:t>vardas ir pavardė</w:t>
      </w:r>
    </w:p>
    <w:p w14:paraId="360F49AD" w14:textId="77777777" w:rsidR="009C0648" w:rsidRDefault="009C0648" w:rsidP="009C0648">
      <w:pPr>
        <w:pStyle w:val="Puslapioinaostekstas"/>
        <w:jc w:val="both"/>
        <w:rPr>
          <w:i/>
          <w:sz w:val="24"/>
          <w:szCs w:val="24"/>
          <w:lang w:val="lt-LT"/>
        </w:rPr>
      </w:pPr>
    </w:p>
    <w:p w14:paraId="187C4A71" w14:textId="038A42C6" w:rsidR="009C0648" w:rsidRDefault="009C0648" w:rsidP="009C0648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bCs/>
          <w:lang w:val="lt-LT"/>
        </w:rPr>
        <w:t xml:space="preserve">Pildyti tuomet, jei bus pateikta konfidenciali informacija. </w:t>
      </w:r>
      <w:r>
        <w:rPr>
          <w:lang w:val="lt-LT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45BAE48B" w14:textId="1509249F" w:rsidR="009C0648" w:rsidRDefault="009C0648" w:rsidP="009C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sectPr w:rsidR="009C0648" w:rsidSect="00601EDF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E14C" w14:textId="77777777" w:rsidR="004C005A" w:rsidRDefault="004C005A" w:rsidP="009C0648">
      <w:pPr>
        <w:spacing w:after="0" w:line="240" w:lineRule="auto"/>
      </w:pPr>
      <w:r>
        <w:separator/>
      </w:r>
    </w:p>
  </w:endnote>
  <w:endnote w:type="continuationSeparator" w:id="0">
    <w:p w14:paraId="6285D308" w14:textId="77777777" w:rsidR="004C005A" w:rsidRDefault="004C005A" w:rsidP="009C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171D" w14:textId="77777777" w:rsidR="004C005A" w:rsidRDefault="004C005A" w:rsidP="009C0648">
      <w:pPr>
        <w:spacing w:after="0" w:line="240" w:lineRule="auto"/>
      </w:pPr>
      <w:r>
        <w:separator/>
      </w:r>
    </w:p>
  </w:footnote>
  <w:footnote w:type="continuationSeparator" w:id="0">
    <w:p w14:paraId="46E529F9" w14:textId="77777777" w:rsidR="004C005A" w:rsidRDefault="004C005A" w:rsidP="009C0648">
      <w:pPr>
        <w:spacing w:after="0" w:line="240" w:lineRule="auto"/>
      </w:pPr>
      <w:r>
        <w:continuationSeparator/>
      </w:r>
    </w:p>
  </w:footnote>
  <w:footnote w:id="1">
    <w:p w14:paraId="2DDE7393" w14:textId="77777777" w:rsidR="009C0648" w:rsidRDefault="009C0648" w:rsidP="009C0648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r>
        <w:rPr>
          <w:bCs/>
          <w:lang w:val="lt-LT"/>
        </w:rPr>
        <w:t xml:space="preserve">Pildyti tuomet, jei bus pateikta konfidenciali informacija. </w:t>
      </w:r>
      <w:r>
        <w:rPr>
          <w:lang w:val="lt-LT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5E16"/>
    <w:multiLevelType w:val="hybridMultilevel"/>
    <w:tmpl w:val="634AA3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48"/>
    <w:rsid w:val="000951C1"/>
    <w:rsid w:val="000A5B12"/>
    <w:rsid w:val="00174811"/>
    <w:rsid w:val="0018384F"/>
    <w:rsid w:val="001B19D9"/>
    <w:rsid w:val="0020674C"/>
    <w:rsid w:val="00240391"/>
    <w:rsid w:val="00266072"/>
    <w:rsid w:val="002C585F"/>
    <w:rsid w:val="002E2B8A"/>
    <w:rsid w:val="002F4B44"/>
    <w:rsid w:val="00347AC9"/>
    <w:rsid w:val="003F46C2"/>
    <w:rsid w:val="003F47DA"/>
    <w:rsid w:val="0047122A"/>
    <w:rsid w:val="00492543"/>
    <w:rsid w:val="004C005A"/>
    <w:rsid w:val="004E7863"/>
    <w:rsid w:val="005646E7"/>
    <w:rsid w:val="005A7228"/>
    <w:rsid w:val="00601EDF"/>
    <w:rsid w:val="0067362E"/>
    <w:rsid w:val="00677A50"/>
    <w:rsid w:val="006B16AF"/>
    <w:rsid w:val="006E6398"/>
    <w:rsid w:val="00743CA9"/>
    <w:rsid w:val="0074794D"/>
    <w:rsid w:val="00764619"/>
    <w:rsid w:val="00787F86"/>
    <w:rsid w:val="007D678F"/>
    <w:rsid w:val="008073B3"/>
    <w:rsid w:val="009C0648"/>
    <w:rsid w:val="009D72A1"/>
    <w:rsid w:val="009D7559"/>
    <w:rsid w:val="009E0F42"/>
    <w:rsid w:val="009F5A79"/>
    <w:rsid w:val="00A273CF"/>
    <w:rsid w:val="00B03620"/>
    <w:rsid w:val="00B947F3"/>
    <w:rsid w:val="00BD7C8F"/>
    <w:rsid w:val="00D04648"/>
    <w:rsid w:val="00D266CF"/>
    <w:rsid w:val="00D67F98"/>
    <w:rsid w:val="00DA6376"/>
    <w:rsid w:val="00DF771F"/>
    <w:rsid w:val="00E73690"/>
    <w:rsid w:val="00F65301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98CC"/>
  <w15:chartTrackingRefBased/>
  <w15:docId w15:val="{3E6BA5BE-76CA-4E64-80E5-1CE98FE6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648"/>
    <w:pPr>
      <w:spacing w:line="256" w:lineRule="auto"/>
    </w:pPr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semiHidden/>
    <w:locked/>
    <w:rsid w:val="009C06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uslapioinaostekstas">
    <w:name w:val="footnote text"/>
    <w:aliases w:val="Diagrama1"/>
    <w:basedOn w:val="prastasis"/>
    <w:link w:val="PuslapioinaostekstasDiagrama"/>
    <w:semiHidden/>
    <w:unhideWhenUsed/>
    <w:rsid w:val="009C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9C0648"/>
    <w:rPr>
      <w:rFonts w:ascii="Calibri" w:eastAsia="Calibri" w:hAnsi="Calibri" w:cs="Arial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9C0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Bareikienė</dc:creator>
  <cp:keywords/>
  <dc:description/>
  <cp:lastModifiedBy>Robertas Gronskis</cp:lastModifiedBy>
  <cp:revision>2</cp:revision>
  <dcterms:created xsi:type="dcterms:W3CDTF">2024-02-27T07:17:00Z</dcterms:created>
  <dcterms:modified xsi:type="dcterms:W3CDTF">2024-02-27T07:17:00Z</dcterms:modified>
</cp:coreProperties>
</file>