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02766" w14:textId="77777777" w:rsidR="00B47A30" w:rsidRDefault="007A6E5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Paslaugų sutartis Nr. S-</w:t>
      </w:r>
    </w:p>
    <w:p w14:paraId="19402767" w14:textId="77777777" w:rsidR="00B47A30" w:rsidRDefault="007A6E5F">
      <w:pPr>
        <w:keepNext/>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 m.       d.</w:t>
      </w:r>
    </w:p>
    <w:p w14:paraId="19402768" w14:textId="77777777" w:rsidR="00B47A30" w:rsidRDefault="007A6E5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Kaunas</w:t>
      </w:r>
    </w:p>
    <w:p w14:paraId="19402769" w14:textId="77777777" w:rsidR="00B47A30" w:rsidRDefault="00B47A30">
      <w:pPr>
        <w:jc w:val="both"/>
        <w:rPr>
          <w:rFonts w:ascii="Times New Roman" w:eastAsia="Times New Roman" w:hAnsi="Times New Roman" w:cs="Times New Roman"/>
          <w:sz w:val="24"/>
          <w:szCs w:val="24"/>
        </w:rPr>
      </w:pPr>
    </w:p>
    <w:p w14:paraId="1940276A" w14:textId="77777777" w:rsidR="00B47A30" w:rsidRDefault="007A6E5F">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Kauno miesto savivaldybės visuomenės sveikatos biuras</w:t>
      </w:r>
      <w:r>
        <w:rPr>
          <w:rFonts w:ascii="Times New Roman" w:eastAsia="Times New Roman" w:hAnsi="Times New Roman" w:cs="Times New Roman"/>
          <w:sz w:val="24"/>
          <w:szCs w:val="24"/>
        </w:rPr>
        <w:t xml:space="preserve">, įmonės kodas 301676575 Vaidoto g. 115, Kaunas, atstovaujamas direktorės Gerdos </w:t>
      </w:r>
      <w:proofErr w:type="spellStart"/>
      <w:r>
        <w:rPr>
          <w:rFonts w:ascii="Times New Roman" w:eastAsia="Times New Roman" w:hAnsi="Times New Roman" w:cs="Times New Roman"/>
          <w:sz w:val="24"/>
          <w:szCs w:val="24"/>
        </w:rPr>
        <w:t>Kuzmarskienės</w:t>
      </w:r>
      <w:proofErr w:type="spellEnd"/>
      <w:r>
        <w:rPr>
          <w:rFonts w:ascii="Times New Roman" w:eastAsia="Times New Roman" w:hAnsi="Times New Roman" w:cs="Times New Roman"/>
          <w:sz w:val="24"/>
          <w:szCs w:val="24"/>
        </w:rPr>
        <w:t>, veikiančio pagal Kauno miesto savivaldybės visuomenės sveikatos biuro nuostatus (toliau – Perkančioji organizacija) ir</w:t>
      </w:r>
      <w:r>
        <w:rPr>
          <w:rFonts w:ascii="Times New Roman" w:eastAsia="Times New Roman" w:hAnsi="Times New Roman" w:cs="Times New Roman"/>
          <w:b/>
          <w:sz w:val="24"/>
          <w:szCs w:val="24"/>
        </w:rPr>
        <w:t xml:space="preserve"> VšĮ Sporto ir sveikatingumo projektai, </w:t>
      </w:r>
      <w:r>
        <w:rPr>
          <w:rFonts w:ascii="Times New Roman" w:eastAsia="Times New Roman" w:hAnsi="Times New Roman" w:cs="Times New Roman"/>
          <w:sz w:val="24"/>
          <w:szCs w:val="24"/>
        </w:rPr>
        <w:t xml:space="preserve">įmonės kodas 305540793, atstovaujami Tautvydo Kopūsto, veikiančio  VšĮ Sporto ir sveikatingumo projektai įstatus (toliau – Paslaugos teikėjas), kartu vadinamos Šalimis, o atskirai – Šalimi, sudarė šią paslaugų sutartį (toliau - Sutartis): </w:t>
      </w:r>
    </w:p>
    <w:p w14:paraId="1940276B" w14:textId="77777777" w:rsidR="00B47A30" w:rsidRDefault="00B47A30">
      <w:pPr>
        <w:jc w:val="both"/>
        <w:rPr>
          <w:rFonts w:ascii="Times New Roman" w:eastAsia="Times New Roman" w:hAnsi="Times New Roman" w:cs="Times New Roman"/>
          <w:sz w:val="24"/>
          <w:szCs w:val="24"/>
        </w:rPr>
      </w:pPr>
    </w:p>
    <w:p w14:paraId="1940276C" w14:textId="77777777" w:rsidR="00B47A30" w:rsidRDefault="007A6E5F">
      <w:pPr>
        <w:numPr>
          <w:ilvl w:val="0"/>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SUTARTIES OBJEKTAS</w:t>
      </w:r>
    </w:p>
    <w:p w14:paraId="1940276D"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Paslaugos teikėjas įsipareigoja Perkančiajai organizacijai suteikti </w:t>
      </w:r>
      <w:r>
        <w:rPr>
          <w:rFonts w:ascii="Times New Roman" w:eastAsia="Times New Roman" w:hAnsi="Times New Roman" w:cs="Times New Roman"/>
          <w:b/>
          <w:smallCaps/>
          <w:color w:val="000000"/>
          <w:sz w:val="24"/>
          <w:szCs w:val="24"/>
        </w:rPr>
        <w:t>J</w:t>
      </w:r>
      <w:r>
        <w:rPr>
          <w:rFonts w:ascii="Times New Roman" w:eastAsia="Times New Roman" w:hAnsi="Times New Roman" w:cs="Times New Roman"/>
          <w:b/>
          <w:color w:val="000000"/>
          <w:sz w:val="24"/>
          <w:szCs w:val="24"/>
        </w:rPr>
        <w:t>ėgos lavinimo treniruočių vedimo paslaugas (SRF projekto tęstinumas)</w:t>
      </w:r>
      <w:r>
        <w:rPr>
          <w:rFonts w:ascii="Times New Roman" w:eastAsia="Times New Roman" w:hAnsi="Times New Roman" w:cs="Times New Roman"/>
          <w:color w:val="000000"/>
          <w:sz w:val="24"/>
          <w:szCs w:val="24"/>
        </w:rPr>
        <w:t xml:space="preserve"> (toliau – Paslaugos), o Perkančioji organizacija įsipareigoja priimti Paslaugas ir už jas sumokėti. </w:t>
      </w:r>
    </w:p>
    <w:p w14:paraId="1940276E"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Paslaugos teikėjas suteikia galimybę naudotis Paslaugomis iš anksto sutarta diena ir laiku (Sutarties 1 priedas).</w:t>
      </w:r>
    </w:p>
    <w:p w14:paraId="1940276F" w14:textId="77777777" w:rsidR="00B47A30" w:rsidRDefault="00B47A30">
      <w:pPr>
        <w:jc w:val="both"/>
        <w:rPr>
          <w:rFonts w:ascii="Times New Roman" w:eastAsia="Times New Roman" w:hAnsi="Times New Roman" w:cs="Times New Roman"/>
          <w:b/>
          <w:sz w:val="24"/>
          <w:szCs w:val="24"/>
        </w:rPr>
      </w:pPr>
    </w:p>
    <w:p w14:paraId="19402770" w14:textId="77777777" w:rsidR="00B47A30" w:rsidRDefault="007A6E5F">
      <w:pPr>
        <w:numPr>
          <w:ilvl w:val="0"/>
          <w:numId w:val="6"/>
        </w:numPr>
        <w:pBdr>
          <w:top w:val="nil"/>
          <w:left w:val="nil"/>
          <w:bottom w:val="nil"/>
          <w:right w:val="nil"/>
          <w:between w:val="nil"/>
        </w:pBdr>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SUTARTIES KAINA IR MOKĖJIMO SĄLYGOS</w:t>
      </w:r>
    </w:p>
    <w:p w14:paraId="19402771"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Pagal šią Sutartį Paslaugų bendra kaina </w:t>
      </w:r>
      <w:r>
        <w:rPr>
          <w:rFonts w:ascii="Times New Roman" w:eastAsia="Times New Roman" w:hAnsi="Times New Roman" w:cs="Times New Roman"/>
          <w:b/>
          <w:i/>
          <w:color w:val="000000"/>
          <w:sz w:val="24"/>
          <w:szCs w:val="24"/>
        </w:rPr>
        <w:t xml:space="preserve">3010,00 Eur </w:t>
      </w:r>
      <w:r>
        <w:rPr>
          <w:rFonts w:ascii="Times New Roman" w:eastAsia="Times New Roman" w:hAnsi="Times New Roman" w:cs="Times New Roman"/>
          <w:color w:val="000000"/>
          <w:sz w:val="24"/>
          <w:szCs w:val="24"/>
        </w:rPr>
        <w:t>(su visais mokesčiais).</w:t>
      </w:r>
    </w:p>
    <w:p w14:paraId="19402772"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už Paslaugas sumoka sąskaitoje faktūroje nurodytą sumą per 30 dienų nuo sąskaitos faktūros gavimo dienos.</w:t>
      </w:r>
    </w:p>
    <w:p w14:paraId="19402773"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Paslaugos teikėjas, už praėjusį mėnesį suteiktas Paslaugas, pateikia sąskaitą faktūrą sistemoje E. sąskaita per sekančio mėnesio pirmas 5 d. d. Visas išlaidas už sąskaitos pateikimą apmoka Paslaugų teikėjas.</w:t>
      </w:r>
    </w:p>
    <w:p w14:paraId="19402774"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Apmokėjimas vykdomas į Paslaugų teikėjo sąskaitą banke, nurodytą prie jo rekvizitų Sutarties gale arba pateiktoje sąskaitoje faktūroje.</w:t>
      </w:r>
    </w:p>
    <w:p w14:paraId="19402775"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Paslaugų kaina su PVM Sutarties galiojimo laikotarpiu gali būti peržiūrimi (perskaičiuojami) tokiomis sąlygomis ir tvarka:</w:t>
      </w:r>
    </w:p>
    <w:p w14:paraId="19402776"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Paslaugų kainų su PVM perskaičiavimas inicijuojamas rašytiniu šalies prašymu. Sutartyje numatyta kaina gali būti perskaičiuojami, jeigu Valstybės duomenų agentūros (</w:t>
      </w:r>
      <w:hyperlink r:id="rId6">
        <w:r>
          <w:rPr>
            <w:rFonts w:ascii="Times New Roman" w:eastAsia="Times New Roman" w:hAnsi="Times New Roman" w:cs="Times New Roman"/>
            <w:color w:val="0000FF"/>
            <w:sz w:val="24"/>
            <w:szCs w:val="24"/>
            <w:u w:val="single"/>
          </w:rPr>
          <w:t>www.stat.gov.lt</w:t>
        </w:r>
      </w:hyperlink>
      <w:r>
        <w:rPr>
          <w:rFonts w:ascii="Times New Roman" w:eastAsia="Times New Roman" w:hAnsi="Times New Roman" w:cs="Times New Roman"/>
          <w:color w:val="000000"/>
          <w:sz w:val="24"/>
          <w:szCs w:val="24"/>
        </w:rPr>
        <w:t>) 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9402777"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Nauji įkainiai apskaičiuojami pagal formulę:</w:t>
      </w:r>
    </w:p>
    <w:p w14:paraId="19402778" w14:textId="77777777" w:rsidR="00B47A30" w:rsidRDefault="007A6E5F">
      <w:pPr>
        <w:ind w:left="360"/>
        <w:rPr>
          <w:rFonts w:ascii="Times New Roman" w:eastAsia="Times New Roman" w:hAnsi="Times New Roman" w:cs="Times New Roman"/>
          <w:i/>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1</m:t>
            </m:r>
          </m:sub>
        </m:sSub>
        <m:r>
          <w:rPr>
            <w:rFonts w:ascii="Cambria Math" w:eastAsia="Cambria Math" w:hAnsi="Cambria Math" w:cs="Cambria Math"/>
            <w:sz w:val="24"/>
            <w:szCs w:val="24"/>
          </w:rPr>
          <m:t>=</m:t>
        </m:r>
        <m:r>
          <w:rPr>
            <w:rFonts w:ascii="Cambria Math" w:eastAsia="Cambria Math" w:hAnsi="Cambria Math" w:cs="Cambria Math"/>
            <w:sz w:val="24"/>
            <w:szCs w:val="24"/>
          </w:rPr>
          <m:t>a</m:t>
        </m:r>
        <m:r>
          <w:rPr>
            <w:rFonts w:ascii="Cambria Math" w:eastAsia="Cambria Math" w:hAnsi="Cambria Math" w:cs="Cambria Math"/>
            <w:sz w:val="24"/>
            <w:szCs w:val="24"/>
          </w:rPr>
          <m:t>+</m:t>
        </m:r>
        <m:d>
          <m:dPr>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r>
                  <w:rPr>
                    <w:rFonts w:ascii="Cambria Math" w:eastAsia="Cambria Math" w:hAnsi="Cambria Math" w:cs="Cambria Math"/>
                    <w:sz w:val="24"/>
                    <w:szCs w:val="24"/>
                  </w:rPr>
                  <m:t>k</m:t>
                </m:r>
              </m:num>
              <m:den>
                <m:r>
                  <w:rPr>
                    <w:rFonts w:ascii="Cambria Math" w:eastAsia="Cambria Math" w:hAnsi="Cambria Math" w:cs="Cambria Math"/>
                    <w:sz w:val="24"/>
                    <w:szCs w:val="24"/>
                  </w:rPr>
                  <m:t>100</m:t>
                </m:r>
              </m:den>
            </m:f>
            <m:r>
              <w:rPr>
                <w:rFonts w:ascii="Cambria Math" w:eastAsia="Cambria Math" w:hAnsi="Cambria Math" w:cs="Cambria Math"/>
                <w:sz w:val="24"/>
                <w:szCs w:val="24"/>
              </w:rPr>
              <m:t>×</m:t>
            </m:r>
            <m:r>
              <w:rPr>
                <w:rFonts w:ascii="Cambria Math" w:eastAsia="Cambria Math" w:hAnsi="Cambria Math" w:cs="Cambria Math"/>
                <w:sz w:val="24"/>
                <w:szCs w:val="24"/>
              </w:rPr>
              <m:t>a</m:t>
            </m:r>
          </m:e>
        </m:d>
      </m:oMath>
      <w:r>
        <w:rPr>
          <w:rFonts w:ascii="Times New Roman" w:eastAsia="Times New Roman" w:hAnsi="Times New Roman" w:cs="Times New Roman"/>
          <w:sz w:val="24"/>
          <w:szCs w:val="24"/>
        </w:rPr>
        <w:t>, kur</w:t>
      </w:r>
    </w:p>
    <w:p w14:paraId="19402779" w14:textId="77777777" w:rsidR="00B47A30" w:rsidRDefault="007A6E5F">
      <w:pPr>
        <w:rPr>
          <w:rFonts w:ascii="Times New Roman" w:eastAsia="Times New Roman" w:hAnsi="Times New Roman" w:cs="Times New Roman"/>
          <w:sz w:val="24"/>
          <w:szCs w:val="24"/>
        </w:rPr>
      </w:pPr>
      <w:r>
        <w:rPr>
          <w:rFonts w:ascii="Times New Roman" w:eastAsia="Times New Roman" w:hAnsi="Times New Roman" w:cs="Times New Roman"/>
          <w:sz w:val="24"/>
          <w:szCs w:val="24"/>
        </w:rPr>
        <w:t>a – kaina (Eur be PVM) (jei jis jau buvo perskaičiuotas, tai po paskutinio perskaičiavimo);</w:t>
      </w:r>
    </w:p>
    <w:p w14:paraId="1940277A" w14:textId="77777777" w:rsidR="00B47A30" w:rsidRDefault="007A6E5F">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 perskaičiuotas (pakeistas) kaina (Eur be PVM);</w:t>
      </w:r>
    </w:p>
    <w:p w14:paraId="1940277B" w14:textId="77777777" w:rsidR="00B47A30" w:rsidRDefault="007A6E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 pagal vartotojų kainų indeksą „12 Įvairios prekės ir paslaugos“ apskaičiuotas kainų pokytis (padidėjimas arba sumažėjimas) (proc.). „k“ reikšmė apskaičiuojama pagal formulę: </w:t>
      </w:r>
    </w:p>
    <w:p w14:paraId="1940277C" w14:textId="77777777" w:rsidR="00B47A30" w:rsidRDefault="007A6E5F">
      <w:pPr>
        <w:rPr>
          <w:rFonts w:ascii="Times New Roman" w:eastAsia="Times New Roman" w:hAnsi="Times New Roman" w:cs="Times New Roman"/>
          <w:sz w:val="24"/>
          <w:szCs w:val="24"/>
        </w:rPr>
      </w:pPr>
      <m:oMath>
        <m:r>
          <w:rPr>
            <w:rFonts w:ascii="Cambria Math" w:eastAsia="Cambria Math" w:hAnsi="Cambria Math" w:cs="Cambria Math"/>
            <w:sz w:val="24"/>
            <w:szCs w:val="24"/>
          </w:rPr>
          <m:t>k</m:t>
        </m:r>
        <m:r>
          <w:rPr>
            <w:rFonts w:ascii="Cambria Math" w:eastAsia="Cambria Math" w:hAnsi="Cambria Math" w:cs="Cambria Math"/>
            <w:sz w:val="24"/>
            <w:szCs w:val="24"/>
          </w:rPr>
          <m:t xml:space="preserve"> =</m:t>
        </m:r>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Ind</m:t>
                </m:r>
              </m:e>
              <m:sub>
                <m:r>
                  <w:rPr>
                    <w:rFonts w:ascii="Cambria Math" w:eastAsia="Cambria Math" w:hAnsi="Cambria Math" w:cs="Cambria Math"/>
                    <w:sz w:val="24"/>
                    <w:szCs w:val="24"/>
                  </w:rPr>
                  <m:t>naujausias</m:t>
                </m:r>
              </m:sub>
            </m:sSub>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Ind</m:t>
                </m:r>
              </m:e>
              <m:sub>
                <m:r>
                  <w:rPr>
                    <w:rFonts w:ascii="Cambria Math" w:eastAsia="Cambria Math" w:hAnsi="Cambria Math" w:cs="Cambria Math"/>
                    <w:sz w:val="24"/>
                    <w:szCs w:val="24"/>
                  </w:rPr>
                  <m:t>prad</m:t>
                </m:r>
                <m:r>
                  <w:rPr>
                    <w:rFonts w:ascii="Cambria Math" w:eastAsia="Cambria Math" w:hAnsi="Cambria Math" w:cs="Cambria Math"/>
                    <w:sz w:val="24"/>
                    <w:szCs w:val="24"/>
                  </w:rPr>
                  <m:t>ž</m:t>
                </m:r>
                <m:r>
                  <w:rPr>
                    <w:rFonts w:ascii="Cambria Math" w:eastAsia="Cambria Math" w:hAnsi="Cambria Math" w:cs="Cambria Math"/>
                    <w:sz w:val="24"/>
                    <w:szCs w:val="24"/>
                  </w:rPr>
                  <m:t>ia</m:t>
                </m:r>
              </m:sub>
            </m:sSub>
          </m:den>
        </m:f>
        <m:r>
          <w:rPr>
            <w:rFonts w:ascii="Cambria Math" w:eastAsia="Cambria Math" w:hAnsi="Cambria Math" w:cs="Cambria Math"/>
            <w:sz w:val="24"/>
            <w:szCs w:val="24"/>
          </w:rPr>
          <m:t>×100-100</m:t>
        </m:r>
      </m:oMath>
      <w:r>
        <w:rPr>
          <w:rFonts w:ascii="Times New Roman" w:eastAsia="Times New Roman" w:hAnsi="Times New Roman" w:cs="Times New Roman"/>
          <w:sz w:val="24"/>
          <w:szCs w:val="24"/>
        </w:rPr>
        <w:t>, (proc.), kur</w:t>
      </w:r>
    </w:p>
    <w:p w14:paraId="1940277D" w14:textId="77777777" w:rsidR="00B47A30" w:rsidRDefault="007A6E5F">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Ind</w:t>
      </w:r>
      <w:r>
        <w:rPr>
          <w:rFonts w:ascii="Times New Roman" w:eastAsia="Times New Roman" w:hAnsi="Times New Roman" w:cs="Times New Roman"/>
          <w:sz w:val="24"/>
          <w:szCs w:val="24"/>
          <w:vertAlign w:val="subscript"/>
        </w:rPr>
        <w:t>naujausias</w:t>
      </w:r>
      <w:proofErr w:type="spellEnd"/>
      <w:r>
        <w:rPr>
          <w:rFonts w:ascii="Times New Roman" w:eastAsia="Times New Roman" w:hAnsi="Times New Roman" w:cs="Times New Roman"/>
          <w:sz w:val="24"/>
          <w:szCs w:val="24"/>
        </w:rPr>
        <w:t xml:space="preserve"> – kreipimosi dėl kainų perskaičiavimo išsiuntimo kitai šaliai datą naujausias paskelbtas vartotojų kainų indeksas „12 Įvairios prekės ir paslaugos“;</w:t>
      </w:r>
    </w:p>
    <w:p w14:paraId="1940277E" w14:textId="77777777" w:rsidR="00B47A30" w:rsidRDefault="007A6E5F">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Ind</w:t>
      </w:r>
      <w:r>
        <w:rPr>
          <w:rFonts w:ascii="Times New Roman" w:eastAsia="Times New Roman" w:hAnsi="Times New Roman" w:cs="Times New Roman"/>
          <w:sz w:val="24"/>
          <w:szCs w:val="24"/>
          <w:vertAlign w:val="subscript"/>
        </w:rPr>
        <w:t>pradžia</w:t>
      </w:r>
      <w:proofErr w:type="spellEnd"/>
      <w:r>
        <w:rPr>
          <w:rFonts w:ascii="Times New Roman" w:eastAsia="Times New Roman" w:hAnsi="Times New Roman" w:cs="Times New Roman"/>
          <w:sz w:val="24"/>
          <w:szCs w:val="24"/>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1940277F"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Esamos ir bazinės kainos indeksų šaltinis – Valstybės duomenų agentūros duomenų bazės. Šiuos indeksus galima rasti (žingsniai): </w:t>
      </w:r>
      <w:hyperlink r:id="rId7" w:anchor="/">
        <w:r>
          <w:rPr>
            <w:rFonts w:ascii="Times New Roman" w:eastAsia="Times New Roman" w:hAnsi="Times New Roman" w:cs="Times New Roman"/>
            <w:color w:val="000000"/>
            <w:sz w:val="24"/>
            <w:szCs w:val="24"/>
          </w:rPr>
          <w:t>https://osp.stat.gov.lt/statistiniu-rodikliu-analize#/</w:t>
        </w:r>
      </w:hyperlink>
      <w:r>
        <w:rPr>
          <w:rFonts w:ascii="Times New Roman" w:eastAsia="Times New Roman" w:hAnsi="Times New Roman" w:cs="Times New Roman"/>
          <w:color w:val="000000"/>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19402780"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Skaičiavimams indeksų reikšmės imamos keturių skaitmenų po kablelio tikslumu. Apskaičiuotas pokytis (k) tolesniems skaičiavimams naudojamas suapvalinus iki vieno skaitmens po kablelio, o apskaičiuotas įkainis „a“ suapvalinamas iki dviejų skaitmenų po kablelio;</w:t>
      </w:r>
    </w:p>
    <w:p w14:paraId="19402781"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Vėlesnis kainų arba įkainių perskaičiavimas negali apimti laikotarpio, už kurį perskaičiavimas jau buvo atliktas;</w:t>
      </w:r>
    </w:p>
    <w:p w14:paraId="19402782"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Pirmosios peržiūros terminas netaikomas ir peržiūros dažnumas nėra ribojamas;</w:t>
      </w:r>
    </w:p>
    <w:p w14:paraId="19402783"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Perskaičiuotieji paslaugų kainų su PVM įforminami rašytiniu šalių susitarimu. Šalys privalo sudaryti susitarimą dėl kainų perskaičiavimo per 10 darbo dienų nuo šalies prašymo kitai šaliai perskaičiuoti kainų pateikimo dienos. Šalys privalo susitarime dėl kainų perskaičiavimo nurodyti indekso reikšmę laikotarpio pradžioje ir jos nustatymo datą, indekso reikšmę laikotarpio pabaigoje ir jos nustatymo datą, kainų pokytį (k), perskaičiuotus kainas ir, esant poreikiui, perskaičiuotą pradinės Sutarties vertę. Susi</w:t>
      </w:r>
      <w:r>
        <w:rPr>
          <w:rFonts w:ascii="Times New Roman" w:eastAsia="Times New Roman" w:hAnsi="Times New Roman" w:cs="Times New Roman"/>
          <w:color w:val="000000"/>
          <w:sz w:val="24"/>
          <w:szCs w:val="24"/>
        </w:rPr>
        <w:t>tarimas padidinti / sumažinti paslaugų įkainius ir, esant poreikiui, atitinkamai pakeisti pradinės Sutarties vertę įsigalioja Sutarties šalims pasirašius susitarimą, kuris bus laikomas sudėtine Sutarties dalimi;</w:t>
      </w:r>
    </w:p>
    <w:p w14:paraId="19402784"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Perskaičiuotas paslaugų kaina su PVM taikomas tik toms paslaugoms, kurios bus teikiamos po susitarimo dėl paslaugų kaina su PVM perskaičiavimo įsigaliojimo;</w:t>
      </w:r>
    </w:p>
    <w:p w14:paraId="19402785"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Paslaugų, suteiktų iki susitarimo dėl paslaugų kainos su PVM perskaičiavimo įsigaliojimo, ir paslaugų, suteiktų pažeidus paslaugų suteikimo terminus ir Paslaugų teikėjui nepateikus šių terminų praleidimą patvirtinančių objektyvių įrodymų, įkainis su PVM nebus perskaičiuojamas, jei jis didėja.</w:t>
      </w:r>
    </w:p>
    <w:p w14:paraId="19402786" w14:textId="77777777" w:rsidR="00B47A30" w:rsidRDefault="00B47A30">
      <w:pPr>
        <w:rPr>
          <w:rFonts w:ascii="Times New Roman" w:eastAsia="Times New Roman" w:hAnsi="Times New Roman" w:cs="Times New Roman"/>
          <w:sz w:val="24"/>
          <w:szCs w:val="24"/>
        </w:rPr>
      </w:pPr>
    </w:p>
    <w:p w14:paraId="19402787" w14:textId="77777777" w:rsidR="00B47A30" w:rsidRDefault="007A6E5F">
      <w:pPr>
        <w:numPr>
          <w:ilvl w:val="0"/>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PAGRINDINIAI ŠALIŲ ĮSIPAREIGOJIMAI</w:t>
      </w:r>
    </w:p>
    <w:p w14:paraId="19402788" w14:textId="77777777" w:rsidR="00B47A30" w:rsidRDefault="007A6E5F">
      <w:pPr>
        <w:numPr>
          <w:ilvl w:val="1"/>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Paslaugų teikėjo teisės ir pareigos</w:t>
      </w:r>
    </w:p>
    <w:p w14:paraId="19402789" w14:textId="77777777" w:rsidR="00B47A30" w:rsidRDefault="007A6E5F">
      <w:pPr>
        <w:numPr>
          <w:ilvl w:val="2"/>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Teikdamas paslaugas, Paslaugos teikėjas privalo veikti sąžiningai ir protingai, kad tai labiausiai atitiktų Perkančiosios organizacijos interesus.</w:t>
      </w:r>
    </w:p>
    <w:p w14:paraId="1940278A" w14:textId="77777777" w:rsidR="00B47A30" w:rsidRDefault="007A6E5F">
      <w:pPr>
        <w:numPr>
          <w:ilvl w:val="2"/>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Paslaugų teikėjas suteikia galimybę naudotis Paslaugomis iš anksto sutartomis dienomis ir laiku (1 priedas).</w:t>
      </w:r>
    </w:p>
    <w:p w14:paraId="1940278B" w14:textId="77777777" w:rsidR="00B47A30" w:rsidRDefault="007A6E5F">
      <w:pPr>
        <w:numPr>
          <w:ilvl w:val="2"/>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1940278C" w14:textId="77777777" w:rsidR="00B47A30" w:rsidRDefault="007A6E5F">
      <w:pPr>
        <w:numPr>
          <w:ilvl w:val="2"/>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1940278D" w14:textId="77777777" w:rsidR="00B47A30" w:rsidRDefault="007A6E5F">
      <w:pPr>
        <w:numPr>
          <w:ilvl w:val="2"/>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1940278E" w14:textId="77777777" w:rsidR="00B47A30" w:rsidRDefault="007A6E5F">
      <w:pPr>
        <w:numPr>
          <w:ilvl w:val="2"/>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Susidarius aplinkybėms, kai fizinio aktyvumo specialistas (toliau-Specialistas) negali suteikti Paslaugos, jį vaduoja pavaduojantis Specialistas.</w:t>
      </w:r>
    </w:p>
    <w:p w14:paraId="1940278F" w14:textId="77777777" w:rsidR="00B47A30" w:rsidRDefault="007A6E5F">
      <w:pPr>
        <w:numPr>
          <w:ilvl w:val="2"/>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19402790" w14:textId="77777777" w:rsidR="00B47A30" w:rsidRDefault="007A6E5F">
      <w:pPr>
        <w:numPr>
          <w:ilvl w:val="2"/>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Paslaugos teikėjas užtikrina, kad iškilus trukdžiams, Paslauga bus suteikta. </w:t>
      </w:r>
    </w:p>
    <w:p w14:paraId="19402791" w14:textId="77777777" w:rsidR="00B47A30" w:rsidRDefault="007A6E5F">
      <w:pPr>
        <w:numPr>
          <w:ilvl w:val="2"/>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Prieš sudarant Sutartį, Paslaugos teikėjas privalo suteikti Perkančiajai organizacijai išsamią informaciją, susijusią su teikiamų Paslaugų prigimtimi, jų teikimo sąlygomis, Paslaugų kaina, Paslaugų teikimo terminais, galimomis pasekmėmis, bei kitokią informaciją, turinčią įtakos Perkančiosios organizacijos apsisprendimui sudaryti Sutartį.</w:t>
      </w:r>
    </w:p>
    <w:p w14:paraId="19402792" w14:textId="77777777" w:rsidR="00B47A30" w:rsidRDefault="007A6E5F">
      <w:pPr>
        <w:numPr>
          <w:ilvl w:val="2"/>
          <w:numId w:val="5"/>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Tinkamai vykdyti kitus įsipareigojimus, numatytus Sutartyje ir galiojančiuose Lietuvos Respublikos teisės aktuose</w:t>
      </w:r>
    </w:p>
    <w:p w14:paraId="19402793" w14:textId="77777777" w:rsidR="00B47A30" w:rsidRDefault="00B47A30">
      <w:pPr>
        <w:rPr>
          <w:rFonts w:ascii="Times New Roman" w:eastAsia="Times New Roman" w:hAnsi="Times New Roman" w:cs="Times New Roman"/>
          <w:sz w:val="24"/>
          <w:szCs w:val="24"/>
        </w:rPr>
      </w:pPr>
    </w:p>
    <w:p w14:paraId="19402794" w14:textId="77777777" w:rsidR="00B47A30" w:rsidRDefault="007A6E5F">
      <w:pPr>
        <w:numPr>
          <w:ilvl w:val="1"/>
          <w:numId w:val="2"/>
        </w:numPr>
        <w:pBdr>
          <w:top w:val="nil"/>
          <w:left w:val="nil"/>
          <w:bottom w:val="nil"/>
          <w:right w:val="nil"/>
          <w:between w:val="nil"/>
        </w:pBdr>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Perkančiosios organizacijos teisės ir pareigos:</w:t>
      </w:r>
    </w:p>
    <w:p w14:paraId="19402795" w14:textId="77777777" w:rsidR="00B47A30" w:rsidRDefault="007A6E5F">
      <w:pPr>
        <w:numPr>
          <w:ilvl w:val="2"/>
          <w:numId w:val="2"/>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Priimti Paslaugas ir apmokėti Paslaugos teikėjui už Paslaugas.</w:t>
      </w:r>
    </w:p>
    <w:p w14:paraId="19402796" w14:textId="77777777" w:rsidR="00B47A30" w:rsidRDefault="007A6E5F">
      <w:pPr>
        <w:numPr>
          <w:ilvl w:val="2"/>
          <w:numId w:val="2"/>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turi teisę nukelti Paslaugų teikimo datą ar keisti Paslaugos laiką, derinant su Paslaugos teikėju.</w:t>
      </w:r>
    </w:p>
    <w:p w14:paraId="19402797" w14:textId="77777777" w:rsidR="00B47A30" w:rsidRDefault="007A6E5F">
      <w:pPr>
        <w:numPr>
          <w:ilvl w:val="2"/>
          <w:numId w:val="2"/>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įsipareigoja prieš 2 darbo dienas raštu pranešti Paslaugos teikėjui apie Paslaugos laikų ar datų pakeitimus.</w:t>
      </w:r>
    </w:p>
    <w:p w14:paraId="19402798" w14:textId="77777777" w:rsidR="00B47A30" w:rsidRDefault="007A6E5F">
      <w:pPr>
        <w:numPr>
          <w:ilvl w:val="2"/>
          <w:numId w:val="2"/>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turi visas sutartyje bei Lietuvos Respublikoje galiojančiuose teisės aktuose numatytas teises.</w:t>
      </w:r>
    </w:p>
    <w:p w14:paraId="19402799" w14:textId="77777777" w:rsidR="00B47A30" w:rsidRDefault="007A6E5F">
      <w:pPr>
        <w:numPr>
          <w:ilvl w:val="1"/>
          <w:numId w:val="2"/>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neįsipareigoja išpirkti viso Paslaugų kiekio. Apie stabdomas Paslaugas turi raštu pranešti Paslaugos teikėjui prieš 5 darbo dienas.</w:t>
      </w:r>
    </w:p>
    <w:p w14:paraId="1940279A" w14:textId="77777777" w:rsidR="00B47A30" w:rsidRDefault="007A6E5F">
      <w:pPr>
        <w:numPr>
          <w:ilvl w:val="1"/>
          <w:numId w:val="2"/>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Šalys įsipareigoja laiku informuoti viena kitą apie svarbias aplinkybes, kurios gali turėti įtakos šios Sutarties vykdymui, tame tarpe ir adresų bei banko rekvizitų pasikeitimą.</w:t>
      </w:r>
    </w:p>
    <w:p w14:paraId="1940279B" w14:textId="77777777" w:rsidR="00B47A30" w:rsidRDefault="00B47A30">
      <w:pPr>
        <w:pBdr>
          <w:top w:val="nil"/>
          <w:left w:val="nil"/>
          <w:bottom w:val="nil"/>
          <w:right w:val="nil"/>
          <w:between w:val="nil"/>
        </w:pBdr>
        <w:jc w:val="both"/>
        <w:rPr>
          <w:rFonts w:ascii="Times New Roman" w:eastAsia="Times New Roman" w:hAnsi="Times New Roman" w:cs="Times New Roman"/>
          <w:color w:val="000000"/>
          <w:sz w:val="24"/>
          <w:szCs w:val="24"/>
        </w:rPr>
      </w:pPr>
    </w:p>
    <w:p w14:paraId="1940279C" w14:textId="77777777" w:rsidR="00B47A30" w:rsidRDefault="007A6E5F">
      <w:pPr>
        <w:numPr>
          <w:ilvl w:val="0"/>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BENDROSIOS NUOSTATOS</w:t>
      </w:r>
    </w:p>
    <w:p w14:paraId="1940279D"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Pirkimo sutarties sąlygos, Sutarties galiojimo laikotarpiu, negali būti keičiamos, išskyrus tokias pirkimo sutarties sąlygas, kurias pakeitus nebūtų pažeistos pirminės „Jėgos lavinimo treniruočių vedimo paslaugas (SRF projekto tęstinumas)“ pirkimo sąlygos. </w:t>
      </w:r>
    </w:p>
    <w:p w14:paraId="1940279E"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Sutartis įsigalioja nuo jos pasirašymo dienos ir galioja 13 mėnesių.</w:t>
      </w:r>
    </w:p>
    <w:p w14:paraId="1940279F"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Sutartis gali būti nutraukta Perkančiosios organizacijos ar Paslaugos teikėjo iniciatyva, jei viena iš Šalių nevykdo šia Sutartimi prisiimtų įsipareigojimų, įspėjus raštu apie tai kitą Šalį prieš 5 darbo dienas iki Sutarties nutraukimo.</w:t>
      </w:r>
    </w:p>
    <w:p w14:paraId="194027A0"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turi teisę bet kada, kol Paslaugos yra nebaigtos teikti, prieš 5 darbo dienas, raštiškai įspėjęs Paslaugos teikėją, atsisakyti Sutarties, kartu sumokėdamas Paslaugos teikėjui atlyginimą už iki pranešimo dėl Sutarties nutraukimo gavimo dienos suteiktų Paslaugų dalį.</w:t>
      </w:r>
    </w:p>
    <w:p w14:paraId="194027A1"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Šalys įsipareigoja tarpusavio santykiuose laikytis konfidencialumo: neatskleisti raštu, žodžiu, ar kitokiu pavidalu, tretiesiems asmenims jokios komercinės, dalykinės, finansinės, asmens duomenų informacijos, su kuria buvo supažindintos bendradarbiaudamos šios Sutarties pagrindu.</w:t>
      </w:r>
    </w:p>
    <w:p w14:paraId="194027A2"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Sutarties Šalys susirašinėja lietuvių kalba. Visi pranešimai, sutikimai ir kitas susižinojimas, kuriuos Šalys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94027A3" w14:textId="77777777" w:rsidR="00B47A30" w:rsidRDefault="00B47A30">
      <w:pPr>
        <w:pBdr>
          <w:top w:val="nil"/>
          <w:left w:val="nil"/>
          <w:bottom w:val="nil"/>
          <w:right w:val="nil"/>
          <w:between w:val="nil"/>
        </w:pBdr>
        <w:tabs>
          <w:tab w:val="left" w:pos="709"/>
        </w:tabs>
        <w:jc w:val="both"/>
        <w:rPr>
          <w:rFonts w:ascii="Times New Roman" w:eastAsia="Times New Roman" w:hAnsi="Times New Roman" w:cs="Times New Roman"/>
          <w:color w:val="000000"/>
          <w:sz w:val="24"/>
          <w:szCs w:val="24"/>
        </w:rPr>
      </w:pP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4"/>
        <w:gridCol w:w="2714"/>
        <w:gridCol w:w="2976"/>
        <w:gridCol w:w="2835"/>
      </w:tblGrid>
      <w:tr w:rsidR="00B47A30" w14:paraId="194027A8" w14:textId="77777777">
        <w:tc>
          <w:tcPr>
            <w:tcW w:w="1114" w:type="dxa"/>
            <w:vAlign w:val="center"/>
          </w:tcPr>
          <w:p w14:paraId="194027A4" w14:textId="77777777" w:rsidR="00B47A30" w:rsidRDefault="00B47A30">
            <w:pPr>
              <w:jc w:val="center"/>
              <w:rPr>
                <w:sz w:val="24"/>
                <w:szCs w:val="24"/>
              </w:rPr>
            </w:pPr>
          </w:p>
        </w:tc>
        <w:tc>
          <w:tcPr>
            <w:tcW w:w="2714" w:type="dxa"/>
            <w:vAlign w:val="center"/>
          </w:tcPr>
          <w:p w14:paraId="194027A5" w14:textId="77777777" w:rsidR="00B47A30" w:rsidRDefault="007A6E5F">
            <w:pPr>
              <w:jc w:val="center"/>
              <w:rPr>
                <w:sz w:val="24"/>
                <w:szCs w:val="24"/>
              </w:rPr>
            </w:pPr>
            <w:r>
              <w:rPr>
                <w:sz w:val="24"/>
                <w:szCs w:val="24"/>
              </w:rPr>
              <w:t>Perkančiosios organizacijos atstovas, atsakingas už sutarties objektą</w:t>
            </w:r>
          </w:p>
        </w:tc>
        <w:tc>
          <w:tcPr>
            <w:tcW w:w="2976" w:type="dxa"/>
            <w:vAlign w:val="center"/>
          </w:tcPr>
          <w:p w14:paraId="194027A6" w14:textId="77777777" w:rsidR="00B47A30" w:rsidRDefault="007A6E5F">
            <w:pPr>
              <w:jc w:val="center"/>
              <w:rPr>
                <w:sz w:val="24"/>
                <w:szCs w:val="24"/>
              </w:rPr>
            </w:pPr>
            <w:r>
              <w:rPr>
                <w:sz w:val="24"/>
                <w:szCs w:val="24"/>
              </w:rPr>
              <w:t>Perkančiosios organizacijos atstovas, atsakingas už sutarties bendruosius punktus ir sutarties paskelbimą</w:t>
            </w:r>
          </w:p>
        </w:tc>
        <w:tc>
          <w:tcPr>
            <w:tcW w:w="2835" w:type="dxa"/>
            <w:vAlign w:val="center"/>
          </w:tcPr>
          <w:p w14:paraId="194027A7" w14:textId="77777777" w:rsidR="00B47A30" w:rsidRDefault="007A6E5F">
            <w:pPr>
              <w:jc w:val="center"/>
              <w:rPr>
                <w:sz w:val="24"/>
                <w:szCs w:val="24"/>
              </w:rPr>
            </w:pPr>
            <w:r>
              <w:rPr>
                <w:sz w:val="24"/>
                <w:szCs w:val="24"/>
              </w:rPr>
              <w:t>Paslaugos teikėjo atstovas</w:t>
            </w:r>
          </w:p>
        </w:tc>
      </w:tr>
      <w:tr w:rsidR="00B47A30" w14:paraId="194027AD" w14:textId="77777777">
        <w:tc>
          <w:tcPr>
            <w:tcW w:w="1114" w:type="dxa"/>
            <w:vAlign w:val="center"/>
          </w:tcPr>
          <w:p w14:paraId="194027A9" w14:textId="77777777" w:rsidR="00B47A30" w:rsidRDefault="007A6E5F">
            <w:pPr>
              <w:jc w:val="center"/>
              <w:rPr>
                <w:sz w:val="24"/>
                <w:szCs w:val="24"/>
              </w:rPr>
            </w:pPr>
            <w:r>
              <w:rPr>
                <w:sz w:val="24"/>
                <w:szCs w:val="24"/>
              </w:rPr>
              <w:t>Vardas Pavardė</w:t>
            </w:r>
          </w:p>
        </w:tc>
        <w:tc>
          <w:tcPr>
            <w:tcW w:w="2714" w:type="dxa"/>
            <w:vAlign w:val="center"/>
          </w:tcPr>
          <w:p w14:paraId="194027AA" w14:textId="77777777" w:rsidR="00B47A30" w:rsidRDefault="007A6E5F">
            <w:pPr>
              <w:jc w:val="center"/>
              <w:rPr>
                <w:sz w:val="24"/>
                <w:szCs w:val="24"/>
              </w:rPr>
            </w:pPr>
            <w:r>
              <w:rPr>
                <w:sz w:val="24"/>
                <w:szCs w:val="24"/>
              </w:rPr>
              <w:t>Julija Grišė</w:t>
            </w:r>
          </w:p>
        </w:tc>
        <w:tc>
          <w:tcPr>
            <w:tcW w:w="2976" w:type="dxa"/>
            <w:vAlign w:val="center"/>
          </w:tcPr>
          <w:p w14:paraId="194027AB" w14:textId="77777777" w:rsidR="00B47A30" w:rsidRDefault="007A6E5F">
            <w:pPr>
              <w:jc w:val="center"/>
              <w:rPr>
                <w:sz w:val="24"/>
                <w:szCs w:val="24"/>
              </w:rPr>
            </w:pPr>
            <w:r>
              <w:rPr>
                <w:sz w:val="24"/>
                <w:szCs w:val="24"/>
              </w:rPr>
              <w:t>Jūratė Juškevičienė</w:t>
            </w:r>
          </w:p>
        </w:tc>
        <w:tc>
          <w:tcPr>
            <w:tcW w:w="2835" w:type="dxa"/>
            <w:vAlign w:val="center"/>
          </w:tcPr>
          <w:p w14:paraId="194027AC" w14:textId="77777777" w:rsidR="00B47A30" w:rsidRDefault="007A6E5F">
            <w:pPr>
              <w:jc w:val="center"/>
            </w:pPr>
            <w:r>
              <w:t xml:space="preserve">Evaldas </w:t>
            </w:r>
            <w:proofErr w:type="spellStart"/>
            <w:r>
              <w:t>Ščiuka</w:t>
            </w:r>
            <w:proofErr w:type="spellEnd"/>
          </w:p>
        </w:tc>
      </w:tr>
      <w:tr w:rsidR="00B47A30" w14:paraId="194027B2" w14:textId="77777777">
        <w:tc>
          <w:tcPr>
            <w:tcW w:w="1114" w:type="dxa"/>
            <w:vAlign w:val="center"/>
          </w:tcPr>
          <w:p w14:paraId="194027AE" w14:textId="77777777" w:rsidR="00B47A30" w:rsidRDefault="007A6E5F">
            <w:pPr>
              <w:jc w:val="center"/>
              <w:rPr>
                <w:sz w:val="24"/>
                <w:szCs w:val="24"/>
              </w:rPr>
            </w:pPr>
            <w:r>
              <w:rPr>
                <w:sz w:val="24"/>
                <w:szCs w:val="24"/>
              </w:rPr>
              <w:t xml:space="preserve">Tel. </w:t>
            </w:r>
            <w:proofErr w:type="spellStart"/>
            <w:r>
              <w:rPr>
                <w:sz w:val="24"/>
                <w:szCs w:val="24"/>
              </w:rPr>
              <w:t>nr.</w:t>
            </w:r>
            <w:proofErr w:type="spellEnd"/>
          </w:p>
        </w:tc>
        <w:tc>
          <w:tcPr>
            <w:tcW w:w="2714" w:type="dxa"/>
            <w:vAlign w:val="center"/>
          </w:tcPr>
          <w:p w14:paraId="194027AF" w14:textId="77777777" w:rsidR="00B47A30" w:rsidRDefault="007A6E5F">
            <w:pPr>
              <w:jc w:val="center"/>
              <w:rPr>
                <w:sz w:val="24"/>
                <w:szCs w:val="24"/>
              </w:rPr>
            </w:pPr>
            <w:r>
              <w:rPr>
                <w:sz w:val="24"/>
                <w:szCs w:val="24"/>
              </w:rPr>
              <w:t>+370 619 56 774</w:t>
            </w:r>
          </w:p>
        </w:tc>
        <w:tc>
          <w:tcPr>
            <w:tcW w:w="2976" w:type="dxa"/>
            <w:vAlign w:val="center"/>
          </w:tcPr>
          <w:p w14:paraId="194027B0" w14:textId="77777777" w:rsidR="00B47A30" w:rsidRDefault="007A6E5F">
            <w:pPr>
              <w:jc w:val="center"/>
              <w:rPr>
                <w:sz w:val="24"/>
                <w:szCs w:val="24"/>
              </w:rPr>
            </w:pPr>
            <w:r>
              <w:rPr>
                <w:sz w:val="24"/>
                <w:szCs w:val="24"/>
              </w:rPr>
              <w:t>+370 683 59 393</w:t>
            </w:r>
          </w:p>
        </w:tc>
        <w:tc>
          <w:tcPr>
            <w:tcW w:w="2835" w:type="dxa"/>
            <w:vAlign w:val="center"/>
          </w:tcPr>
          <w:p w14:paraId="194027B1" w14:textId="77777777" w:rsidR="00B47A30" w:rsidRDefault="007A6E5F">
            <w:pPr>
              <w:jc w:val="center"/>
            </w:pPr>
            <w:r>
              <w:t>+370 606 80229</w:t>
            </w:r>
          </w:p>
        </w:tc>
      </w:tr>
      <w:tr w:rsidR="00B47A30" w14:paraId="194027B7" w14:textId="77777777">
        <w:tc>
          <w:tcPr>
            <w:tcW w:w="1114" w:type="dxa"/>
            <w:vAlign w:val="center"/>
          </w:tcPr>
          <w:p w14:paraId="194027B3" w14:textId="77777777" w:rsidR="00B47A30" w:rsidRDefault="007A6E5F">
            <w:pPr>
              <w:jc w:val="center"/>
              <w:rPr>
                <w:sz w:val="24"/>
                <w:szCs w:val="24"/>
              </w:rPr>
            </w:pPr>
            <w:r>
              <w:rPr>
                <w:sz w:val="24"/>
                <w:szCs w:val="24"/>
              </w:rPr>
              <w:t>El. p.</w:t>
            </w:r>
          </w:p>
        </w:tc>
        <w:tc>
          <w:tcPr>
            <w:tcW w:w="2714" w:type="dxa"/>
            <w:vAlign w:val="center"/>
          </w:tcPr>
          <w:p w14:paraId="194027B4" w14:textId="77777777" w:rsidR="00B47A30" w:rsidRDefault="007A6E5F">
            <w:pPr>
              <w:jc w:val="center"/>
              <w:rPr>
                <w:sz w:val="24"/>
                <w:szCs w:val="24"/>
              </w:rPr>
            </w:pPr>
            <w:r>
              <w:rPr>
                <w:sz w:val="24"/>
                <w:szCs w:val="24"/>
              </w:rPr>
              <w:t>julija.grise@kaunovsb.lt</w:t>
            </w:r>
          </w:p>
        </w:tc>
        <w:tc>
          <w:tcPr>
            <w:tcW w:w="2976" w:type="dxa"/>
            <w:vAlign w:val="center"/>
          </w:tcPr>
          <w:p w14:paraId="194027B5" w14:textId="77777777" w:rsidR="00B47A30" w:rsidRDefault="007A6E5F">
            <w:pPr>
              <w:jc w:val="center"/>
              <w:rPr>
                <w:sz w:val="24"/>
                <w:szCs w:val="24"/>
              </w:rPr>
            </w:pPr>
            <w:r>
              <w:rPr>
                <w:sz w:val="24"/>
                <w:szCs w:val="24"/>
              </w:rPr>
              <w:t>viesiejipirkimai@kaunovsb.lt</w:t>
            </w:r>
          </w:p>
        </w:tc>
        <w:tc>
          <w:tcPr>
            <w:tcW w:w="2835" w:type="dxa"/>
            <w:vAlign w:val="center"/>
          </w:tcPr>
          <w:p w14:paraId="194027B6" w14:textId="77777777" w:rsidR="00B47A30" w:rsidRDefault="007A6E5F">
            <w:pPr>
              <w:jc w:val="center"/>
            </w:pPr>
            <w:r>
              <w:t>hi@balticpower.co.uk</w:t>
            </w:r>
          </w:p>
        </w:tc>
      </w:tr>
    </w:tbl>
    <w:p w14:paraId="194027B8" w14:textId="77777777" w:rsidR="00B47A30" w:rsidRDefault="00B47A30">
      <w:pPr>
        <w:pBdr>
          <w:top w:val="nil"/>
          <w:left w:val="nil"/>
          <w:bottom w:val="nil"/>
          <w:right w:val="nil"/>
          <w:between w:val="nil"/>
        </w:pBdr>
        <w:jc w:val="both"/>
        <w:rPr>
          <w:rFonts w:ascii="Times New Roman" w:eastAsia="Times New Roman" w:hAnsi="Times New Roman" w:cs="Times New Roman"/>
          <w:color w:val="000000"/>
          <w:sz w:val="24"/>
          <w:szCs w:val="24"/>
        </w:rPr>
      </w:pPr>
    </w:p>
    <w:p w14:paraId="194027B9"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 kokie susitarimai, kurie keičia šios Sutarties šalių įsipareigojimus, nėra galiojantys, jeigu nėra sudaryti raštu ir nepasirašyti abiejų Šalių tam įgaliotų atstovų.</w:t>
      </w:r>
    </w:p>
    <w:p w14:paraId="194027BA"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Iškilus nenugalimos jėgos aplinkybėms, Šalys vadovaujasi LR Civilinio kodekso 6.212 straipsniu. </w:t>
      </w:r>
    </w:p>
    <w:p w14:paraId="194027BB"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Dėl pirkimo sutarties kylantys ginčai tarp Šalių sprendžiami derybų būdu, o nepavykus taip išspręsti ginčo, jis bus nagrinėjamas LR Civilinio kodekso nustatyta tvarka teisme.</w:t>
      </w:r>
    </w:p>
    <w:p w14:paraId="194027BC"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Sutartis sudaryta lietuvių kalba elektroniniu būdu. Visais su Sutarties įgyvendinimu susijusiais klausimais Šalys privalo susirašinėti ir bendrauti lietuvių kalba.</w:t>
      </w:r>
    </w:p>
    <w:p w14:paraId="194027BD" w14:textId="77777777" w:rsidR="00B47A30" w:rsidRDefault="007A6E5F">
      <w:pPr>
        <w:numPr>
          <w:ilvl w:val="1"/>
          <w:numId w:val="6"/>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Sutarties priedai, pasirašyti abiejų Šalių įgaliotų atstovų, yra neatskiriama šios Sutarties dalis.</w:t>
      </w:r>
    </w:p>
    <w:p w14:paraId="194027BE" w14:textId="77777777" w:rsidR="00B47A30" w:rsidRDefault="00B47A30">
      <w:pPr>
        <w:jc w:val="both"/>
        <w:rPr>
          <w:rFonts w:ascii="Times New Roman" w:eastAsia="Times New Roman" w:hAnsi="Times New Roman" w:cs="Times New Roman"/>
          <w:sz w:val="24"/>
          <w:szCs w:val="24"/>
        </w:rPr>
      </w:pPr>
    </w:p>
    <w:p w14:paraId="194027BF" w14:textId="77777777" w:rsidR="00B47A30" w:rsidRDefault="007A6E5F">
      <w:pPr>
        <w:numPr>
          <w:ilvl w:val="0"/>
          <w:numId w:val="6"/>
        </w:numPr>
        <w:pBdr>
          <w:top w:val="nil"/>
          <w:left w:val="nil"/>
          <w:bottom w:val="nil"/>
          <w:right w:val="nil"/>
          <w:between w:val="nil"/>
        </w:pBdr>
        <w:tabs>
          <w:tab w:val="left" w:pos="284"/>
        </w:tabs>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ŠALIŲ REKVIZITAI</w:t>
      </w:r>
      <w:r>
        <w:rPr>
          <w:rFonts w:ascii="Times New Roman" w:eastAsia="Times New Roman" w:hAnsi="Times New Roman" w:cs="Times New Roman"/>
          <w:b/>
          <w:color w:val="000000"/>
          <w:sz w:val="24"/>
          <w:szCs w:val="24"/>
        </w:rPr>
        <w:tab/>
      </w:r>
    </w:p>
    <w:tbl>
      <w:tblPr>
        <w:tblStyle w:val="a0"/>
        <w:tblW w:w="977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820"/>
        <w:gridCol w:w="4950"/>
      </w:tblGrid>
      <w:tr w:rsidR="00B47A30" w14:paraId="194027D7" w14:textId="77777777">
        <w:tc>
          <w:tcPr>
            <w:tcW w:w="4820" w:type="dxa"/>
          </w:tcPr>
          <w:p w14:paraId="194027C0" w14:textId="77777777" w:rsidR="00B47A30" w:rsidRDefault="007A6E5F">
            <w:pPr>
              <w:ind w:right="43"/>
              <w:jc w:val="both"/>
              <w:rPr>
                <w:b/>
                <w:sz w:val="24"/>
                <w:szCs w:val="24"/>
              </w:rPr>
            </w:pPr>
            <w:r>
              <w:rPr>
                <w:b/>
                <w:sz w:val="24"/>
                <w:szCs w:val="24"/>
              </w:rPr>
              <w:t xml:space="preserve">Paslaugos teikėjas: </w:t>
            </w:r>
          </w:p>
          <w:p w14:paraId="194027C1" w14:textId="77777777" w:rsidR="00B47A30" w:rsidRDefault="007A6E5F">
            <w:pPr>
              <w:ind w:right="43"/>
              <w:jc w:val="both"/>
              <w:rPr>
                <w:b/>
                <w:sz w:val="24"/>
                <w:szCs w:val="24"/>
              </w:rPr>
            </w:pPr>
            <w:r>
              <w:rPr>
                <w:b/>
                <w:sz w:val="24"/>
                <w:szCs w:val="24"/>
              </w:rPr>
              <w:t>VšĮ Sporto ir sveikatingumo projektai</w:t>
            </w:r>
          </w:p>
          <w:p w14:paraId="194027C2" w14:textId="77777777" w:rsidR="00B47A30" w:rsidRDefault="007A6E5F">
            <w:pPr>
              <w:rPr>
                <w:sz w:val="24"/>
                <w:szCs w:val="24"/>
              </w:rPr>
            </w:pPr>
            <w:r>
              <w:rPr>
                <w:sz w:val="24"/>
                <w:szCs w:val="24"/>
              </w:rPr>
              <w:br/>
              <w:t xml:space="preserve">V. </w:t>
            </w:r>
            <w:proofErr w:type="spellStart"/>
            <w:r>
              <w:rPr>
                <w:sz w:val="24"/>
                <w:szCs w:val="24"/>
              </w:rPr>
              <w:t>Alanto</w:t>
            </w:r>
            <w:proofErr w:type="spellEnd"/>
            <w:r>
              <w:rPr>
                <w:sz w:val="24"/>
                <w:szCs w:val="24"/>
              </w:rPr>
              <w:t xml:space="preserve"> g. 29D, LT-36249 Panevėžys</w:t>
            </w:r>
          </w:p>
          <w:p w14:paraId="194027C3" w14:textId="77777777" w:rsidR="00B47A30" w:rsidRDefault="007A6E5F">
            <w:pPr>
              <w:rPr>
                <w:sz w:val="24"/>
                <w:szCs w:val="24"/>
              </w:rPr>
            </w:pPr>
            <w:r>
              <w:rPr>
                <w:sz w:val="24"/>
                <w:szCs w:val="24"/>
              </w:rPr>
              <w:t>Įmonės kodas - 305540793</w:t>
            </w:r>
          </w:p>
          <w:p w14:paraId="194027C4" w14:textId="77777777" w:rsidR="00B47A30" w:rsidRDefault="007A6E5F">
            <w:pPr>
              <w:rPr>
                <w:sz w:val="24"/>
                <w:szCs w:val="24"/>
              </w:rPr>
            </w:pPr>
            <w:r>
              <w:rPr>
                <w:sz w:val="24"/>
                <w:szCs w:val="24"/>
              </w:rPr>
              <w:t>A/s LT LT477044090100367624</w:t>
            </w:r>
          </w:p>
          <w:p w14:paraId="194027C5" w14:textId="77777777" w:rsidR="00B47A30" w:rsidRDefault="007A6E5F">
            <w:pPr>
              <w:rPr>
                <w:sz w:val="24"/>
                <w:szCs w:val="24"/>
              </w:rPr>
            </w:pPr>
            <w:r>
              <w:rPr>
                <w:sz w:val="24"/>
                <w:szCs w:val="24"/>
              </w:rPr>
              <w:t xml:space="preserve">AB SEB bankas                </w:t>
            </w:r>
          </w:p>
          <w:p w14:paraId="194027C6" w14:textId="77777777" w:rsidR="00B47A30" w:rsidRDefault="00B47A30">
            <w:pPr>
              <w:jc w:val="both"/>
              <w:rPr>
                <w:sz w:val="24"/>
                <w:szCs w:val="24"/>
              </w:rPr>
            </w:pPr>
          </w:p>
          <w:p w14:paraId="194027C7" w14:textId="77777777" w:rsidR="00B47A30" w:rsidRDefault="007A6E5F">
            <w:pPr>
              <w:ind w:right="43"/>
              <w:jc w:val="both"/>
              <w:rPr>
                <w:sz w:val="24"/>
                <w:szCs w:val="24"/>
              </w:rPr>
            </w:pPr>
            <w:r>
              <w:rPr>
                <w:sz w:val="24"/>
                <w:szCs w:val="24"/>
              </w:rPr>
              <w:t>Direktorius (-ė)</w:t>
            </w:r>
          </w:p>
          <w:p w14:paraId="194027C8" w14:textId="77777777" w:rsidR="00B47A30" w:rsidRDefault="007A6E5F">
            <w:pPr>
              <w:rPr>
                <w:sz w:val="24"/>
                <w:szCs w:val="24"/>
              </w:rPr>
            </w:pPr>
            <w:r>
              <w:rPr>
                <w:b/>
                <w:sz w:val="24"/>
                <w:szCs w:val="24"/>
              </w:rPr>
              <w:t>Tautvydas Kopūstas</w:t>
            </w:r>
          </w:p>
          <w:p w14:paraId="194027C9" w14:textId="77777777" w:rsidR="00B47A30" w:rsidRDefault="007A6E5F">
            <w:pPr>
              <w:ind w:right="43"/>
              <w:jc w:val="both"/>
              <w:rPr>
                <w:sz w:val="24"/>
                <w:szCs w:val="24"/>
              </w:rPr>
            </w:pPr>
            <w:r>
              <w:rPr>
                <w:sz w:val="24"/>
                <w:szCs w:val="24"/>
              </w:rPr>
              <w:t>_________________________</w:t>
            </w:r>
            <w:r>
              <w:rPr>
                <w:sz w:val="24"/>
                <w:szCs w:val="24"/>
              </w:rPr>
              <w:tab/>
            </w:r>
          </w:p>
          <w:p w14:paraId="194027CA" w14:textId="77777777" w:rsidR="00B47A30" w:rsidRDefault="007A6E5F">
            <w:pPr>
              <w:pBdr>
                <w:top w:val="nil"/>
                <w:left w:val="nil"/>
                <w:bottom w:val="nil"/>
                <w:right w:val="nil"/>
                <w:between w:val="nil"/>
              </w:pBdr>
              <w:tabs>
                <w:tab w:val="left" w:pos="284"/>
              </w:tabs>
              <w:jc w:val="both"/>
              <w:rPr>
                <w:b/>
                <w:color w:val="000000"/>
                <w:sz w:val="24"/>
                <w:szCs w:val="24"/>
              </w:rPr>
            </w:pPr>
            <w:r>
              <w:rPr>
                <w:color w:val="000000"/>
                <w:sz w:val="24"/>
                <w:szCs w:val="24"/>
              </w:rPr>
              <w:t>A.V.</w:t>
            </w:r>
          </w:p>
        </w:tc>
        <w:tc>
          <w:tcPr>
            <w:tcW w:w="4950" w:type="dxa"/>
          </w:tcPr>
          <w:p w14:paraId="194027CB" w14:textId="77777777" w:rsidR="00B47A30" w:rsidRDefault="007A6E5F">
            <w:pPr>
              <w:ind w:right="43"/>
              <w:jc w:val="both"/>
              <w:rPr>
                <w:b/>
                <w:sz w:val="24"/>
                <w:szCs w:val="24"/>
              </w:rPr>
            </w:pPr>
            <w:r>
              <w:rPr>
                <w:b/>
                <w:sz w:val="24"/>
                <w:szCs w:val="24"/>
              </w:rPr>
              <w:t xml:space="preserve">Perkančioji organizacija: </w:t>
            </w:r>
          </w:p>
          <w:p w14:paraId="194027CC" w14:textId="77777777" w:rsidR="00B47A30" w:rsidRDefault="007A6E5F">
            <w:pPr>
              <w:ind w:right="43"/>
              <w:jc w:val="both"/>
              <w:rPr>
                <w:b/>
                <w:sz w:val="24"/>
                <w:szCs w:val="24"/>
              </w:rPr>
            </w:pPr>
            <w:r>
              <w:rPr>
                <w:b/>
                <w:sz w:val="24"/>
                <w:szCs w:val="24"/>
              </w:rPr>
              <w:t>Kauno miesto savivaldybės visuomenės sveikatos biuras</w:t>
            </w:r>
          </w:p>
          <w:p w14:paraId="194027CD" w14:textId="77777777" w:rsidR="00B47A30" w:rsidRDefault="007A6E5F">
            <w:pPr>
              <w:rPr>
                <w:sz w:val="24"/>
                <w:szCs w:val="24"/>
              </w:rPr>
            </w:pPr>
            <w:r>
              <w:rPr>
                <w:sz w:val="24"/>
                <w:szCs w:val="24"/>
              </w:rPr>
              <w:t>Vaidoto g. 115 Kaunas</w:t>
            </w:r>
          </w:p>
          <w:p w14:paraId="194027CE" w14:textId="77777777" w:rsidR="00B47A30" w:rsidRDefault="007A6E5F">
            <w:pPr>
              <w:rPr>
                <w:sz w:val="24"/>
                <w:szCs w:val="24"/>
              </w:rPr>
            </w:pPr>
            <w:r>
              <w:rPr>
                <w:sz w:val="24"/>
                <w:szCs w:val="24"/>
              </w:rPr>
              <w:t>Įmonės kodas 301676575</w:t>
            </w:r>
          </w:p>
          <w:p w14:paraId="194027CF" w14:textId="77777777" w:rsidR="00B47A30" w:rsidRDefault="007A6E5F">
            <w:pPr>
              <w:rPr>
                <w:sz w:val="24"/>
                <w:szCs w:val="24"/>
              </w:rPr>
            </w:pPr>
            <w:r>
              <w:rPr>
                <w:sz w:val="24"/>
                <w:szCs w:val="24"/>
              </w:rPr>
              <w:t>A/s LT284010042501605822</w:t>
            </w:r>
          </w:p>
          <w:p w14:paraId="194027D0" w14:textId="77777777" w:rsidR="00B47A30" w:rsidRDefault="007A6E5F">
            <w:pPr>
              <w:rPr>
                <w:sz w:val="24"/>
                <w:szCs w:val="24"/>
              </w:rPr>
            </w:pPr>
            <w:r>
              <w:rPr>
                <w:sz w:val="24"/>
                <w:szCs w:val="24"/>
              </w:rPr>
              <w:t xml:space="preserve">AB </w:t>
            </w:r>
            <w:proofErr w:type="spellStart"/>
            <w:r>
              <w:rPr>
                <w:sz w:val="24"/>
                <w:szCs w:val="24"/>
              </w:rPr>
              <w:t>Luminor</w:t>
            </w:r>
            <w:proofErr w:type="spellEnd"/>
          </w:p>
          <w:p w14:paraId="194027D1" w14:textId="77777777" w:rsidR="00B47A30" w:rsidRDefault="00B47A30">
            <w:pPr>
              <w:rPr>
                <w:sz w:val="24"/>
                <w:szCs w:val="24"/>
              </w:rPr>
            </w:pPr>
          </w:p>
          <w:p w14:paraId="194027D2" w14:textId="77777777" w:rsidR="00B47A30" w:rsidRDefault="00B47A30">
            <w:pPr>
              <w:rPr>
                <w:sz w:val="24"/>
                <w:szCs w:val="24"/>
              </w:rPr>
            </w:pPr>
          </w:p>
          <w:p w14:paraId="194027D3" w14:textId="77777777" w:rsidR="00B47A30" w:rsidRDefault="007A6E5F">
            <w:pPr>
              <w:ind w:right="43"/>
              <w:jc w:val="both"/>
              <w:rPr>
                <w:sz w:val="24"/>
                <w:szCs w:val="24"/>
              </w:rPr>
            </w:pPr>
            <w:r>
              <w:rPr>
                <w:sz w:val="24"/>
                <w:szCs w:val="24"/>
              </w:rPr>
              <w:t>Direktorė</w:t>
            </w:r>
          </w:p>
          <w:p w14:paraId="194027D4" w14:textId="77777777" w:rsidR="00B47A30" w:rsidRDefault="007A6E5F">
            <w:pPr>
              <w:ind w:right="43"/>
              <w:jc w:val="both"/>
              <w:rPr>
                <w:b/>
                <w:sz w:val="24"/>
                <w:szCs w:val="24"/>
              </w:rPr>
            </w:pPr>
            <w:r>
              <w:rPr>
                <w:b/>
                <w:sz w:val="24"/>
                <w:szCs w:val="24"/>
              </w:rPr>
              <w:t>Gerda Kuzmarskienė</w:t>
            </w:r>
          </w:p>
          <w:p w14:paraId="194027D5" w14:textId="77777777" w:rsidR="00B47A30" w:rsidRDefault="007A6E5F">
            <w:pPr>
              <w:rPr>
                <w:sz w:val="24"/>
                <w:szCs w:val="24"/>
              </w:rPr>
            </w:pPr>
            <w:r>
              <w:rPr>
                <w:sz w:val="24"/>
                <w:szCs w:val="24"/>
              </w:rPr>
              <w:t>_____________________________</w:t>
            </w:r>
          </w:p>
          <w:p w14:paraId="194027D6" w14:textId="77777777" w:rsidR="00B47A30" w:rsidRDefault="007A6E5F">
            <w:pPr>
              <w:rPr>
                <w:b/>
                <w:sz w:val="24"/>
                <w:szCs w:val="24"/>
              </w:rPr>
            </w:pPr>
            <w:r>
              <w:rPr>
                <w:sz w:val="24"/>
                <w:szCs w:val="24"/>
              </w:rPr>
              <w:t>A.V.</w:t>
            </w:r>
          </w:p>
        </w:tc>
      </w:tr>
    </w:tbl>
    <w:p w14:paraId="194027D8" w14:textId="77777777" w:rsidR="00B47A30" w:rsidRDefault="00B47A30">
      <w:pPr>
        <w:pBdr>
          <w:top w:val="nil"/>
          <w:left w:val="nil"/>
          <w:bottom w:val="nil"/>
          <w:right w:val="nil"/>
          <w:between w:val="nil"/>
        </w:pBdr>
        <w:tabs>
          <w:tab w:val="left" w:pos="284"/>
        </w:tabs>
        <w:jc w:val="both"/>
        <w:rPr>
          <w:rFonts w:ascii="Times New Roman" w:eastAsia="Times New Roman" w:hAnsi="Times New Roman" w:cs="Times New Roman"/>
          <w:b/>
          <w:color w:val="000000"/>
          <w:sz w:val="24"/>
          <w:szCs w:val="24"/>
        </w:rPr>
      </w:pPr>
    </w:p>
    <w:p w14:paraId="194027D9" w14:textId="77777777" w:rsidR="00B47A30" w:rsidRDefault="007A6E5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14:paraId="194027DA" w14:textId="77777777" w:rsidR="00B47A30" w:rsidRDefault="00B47A30">
      <w:pPr>
        <w:ind w:right="43"/>
        <w:jc w:val="both"/>
        <w:rPr>
          <w:rFonts w:ascii="Times New Roman" w:eastAsia="Times New Roman" w:hAnsi="Times New Roman" w:cs="Times New Roman"/>
          <w:b/>
          <w:sz w:val="24"/>
          <w:szCs w:val="24"/>
        </w:rPr>
      </w:pPr>
    </w:p>
    <w:p w14:paraId="194027DB" w14:textId="77777777" w:rsidR="00B47A30" w:rsidRDefault="00B47A30">
      <w:pPr>
        <w:ind w:right="43"/>
        <w:jc w:val="both"/>
        <w:rPr>
          <w:rFonts w:ascii="Times New Roman" w:eastAsia="Times New Roman" w:hAnsi="Times New Roman" w:cs="Times New Roman"/>
          <w:b/>
          <w:sz w:val="24"/>
          <w:szCs w:val="24"/>
        </w:rPr>
      </w:pPr>
    </w:p>
    <w:p w14:paraId="194027DC" w14:textId="77777777" w:rsidR="00B47A30" w:rsidRDefault="00B47A30">
      <w:pPr>
        <w:ind w:right="43"/>
        <w:jc w:val="both"/>
        <w:rPr>
          <w:rFonts w:ascii="Times New Roman" w:eastAsia="Times New Roman" w:hAnsi="Times New Roman" w:cs="Times New Roman"/>
          <w:b/>
          <w:sz w:val="24"/>
          <w:szCs w:val="24"/>
        </w:rPr>
      </w:pPr>
    </w:p>
    <w:p w14:paraId="194027DD" w14:textId="77777777" w:rsidR="00B47A30" w:rsidRDefault="00B47A30">
      <w:pPr>
        <w:ind w:right="43"/>
        <w:jc w:val="both"/>
        <w:rPr>
          <w:rFonts w:ascii="Times New Roman" w:eastAsia="Times New Roman" w:hAnsi="Times New Roman" w:cs="Times New Roman"/>
          <w:b/>
          <w:sz w:val="24"/>
          <w:szCs w:val="24"/>
        </w:rPr>
      </w:pPr>
    </w:p>
    <w:p w14:paraId="194027DE" w14:textId="77777777" w:rsidR="00B47A30" w:rsidRDefault="00B47A30">
      <w:pPr>
        <w:ind w:right="43"/>
        <w:jc w:val="both"/>
        <w:rPr>
          <w:rFonts w:ascii="Times New Roman" w:eastAsia="Times New Roman" w:hAnsi="Times New Roman" w:cs="Times New Roman"/>
          <w:b/>
          <w:sz w:val="24"/>
          <w:szCs w:val="24"/>
        </w:rPr>
      </w:pPr>
    </w:p>
    <w:p w14:paraId="194027DF" w14:textId="77777777" w:rsidR="00B47A30" w:rsidRDefault="00B47A30">
      <w:pPr>
        <w:ind w:right="43"/>
        <w:jc w:val="both"/>
        <w:rPr>
          <w:rFonts w:ascii="Times New Roman" w:eastAsia="Times New Roman" w:hAnsi="Times New Roman" w:cs="Times New Roman"/>
          <w:b/>
          <w:sz w:val="24"/>
          <w:szCs w:val="24"/>
        </w:rPr>
      </w:pPr>
    </w:p>
    <w:p w14:paraId="194027E0" w14:textId="77777777" w:rsidR="00B47A30" w:rsidRDefault="00B47A30">
      <w:pPr>
        <w:ind w:right="43"/>
        <w:jc w:val="both"/>
        <w:rPr>
          <w:rFonts w:ascii="Times New Roman" w:eastAsia="Times New Roman" w:hAnsi="Times New Roman" w:cs="Times New Roman"/>
          <w:b/>
          <w:sz w:val="24"/>
          <w:szCs w:val="24"/>
        </w:rPr>
      </w:pPr>
    </w:p>
    <w:p w14:paraId="194027E1" w14:textId="77777777" w:rsidR="00B47A30" w:rsidRDefault="00B47A30">
      <w:pPr>
        <w:ind w:right="43"/>
        <w:jc w:val="both"/>
        <w:rPr>
          <w:rFonts w:ascii="Times New Roman" w:eastAsia="Times New Roman" w:hAnsi="Times New Roman" w:cs="Times New Roman"/>
          <w:b/>
          <w:sz w:val="24"/>
          <w:szCs w:val="24"/>
        </w:rPr>
      </w:pPr>
    </w:p>
    <w:p w14:paraId="194027E2" w14:textId="77777777" w:rsidR="00B47A30" w:rsidRDefault="00B47A30">
      <w:pPr>
        <w:ind w:right="43"/>
        <w:jc w:val="both"/>
        <w:rPr>
          <w:rFonts w:ascii="Times New Roman" w:eastAsia="Times New Roman" w:hAnsi="Times New Roman" w:cs="Times New Roman"/>
          <w:b/>
          <w:sz w:val="24"/>
          <w:szCs w:val="24"/>
        </w:rPr>
      </w:pPr>
    </w:p>
    <w:p w14:paraId="194027E3" w14:textId="77777777" w:rsidR="00B47A30" w:rsidRDefault="00B47A30">
      <w:pPr>
        <w:ind w:right="43"/>
        <w:jc w:val="both"/>
        <w:rPr>
          <w:rFonts w:ascii="Times New Roman" w:eastAsia="Times New Roman" w:hAnsi="Times New Roman" w:cs="Times New Roman"/>
          <w:b/>
          <w:sz w:val="24"/>
          <w:szCs w:val="24"/>
        </w:rPr>
      </w:pPr>
    </w:p>
    <w:p w14:paraId="194027E4" w14:textId="77777777" w:rsidR="00B47A30" w:rsidRDefault="00B47A30">
      <w:pPr>
        <w:ind w:right="43"/>
        <w:jc w:val="both"/>
        <w:rPr>
          <w:rFonts w:ascii="Times New Roman" w:eastAsia="Times New Roman" w:hAnsi="Times New Roman" w:cs="Times New Roman"/>
          <w:b/>
          <w:sz w:val="24"/>
          <w:szCs w:val="24"/>
        </w:rPr>
      </w:pPr>
    </w:p>
    <w:p w14:paraId="194027E5" w14:textId="77777777" w:rsidR="00B47A30" w:rsidRDefault="00B47A30">
      <w:pPr>
        <w:ind w:right="43"/>
        <w:jc w:val="both"/>
        <w:rPr>
          <w:rFonts w:ascii="Times New Roman" w:eastAsia="Times New Roman" w:hAnsi="Times New Roman" w:cs="Times New Roman"/>
          <w:b/>
          <w:sz w:val="24"/>
          <w:szCs w:val="24"/>
        </w:rPr>
      </w:pPr>
    </w:p>
    <w:p w14:paraId="194027E6" w14:textId="77777777" w:rsidR="00B47A30" w:rsidRDefault="00B47A30">
      <w:pPr>
        <w:ind w:right="43"/>
        <w:jc w:val="both"/>
        <w:rPr>
          <w:rFonts w:ascii="Times New Roman" w:eastAsia="Times New Roman" w:hAnsi="Times New Roman" w:cs="Times New Roman"/>
          <w:b/>
          <w:sz w:val="24"/>
          <w:szCs w:val="24"/>
        </w:rPr>
      </w:pPr>
    </w:p>
    <w:p w14:paraId="194027E7" w14:textId="77777777" w:rsidR="00B47A30" w:rsidRDefault="00B47A30">
      <w:pPr>
        <w:ind w:right="43"/>
        <w:jc w:val="both"/>
        <w:rPr>
          <w:rFonts w:ascii="Times New Roman" w:eastAsia="Times New Roman" w:hAnsi="Times New Roman" w:cs="Times New Roman"/>
          <w:b/>
          <w:sz w:val="24"/>
          <w:szCs w:val="24"/>
        </w:rPr>
      </w:pPr>
    </w:p>
    <w:p w14:paraId="194027E8" w14:textId="77777777" w:rsidR="00B47A30" w:rsidRDefault="00B47A30">
      <w:pPr>
        <w:ind w:right="43"/>
        <w:jc w:val="both"/>
        <w:rPr>
          <w:rFonts w:ascii="Times New Roman" w:eastAsia="Times New Roman" w:hAnsi="Times New Roman" w:cs="Times New Roman"/>
          <w:b/>
          <w:sz w:val="24"/>
          <w:szCs w:val="24"/>
        </w:rPr>
      </w:pPr>
    </w:p>
    <w:p w14:paraId="194027E9" w14:textId="77777777" w:rsidR="00B47A30" w:rsidRDefault="00B47A30">
      <w:pPr>
        <w:ind w:right="43"/>
        <w:jc w:val="both"/>
        <w:rPr>
          <w:rFonts w:ascii="Times New Roman" w:eastAsia="Times New Roman" w:hAnsi="Times New Roman" w:cs="Times New Roman"/>
          <w:b/>
          <w:sz w:val="24"/>
          <w:szCs w:val="24"/>
        </w:rPr>
      </w:pPr>
    </w:p>
    <w:p w14:paraId="194027EA" w14:textId="77777777" w:rsidR="00B47A30" w:rsidRDefault="00B47A30">
      <w:pPr>
        <w:ind w:right="43"/>
        <w:jc w:val="both"/>
        <w:rPr>
          <w:rFonts w:ascii="Times New Roman" w:eastAsia="Times New Roman" w:hAnsi="Times New Roman" w:cs="Times New Roman"/>
          <w:b/>
          <w:sz w:val="24"/>
          <w:szCs w:val="24"/>
        </w:rPr>
      </w:pPr>
    </w:p>
    <w:p w14:paraId="194027EB" w14:textId="77777777" w:rsidR="00B47A30" w:rsidRDefault="00B47A30">
      <w:pPr>
        <w:ind w:right="43"/>
        <w:jc w:val="both"/>
        <w:rPr>
          <w:rFonts w:ascii="Times New Roman" w:eastAsia="Times New Roman" w:hAnsi="Times New Roman" w:cs="Times New Roman"/>
          <w:b/>
          <w:sz w:val="24"/>
          <w:szCs w:val="24"/>
        </w:rPr>
      </w:pPr>
    </w:p>
    <w:p w14:paraId="194027EC" w14:textId="77777777" w:rsidR="00B47A30" w:rsidRDefault="00B47A30">
      <w:pPr>
        <w:ind w:right="43"/>
        <w:jc w:val="both"/>
        <w:rPr>
          <w:rFonts w:ascii="Times New Roman" w:eastAsia="Times New Roman" w:hAnsi="Times New Roman" w:cs="Times New Roman"/>
          <w:b/>
          <w:sz w:val="24"/>
          <w:szCs w:val="24"/>
        </w:rPr>
      </w:pPr>
    </w:p>
    <w:p w14:paraId="194027ED" w14:textId="77777777" w:rsidR="00B47A30" w:rsidRDefault="00B47A30">
      <w:pPr>
        <w:ind w:right="43"/>
        <w:jc w:val="both"/>
        <w:rPr>
          <w:rFonts w:ascii="Times New Roman" w:eastAsia="Times New Roman" w:hAnsi="Times New Roman" w:cs="Times New Roman"/>
          <w:b/>
          <w:sz w:val="24"/>
          <w:szCs w:val="24"/>
        </w:rPr>
      </w:pPr>
    </w:p>
    <w:p w14:paraId="194027EE" w14:textId="77777777" w:rsidR="00B47A30" w:rsidRDefault="00B47A30">
      <w:pPr>
        <w:ind w:right="43"/>
        <w:jc w:val="both"/>
        <w:rPr>
          <w:rFonts w:ascii="Times New Roman" w:eastAsia="Times New Roman" w:hAnsi="Times New Roman" w:cs="Times New Roman"/>
          <w:b/>
          <w:sz w:val="24"/>
          <w:szCs w:val="24"/>
        </w:rPr>
      </w:pPr>
    </w:p>
    <w:p w14:paraId="194027EF" w14:textId="77777777" w:rsidR="00B47A30" w:rsidRDefault="00B47A30">
      <w:pPr>
        <w:ind w:right="43"/>
        <w:jc w:val="both"/>
        <w:rPr>
          <w:rFonts w:ascii="Times New Roman" w:eastAsia="Times New Roman" w:hAnsi="Times New Roman" w:cs="Times New Roman"/>
          <w:b/>
          <w:sz w:val="24"/>
          <w:szCs w:val="24"/>
        </w:rPr>
      </w:pPr>
    </w:p>
    <w:p w14:paraId="194027F0" w14:textId="77777777" w:rsidR="00B47A30" w:rsidRDefault="00B47A30">
      <w:pPr>
        <w:ind w:right="43"/>
        <w:jc w:val="both"/>
        <w:rPr>
          <w:rFonts w:ascii="Times New Roman" w:eastAsia="Times New Roman" w:hAnsi="Times New Roman" w:cs="Times New Roman"/>
          <w:b/>
          <w:sz w:val="24"/>
          <w:szCs w:val="24"/>
        </w:rPr>
      </w:pPr>
    </w:p>
    <w:p w14:paraId="194027F1" w14:textId="77777777" w:rsidR="00B47A30" w:rsidRDefault="00B47A30">
      <w:pPr>
        <w:ind w:right="43"/>
        <w:jc w:val="both"/>
        <w:rPr>
          <w:rFonts w:ascii="Times New Roman" w:eastAsia="Times New Roman" w:hAnsi="Times New Roman" w:cs="Times New Roman"/>
          <w:b/>
          <w:sz w:val="24"/>
          <w:szCs w:val="24"/>
        </w:rPr>
      </w:pPr>
    </w:p>
    <w:p w14:paraId="194027F2" w14:textId="77777777" w:rsidR="00B47A30" w:rsidRDefault="00B47A30">
      <w:pPr>
        <w:ind w:right="43"/>
        <w:jc w:val="both"/>
        <w:rPr>
          <w:rFonts w:ascii="Times New Roman" w:eastAsia="Times New Roman" w:hAnsi="Times New Roman" w:cs="Times New Roman"/>
          <w:b/>
          <w:sz w:val="24"/>
          <w:szCs w:val="24"/>
        </w:rPr>
      </w:pPr>
    </w:p>
    <w:p w14:paraId="194027F3" w14:textId="77777777" w:rsidR="00B47A30" w:rsidRDefault="00B47A30">
      <w:pPr>
        <w:ind w:right="43"/>
        <w:jc w:val="both"/>
        <w:rPr>
          <w:rFonts w:ascii="Times New Roman" w:eastAsia="Times New Roman" w:hAnsi="Times New Roman" w:cs="Times New Roman"/>
          <w:b/>
          <w:sz w:val="24"/>
          <w:szCs w:val="24"/>
        </w:rPr>
      </w:pPr>
    </w:p>
    <w:p w14:paraId="194027F4" w14:textId="77777777" w:rsidR="00B47A30" w:rsidRDefault="00B47A30">
      <w:pPr>
        <w:ind w:right="43"/>
        <w:jc w:val="both"/>
        <w:rPr>
          <w:rFonts w:ascii="Times New Roman" w:eastAsia="Times New Roman" w:hAnsi="Times New Roman" w:cs="Times New Roman"/>
          <w:b/>
          <w:sz w:val="24"/>
          <w:szCs w:val="24"/>
        </w:rPr>
      </w:pPr>
    </w:p>
    <w:p w14:paraId="19402800" w14:textId="77777777" w:rsidR="00B47A30" w:rsidRDefault="00B47A30">
      <w:pPr>
        <w:ind w:right="43"/>
        <w:jc w:val="both"/>
        <w:rPr>
          <w:rFonts w:ascii="Times New Roman" w:eastAsia="Times New Roman" w:hAnsi="Times New Roman" w:cs="Times New Roman"/>
          <w:b/>
          <w:sz w:val="24"/>
          <w:szCs w:val="24"/>
        </w:rPr>
        <w:sectPr w:rsidR="00B47A30" w:rsidSect="007A6E5F">
          <w:pgSz w:w="11906" w:h="16838"/>
          <w:pgMar w:top="993" w:right="567" w:bottom="1135" w:left="1701" w:header="567" w:footer="567" w:gutter="0"/>
          <w:pgNumType w:start="1"/>
          <w:cols w:space="1296"/>
        </w:sectPr>
      </w:pPr>
    </w:p>
    <w:p w14:paraId="1940287B" w14:textId="5C9DB16F" w:rsidR="00B47A30" w:rsidRPr="007A6E5F" w:rsidRDefault="00B47A30">
      <w:pPr>
        <w:jc w:val="both"/>
        <w:rPr>
          <w:rFonts w:ascii="Times New Roman" w:eastAsia="Times New Roman" w:hAnsi="Times New Roman" w:cs="Times New Roman"/>
          <w:sz w:val="24"/>
          <w:szCs w:val="24"/>
        </w:rPr>
      </w:pPr>
    </w:p>
    <w:sectPr w:rsidR="00B47A30" w:rsidRPr="007A6E5F">
      <w:type w:val="continuous"/>
      <w:pgSz w:w="11906" w:h="16838"/>
      <w:pgMar w:top="709" w:right="567" w:bottom="28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71724"/>
    <w:multiLevelType w:val="multilevel"/>
    <w:tmpl w:val="C84E09F2"/>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CC1A9E"/>
    <w:multiLevelType w:val="multilevel"/>
    <w:tmpl w:val="B240D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830A89"/>
    <w:multiLevelType w:val="multilevel"/>
    <w:tmpl w:val="AC223996"/>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D33661E"/>
    <w:multiLevelType w:val="multilevel"/>
    <w:tmpl w:val="B478FB1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C7188F"/>
    <w:multiLevelType w:val="multilevel"/>
    <w:tmpl w:val="9B6265F8"/>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4C90DE7"/>
    <w:multiLevelType w:val="multilevel"/>
    <w:tmpl w:val="2EEC9F4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695933471">
    <w:abstractNumId w:val="3"/>
  </w:num>
  <w:num w:numId="2" w16cid:durableId="1431582927">
    <w:abstractNumId w:val="4"/>
  </w:num>
  <w:num w:numId="3" w16cid:durableId="1605964638">
    <w:abstractNumId w:val="0"/>
  </w:num>
  <w:num w:numId="4" w16cid:durableId="435713173">
    <w:abstractNumId w:val="1"/>
  </w:num>
  <w:num w:numId="5" w16cid:durableId="295568892">
    <w:abstractNumId w:val="2"/>
  </w:num>
  <w:num w:numId="6" w16cid:durableId="1150370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A30"/>
    <w:rsid w:val="007A6E5F"/>
    <w:rsid w:val="00B47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2766"/>
  <w15:docId w15:val="{74D1276C-B141-48A6-81FB-9FB1F0F2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0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D13983"/>
    <w:pPr>
      <w:spacing w:before="100" w:beforeAutospacing="1" w:after="100" w:afterAutospacing="1"/>
      <w:outlineLvl w:val="3"/>
    </w:pPr>
    <w:rPr>
      <w:rFonts w:ascii="Times New Roman" w:hAnsi="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678"/>
    <w:pPr>
      <w:tabs>
        <w:tab w:val="center" w:pos="4819"/>
        <w:tab w:val="right" w:pos="9638"/>
      </w:tabs>
    </w:pPr>
  </w:style>
  <w:style w:type="character" w:customStyle="1" w:styleId="HeaderChar">
    <w:name w:val="Header Char"/>
    <w:basedOn w:val="DefaultParagraphFont"/>
    <w:link w:val="Header"/>
    <w:uiPriority w:val="99"/>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Pr>
  </w:style>
  <w:style w:type="table" w:customStyle="1" w:styleId="a0">
    <w:basedOn w:val="TableNormal"/>
    <w:rPr>
      <w:rFonts w:ascii="Times New Roman" w:eastAsia="Times New Roman" w:hAnsi="Times New Roman" w:cs="Times New Roman"/>
    </w:rPr>
    <w:tblPr>
      <w:tblStyleRowBandSize w:val="1"/>
      <w:tblStyleColBandSize w:val="1"/>
    </w:tblPr>
  </w:style>
  <w:style w:type="table" w:customStyle="1" w:styleId="a1">
    <w:basedOn w:val="TableNormal"/>
    <w:rPr>
      <w:rFonts w:ascii="Times New Roman" w:eastAsia="Times New Roman" w:hAnsi="Times New Roman" w:cs="Times New Roman"/>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p.stat.gov.lt/statistiniu-rodikliu-analiz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ncFb3INZj1uEukvpfHHwO+bSeQ==">CgMxLjAyCGguZ2pkZ3hzMgppZC4zMGowemxsMgppZC4xZm9iOXRlOAByITF6dWhManhtMzVGc1ZEZ2I4a2NpSGZrNldNcjFFbGZKMQ==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7783</Words>
  <Characters>4437</Characters>
  <Application>Microsoft Office Word</Application>
  <DocSecurity>0</DocSecurity>
  <Lines>36</Lines>
  <Paragraphs>24</Paragraphs>
  <ScaleCrop>false</ScaleCrop>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pardavimai</dc:creator>
  <cp:lastModifiedBy>Viešieji Pirkimai</cp:lastModifiedBy>
  <cp:revision>2</cp:revision>
  <dcterms:created xsi:type="dcterms:W3CDTF">2021-10-08T02:39:00Z</dcterms:created>
  <dcterms:modified xsi:type="dcterms:W3CDTF">2024-03-13T14:42:00Z</dcterms:modified>
</cp:coreProperties>
</file>