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F3FE5" w14:textId="01D18DAC" w:rsidR="00987115" w:rsidRPr="00FC1488" w:rsidRDefault="00FC1488" w:rsidP="00987115">
      <w:pPr>
        <w:keepNext/>
        <w:spacing w:after="0" w:line="240" w:lineRule="auto"/>
        <w:jc w:val="right"/>
        <w:outlineLvl w:val="0"/>
        <w:rPr>
          <w:rFonts w:asciiTheme="minorHAnsi" w:hAnsiTheme="minorHAnsi" w:cstheme="minorHAnsi"/>
          <w:noProof/>
          <w:sz w:val="22"/>
          <w:szCs w:val="22"/>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sidRPr="00FC1488">
        <w:rPr>
          <w:rFonts w:asciiTheme="minorHAnsi" w:hAnsiTheme="minorHAnsi" w:cstheme="minorHAnsi"/>
          <w:noProof/>
          <w:sz w:val="22"/>
          <w:szCs w:val="22"/>
        </w:rPr>
        <w:t xml:space="preserve">Kvietimo </w:t>
      </w:r>
      <w:r w:rsidR="007E1278">
        <w:rPr>
          <w:rFonts w:asciiTheme="minorHAnsi" w:hAnsiTheme="minorHAnsi" w:cstheme="minorHAnsi"/>
          <w:noProof/>
          <w:sz w:val="22"/>
          <w:szCs w:val="22"/>
        </w:rPr>
        <w:t>1</w:t>
      </w:r>
      <w:r w:rsidR="00987115" w:rsidRPr="00FC1488">
        <w:rPr>
          <w:rFonts w:asciiTheme="minorHAnsi" w:hAnsiTheme="minorHAnsi" w:cstheme="minorHAnsi"/>
          <w:noProof/>
          <w:sz w:val="22"/>
          <w:szCs w:val="22"/>
        </w:rPr>
        <w:t xml:space="preserve"> priedas</w:t>
      </w:r>
    </w:p>
    <w:p w14:paraId="0C72D7A3" w14:textId="77777777" w:rsidR="00987115" w:rsidRPr="00CF6643" w:rsidRDefault="00987115" w:rsidP="00987115">
      <w:pPr>
        <w:keepNext/>
        <w:spacing w:after="0" w:line="240" w:lineRule="auto"/>
        <w:jc w:val="center"/>
        <w:outlineLvl w:val="0"/>
        <w:rPr>
          <w:rFonts w:ascii="Calibri" w:eastAsia="Times New Roman" w:hAnsi="Calibri"/>
          <w:b/>
          <w:iCs/>
          <w:color w:val="000000"/>
          <w:sz w:val="22"/>
          <w:szCs w:val="22"/>
          <w:lang w:eastAsia="en-US"/>
        </w:rPr>
      </w:pPr>
    </w:p>
    <w:p w14:paraId="71CE2C88" w14:textId="4FFCB0D2" w:rsidR="00987115" w:rsidRPr="00A14C6F" w:rsidRDefault="00AC08D5" w:rsidP="000F03A1">
      <w:pPr>
        <w:keepNext/>
        <w:overflowPunct w:val="0"/>
        <w:autoSpaceDE w:val="0"/>
        <w:autoSpaceDN w:val="0"/>
        <w:adjustRightInd w:val="0"/>
        <w:spacing w:after="0" w:line="240" w:lineRule="auto"/>
        <w:jc w:val="center"/>
        <w:outlineLvl w:val="1"/>
        <w:rPr>
          <w:rFonts w:ascii="Calibri" w:eastAsia="Times New Roman" w:hAnsi="Calibri"/>
          <w:b/>
          <w:bCs/>
          <w:sz w:val="22"/>
          <w:szCs w:val="22"/>
          <w:lang w:eastAsia="en-US"/>
        </w:rPr>
      </w:pPr>
      <w:r>
        <w:rPr>
          <w:rFonts w:ascii="Calibri" w:eastAsia="Times New Roman" w:hAnsi="Calibri"/>
          <w:b/>
          <w:bCs/>
          <w:sz w:val="22"/>
          <w:szCs w:val="22"/>
          <w:lang w:eastAsia="en-US"/>
        </w:rPr>
        <w:t xml:space="preserve">UŽSAKYMAS – </w:t>
      </w:r>
      <w:r w:rsidR="00987115" w:rsidRPr="00A14C6F">
        <w:rPr>
          <w:rFonts w:ascii="Calibri" w:eastAsia="Times New Roman" w:hAnsi="Calibri"/>
          <w:b/>
          <w:bCs/>
          <w:sz w:val="22"/>
          <w:szCs w:val="22"/>
          <w:lang w:eastAsia="en-US"/>
        </w:rPr>
        <w:t>TECHNINĖ SPECIFIKACIJA</w:t>
      </w:r>
      <w:bookmarkEnd w:id="0"/>
      <w:bookmarkEnd w:id="1"/>
      <w:bookmarkEnd w:id="2"/>
      <w:bookmarkEnd w:id="3"/>
      <w:bookmarkEnd w:id="4"/>
      <w:bookmarkEnd w:id="5"/>
      <w:bookmarkEnd w:id="6"/>
      <w:bookmarkEnd w:id="7"/>
    </w:p>
    <w:p w14:paraId="4DC5357D" w14:textId="77777777" w:rsidR="00987115" w:rsidRPr="00A14C6F" w:rsidRDefault="00987115" w:rsidP="00987115">
      <w:pPr>
        <w:spacing w:after="0" w:line="240" w:lineRule="auto"/>
        <w:rPr>
          <w:rFonts w:ascii="Calibri" w:eastAsia="Times New Roman" w:hAnsi="Calibri"/>
          <w:snapToGrid w:val="0"/>
          <w:sz w:val="22"/>
          <w:szCs w:val="22"/>
          <w:lang w:eastAsia="en-US"/>
        </w:rPr>
      </w:pPr>
    </w:p>
    <w:p w14:paraId="21A1D414" w14:textId="77777777" w:rsidR="00987115" w:rsidRPr="00AF21A0" w:rsidRDefault="00987115" w:rsidP="00987115">
      <w:pPr>
        <w:numPr>
          <w:ilvl w:val="0"/>
          <w:numId w:val="1"/>
        </w:numPr>
        <w:spacing w:after="0" w:line="240" w:lineRule="auto"/>
        <w:ind w:left="181" w:hanging="181"/>
        <w:jc w:val="center"/>
        <w:rPr>
          <w:rFonts w:ascii="Calibri" w:eastAsia="Times New Roman" w:hAnsi="Calibri"/>
          <w:b/>
          <w:color w:val="000000"/>
          <w:sz w:val="22"/>
          <w:szCs w:val="22"/>
          <w:lang w:eastAsia="en-US"/>
        </w:rPr>
      </w:pPr>
      <w:r>
        <w:rPr>
          <w:rFonts w:ascii="Calibri" w:eastAsia="Times New Roman" w:hAnsi="Calibri"/>
          <w:b/>
          <w:bCs/>
          <w:color w:val="000000"/>
          <w:sz w:val="22"/>
          <w:szCs w:val="22"/>
          <w:lang w:eastAsia="en-US"/>
        </w:rPr>
        <w:t>SUTRUMPINIMAI IR SĄ</w:t>
      </w:r>
      <w:r w:rsidRPr="00A14C6F">
        <w:rPr>
          <w:rFonts w:ascii="Calibri" w:eastAsia="Times New Roman" w:hAnsi="Calibri"/>
          <w:b/>
          <w:bCs/>
          <w:color w:val="000000"/>
          <w:sz w:val="22"/>
          <w:szCs w:val="22"/>
          <w:lang w:eastAsia="en-US"/>
        </w:rPr>
        <w:t>VOKOS</w:t>
      </w:r>
    </w:p>
    <w:p w14:paraId="5851CAAC" w14:textId="77777777" w:rsidR="00987115" w:rsidRPr="00A14C6F" w:rsidRDefault="00987115" w:rsidP="00987115">
      <w:pPr>
        <w:spacing w:after="0" w:line="240" w:lineRule="auto"/>
        <w:rPr>
          <w:rFonts w:ascii="Calibri" w:eastAsia="Times New Roman" w:hAnsi="Calibri"/>
          <w:b/>
          <w:color w:val="000000"/>
          <w:sz w:val="22"/>
          <w:szCs w:val="22"/>
          <w:lang w:eastAsia="en-US"/>
        </w:rPr>
      </w:pPr>
    </w:p>
    <w:p w14:paraId="54D9064B" w14:textId="77777777" w:rsidR="00987115" w:rsidRPr="0014544C" w:rsidRDefault="00987115" w:rsidP="00987115">
      <w:pPr>
        <w:numPr>
          <w:ilvl w:val="0"/>
          <w:numId w:val="2"/>
        </w:numPr>
        <w:tabs>
          <w:tab w:val="left" w:pos="993"/>
          <w:tab w:val="left" w:pos="1134"/>
        </w:tabs>
        <w:spacing w:after="120" w:line="240" w:lineRule="auto"/>
        <w:ind w:left="0" w:firstLine="851"/>
        <w:jc w:val="both"/>
        <w:rPr>
          <w:rFonts w:asciiTheme="minorHAnsi" w:eastAsia="Times New Roman" w:hAnsiTheme="minorHAnsi" w:cstheme="minorHAnsi"/>
          <w:bCs/>
          <w:color w:val="000000"/>
          <w:sz w:val="22"/>
          <w:szCs w:val="22"/>
          <w:lang w:eastAsia="en-US"/>
        </w:rPr>
      </w:pPr>
      <w:r w:rsidRPr="0014544C">
        <w:rPr>
          <w:rFonts w:asciiTheme="minorHAnsi" w:eastAsia="Times New Roman" w:hAnsiTheme="minorHAnsi" w:cstheme="minorHAnsi"/>
          <w:bCs/>
          <w:color w:val="000000"/>
          <w:sz w:val="22"/>
          <w:szCs w:val="22"/>
          <w:lang w:eastAsia="en-US"/>
        </w:rPr>
        <w:t>Techninėje specifikacijoje naudojami šie sutrumpinimai ir sąvokos:</w:t>
      </w:r>
    </w:p>
    <w:p w14:paraId="24D354F9" w14:textId="14B60F95" w:rsidR="00987115" w:rsidRPr="0014544C" w:rsidRDefault="00987115" w:rsidP="00987115">
      <w:pPr>
        <w:spacing w:after="0" w:line="240" w:lineRule="auto"/>
        <w:ind w:firstLine="851"/>
        <w:jc w:val="both"/>
        <w:rPr>
          <w:rFonts w:asciiTheme="minorHAnsi" w:eastAsia="Times New Roman" w:hAnsiTheme="minorHAnsi" w:cstheme="minorHAnsi"/>
          <w:bCs/>
          <w:color w:val="000000"/>
          <w:sz w:val="22"/>
          <w:szCs w:val="22"/>
          <w:lang w:eastAsia="en-US"/>
        </w:rPr>
      </w:pPr>
      <w:r w:rsidRPr="0014544C">
        <w:rPr>
          <w:rFonts w:asciiTheme="minorHAnsi" w:eastAsia="Times New Roman" w:hAnsiTheme="minorHAnsi" w:cstheme="minorHAnsi"/>
          <w:b/>
          <w:bCs/>
          <w:color w:val="000000"/>
          <w:sz w:val="22"/>
          <w:szCs w:val="22"/>
          <w:lang w:eastAsia="en-US"/>
        </w:rPr>
        <w:t>Tiekėjas</w:t>
      </w:r>
      <w:r w:rsidRPr="0014544C">
        <w:rPr>
          <w:rFonts w:asciiTheme="minorHAnsi" w:eastAsia="Times New Roman" w:hAnsiTheme="minorHAnsi" w:cstheme="minorHAnsi"/>
          <w:bCs/>
          <w:color w:val="000000"/>
          <w:sz w:val="22"/>
          <w:szCs w:val="22"/>
          <w:lang w:eastAsia="en-US"/>
        </w:rPr>
        <w:t xml:space="preserve"> – Dalyvis, kurio pasiūlymas pirkimui pirkimo sąlygose nustatyta tvarka bus pripažintas laimėjusiu ir su kuriuo bus sudaryta </w:t>
      </w:r>
      <w:r w:rsidR="00B86D27" w:rsidRPr="0014544C">
        <w:rPr>
          <w:rFonts w:asciiTheme="minorHAnsi" w:eastAsia="Times New Roman" w:hAnsiTheme="minorHAnsi" w:cstheme="minorHAnsi"/>
          <w:bCs/>
          <w:color w:val="000000"/>
          <w:sz w:val="22"/>
          <w:szCs w:val="22"/>
          <w:lang w:eastAsia="en-US"/>
        </w:rPr>
        <w:t>sutartis.</w:t>
      </w:r>
    </w:p>
    <w:p w14:paraId="5A6F933F" w14:textId="64978C71" w:rsidR="00987115" w:rsidRPr="0014544C" w:rsidRDefault="00987115" w:rsidP="00987115">
      <w:pPr>
        <w:spacing w:after="0" w:line="240" w:lineRule="auto"/>
        <w:ind w:firstLine="851"/>
        <w:jc w:val="both"/>
        <w:rPr>
          <w:rFonts w:asciiTheme="minorHAnsi" w:eastAsia="Times New Roman" w:hAnsiTheme="minorHAnsi" w:cstheme="minorHAnsi"/>
          <w:bCs/>
          <w:color w:val="000000"/>
          <w:sz w:val="22"/>
          <w:szCs w:val="22"/>
          <w:lang w:eastAsia="en-US"/>
        </w:rPr>
      </w:pPr>
      <w:r w:rsidRPr="0014544C">
        <w:rPr>
          <w:rFonts w:asciiTheme="minorHAnsi" w:eastAsia="Times New Roman" w:hAnsiTheme="minorHAnsi" w:cstheme="minorHAnsi"/>
          <w:b/>
          <w:bCs/>
          <w:color w:val="000000"/>
          <w:sz w:val="22"/>
          <w:szCs w:val="22"/>
          <w:lang w:eastAsia="en-US"/>
        </w:rPr>
        <w:t>Pirkėjas</w:t>
      </w:r>
      <w:r w:rsidRPr="0014544C">
        <w:rPr>
          <w:rFonts w:asciiTheme="minorHAnsi" w:eastAsia="Times New Roman" w:hAnsiTheme="minorHAnsi" w:cstheme="minorHAnsi"/>
          <w:bCs/>
          <w:color w:val="000000"/>
          <w:sz w:val="22"/>
          <w:szCs w:val="22"/>
          <w:lang w:eastAsia="en-US"/>
        </w:rPr>
        <w:t xml:space="preserve"> – </w:t>
      </w:r>
      <w:r w:rsidR="0014544C" w:rsidRPr="0014544C">
        <w:rPr>
          <w:rFonts w:asciiTheme="minorHAnsi" w:eastAsia="Times New Roman" w:hAnsiTheme="minorHAnsi" w:cstheme="minorHAnsi"/>
          <w:bCs/>
          <w:color w:val="000000"/>
          <w:sz w:val="22"/>
          <w:szCs w:val="22"/>
          <w:lang w:eastAsia="en-US"/>
        </w:rPr>
        <w:t>Akcinė bendrovė</w:t>
      </w:r>
      <w:r w:rsidRPr="0014544C">
        <w:rPr>
          <w:rFonts w:asciiTheme="minorHAnsi" w:eastAsia="Times New Roman" w:hAnsiTheme="minorHAnsi" w:cstheme="minorHAnsi"/>
          <w:bCs/>
          <w:color w:val="000000"/>
          <w:sz w:val="22"/>
          <w:szCs w:val="22"/>
          <w:lang w:eastAsia="en-US"/>
        </w:rPr>
        <w:t xml:space="preserve"> „Oro navigacija“.</w:t>
      </w:r>
    </w:p>
    <w:p w14:paraId="509B3004" w14:textId="34939BD4" w:rsidR="00987115" w:rsidRPr="0014544C" w:rsidRDefault="0014544C" w:rsidP="00987115">
      <w:pPr>
        <w:spacing w:after="0"/>
        <w:ind w:firstLine="851"/>
        <w:jc w:val="both"/>
        <w:rPr>
          <w:rFonts w:asciiTheme="minorHAnsi" w:hAnsiTheme="minorHAnsi" w:cstheme="minorHAnsi"/>
          <w:bCs/>
          <w:sz w:val="22"/>
          <w:szCs w:val="22"/>
        </w:rPr>
      </w:pPr>
      <w:r w:rsidRPr="0014544C">
        <w:rPr>
          <w:rFonts w:asciiTheme="minorHAnsi" w:eastAsia="Times New Roman" w:hAnsiTheme="minorHAnsi" w:cstheme="minorHAnsi"/>
          <w:b/>
          <w:bCs/>
          <w:color w:val="000000"/>
          <w:sz w:val="22"/>
          <w:szCs w:val="22"/>
          <w:lang w:eastAsia="en-US"/>
        </w:rPr>
        <w:t>Prekės</w:t>
      </w:r>
      <w:r w:rsidR="00987115" w:rsidRPr="0014544C">
        <w:rPr>
          <w:rFonts w:asciiTheme="minorHAnsi" w:eastAsia="Times New Roman" w:hAnsiTheme="minorHAnsi" w:cstheme="minorHAnsi"/>
          <w:b/>
          <w:bCs/>
          <w:color w:val="000000"/>
          <w:sz w:val="22"/>
          <w:szCs w:val="22"/>
          <w:lang w:eastAsia="en-US"/>
        </w:rPr>
        <w:t xml:space="preserve"> </w:t>
      </w:r>
      <w:r w:rsidR="00987115" w:rsidRPr="0014544C">
        <w:rPr>
          <w:rFonts w:asciiTheme="minorHAnsi" w:eastAsia="Times New Roman" w:hAnsiTheme="minorHAnsi" w:cstheme="minorHAnsi"/>
          <w:bCs/>
          <w:color w:val="000000"/>
          <w:sz w:val="22"/>
          <w:szCs w:val="22"/>
          <w:lang w:eastAsia="en-US"/>
        </w:rPr>
        <w:t xml:space="preserve">– </w:t>
      </w:r>
      <w:r w:rsidRPr="0014544C">
        <w:rPr>
          <w:rFonts w:asciiTheme="minorHAnsi" w:eastAsia="Times New Roman" w:hAnsiTheme="minorHAnsi" w:cstheme="minorHAnsi"/>
          <w:bCs/>
          <w:color w:val="000000"/>
          <w:sz w:val="22"/>
          <w:szCs w:val="22"/>
        </w:rPr>
        <w:t>šioje techninėje specifikacijoje nurodytos  IT eksploatacinės medžiagos, atsarginės dalys bei kita smulki tinklo, ryšio įranga</w:t>
      </w:r>
      <w:r w:rsidR="00987115" w:rsidRPr="0014544C">
        <w:rPr>
          <w:rFonts w:asciiTheme="minorHAnsi" w:hAnsiTheme="minorHAnsi" w:cstheme="minorHAnsi"/>
          <w:bCs/>
          <w:sz w:val="22"/>
          <w:szCs w:val="22"/>
        </w:rPr>
        <w:t>.</w:t>
      </w:r>
    </w:p>
    <w:p w14:paraId="6C8DE9E2" w14:textId="7DC1B7C9" w:rsidR="00987115" w:rsidRPr="0014544C" w:rsidRDefault="00987115" w:rsidP="00987115">
      <w:pPr>
        <w:spacing w:after="0" w:line="240" w:lineRule="auto"/>
        <w:ind w:firstLine="851"/>
        <w:jc w:val="both"/>
        <w:rPr>
          <w:rFonts w:asciiTheme="minorHAnsi" w:eastAsia="Times New Roman" w:hAnsiTheme="minorHAnsi" w:cstheme="minorHAnsi"/>
          <w:b/>
          <w:bCs/>
          <w:sz w:val="22"/>
          <w:szCs w:val="22"/>
          <w:lang w:eastAsia="en-US"/>
        </w:rPr>
      </w:pPr>
      <w:r w:rsidRPr="0014544C">
        <w:rPr>
          <w:rFonts w:asciiTheme="minorHAnsi" w:eastAsia="Times New Roman" w:hAnsiTheme="minorHAnsi" w:cstheme="minorHAnsi"/>
          <w:b/>
          <w:bCs/>
          <w:color w:val="000000"/>
          <w:sz w:val="22"/>
          <w:szCs w:val="22"/>
          <w:lang w:eastAsia="en-US"/>
        </w:rPr>
        <w:t>Užsakymas</w:t>
      </w:r>
      <w:r w:rsidR="00AC08D5" w:rsidRPr="0014544C">
        <w:rPr>
          <w:rFonts w:asciiTheme="minorHAnsi" w:eastAsia="Times New Roman" w:hAnsiTheme="minorHAnsi" w:cstheme="minorHAnsi"/>
          <w:b/>
          <w:bCs/>
          <w:color w:val="000000"/>
          <w:sz w:val="22"/>
          <w:szCs w:val="22"/>
          <w:lang w:eastAsia="en-US"/>
        </w:rPr>
        <w:t xml:space="preserve"> – techninė specifikacija</w:t>
      </w:r>
      <w:r w:rsidRPr="0014544C">
        <w:rPr>
          <w:rFonts w:asciiTheme="minorHAnsi" w:eastAsia="Times New Roman" w:hAnsiTheme="minorHAnsi" w:cstheme="minorHAnsi"/>
          <w:b/>
          <w:bCs/>
          <w:color w:val="000000"/>
          <w:sz w:val="22"/>
          <w:szCs w:val="22"/>
          <w:lang w:eastAsia="en-US"/>
        </w:rPr>
        <w:t xml:space="preserve"> </w:t>
      </w:r>
      <w:r w:rsidRPr="0014544C">
        <w:rPr>
          <w:rFonts w:asciiTheme="minorHAnsi" w:eastAsia="Times New Roman" w:hAnsiTheme="minorHAnsi" w:cstheme="minorHAnsi"/>
          <w:bCs/>
          <w:color w:val="000000"/>
          <w:sz w:val="22"/>
          <w:szCs w:val="22"/>
          <w:lang w:eastAsia="en-US"/>
        </w:rPr>
        <w:t xml:space="preserve">– </w:t>
      </w:r>
      <w:r w:rsidRPr="0014544C">
        <w:rPr>
          <w:rFonts w:asciiTheme="minorHAnsi" w:eastAsia="Times New Roman" w:hAnsiTheme="minorHAnsi" w:cstheme="minorHAnsi"/>
          <w:bCs/>
          <w:sz w:val="22"/>
          <w:szCs w:val="22"/>
          <w:lang w:eastAsia="en-US"/>
        </w:rPr>
        <w:t xml:space="preserve">Pirkėjo Tiekėjui pateiktas rašytinis </w:t>
      </w:r>
      <w:r w:rsidR="0014544C" w:rsidRPr="0014544C">
        <w:rPr>
          <w:rFonts w:asciiTheme="minorHAnsi" w:eastAsia="Times New Roman" w:hAnsiTheme="minorHAnsi" w:cstheme="minorHAnsi"/>
          <w:bCs/>
          <w:sz w:val="22"/>
          <w:szCs w:val="22"/>
          <w:lang w:eastAsia="en-US"/>
        </w:rPr>
        <w:t xml:space="preserve">prekių </w:t>
      </w:r>
      <w:r w:rsidR="00DC1BD9" w:rsidRPr="0014544C">
        <w:rPr>
          <w:rFonts w:asciiTheme="minorHAnsi" w:eastAsia="Times New Roman" w:hAnsiTheme="minorHAnsi" w:cstheme="minorHAnsi"/>
          <w:bCs/>
          <w:sz w:val="22"/>
          <w:szCs w:val="22"/>
          <w:lang w:eastAsia="en-US"/>
        </w:rPr>
        <w:t xml:space="preserve">užsakymas dėl </w:t>
      </w:r>
      <w:r w:rsidR="0014544C" w:rsidRPr="0014544C">
        <w:rPr>
          <w:rFonts w:asciiTheme="minorHAnsi" w:eastAsia="Times New Roman" w:hAnsiTheme="minorHAnsi" w:cstheme="minorHAnsi"/>
          <w:bCs/>
          <w:sz w:val="22"/>
          <w:szCs w:val="22"/>
          <w:lang w:eastAsia="en-US"/>
        </w:rPr>
        <w:t>prekių tiekimo</w:t>
      </w:r>
      <w:r w:rsidRPr="0014544C">
        <w:rPr>
          <w:rFonts w:asciiTheme="minorHAnsi" w:eastAsia="Times New Roman" w:hAnsiTheme="minorHAnsi" w:cstheme="minorHAnsi"/>
          <w:bCs/>
          <w:sz w:val="22"/>
          <w:szCs w:val="22"/>
          <w:lang w:eastAsia="en-US"/>
        </w:rPr>
        <w:t xml:space="preserve">. </w:t>
      </w:r>
      <w:r w:rsidR="0014544C" w:rsidRPr="0014544C">
        <w:rPr>
          <w:rFonts w:asciiTheme="minorHAnsi" w:eastAsia="Times New Roman" w:hAnsiTheme="minorHAnsi" w:cstheme="minorHAnsi"/>
          <w:bCs/>
          <w:sz w:val="22"/>
          <w:szCs w:val="22"/>
          <w:lang w:eastAsia="en-US"/>
        </w:rPr>
        <w:t>Prekes tieks</w:t>
      </w:r>
      <w:r w:rsidRPr="0014544C">
        <w:rPr>
          <w:rFonts w:asciiTheme="minorHAnsi" w:eastAsia="Times New Roman" w:hAnsiTheme="minorHAnsi" w:cstheme="minorHAnsi"/>
          <w:bCs/>
          <w:sz w:val="22"/>
          <w:szCs w:val="22"/>
          <w:lang w:eastAsia="en-US"/>
        </w:rPr>
        <w:t xml:space="preserve"> ekonomiškai naudingiausią pasiūlymą (mažiausią kainą) atnaujintam varžymuisi pateikęs tiekėjas. </w:t>
      </w:r>
    </w:p>
    <w:p w14:paraId="4633C84A" w14:textId="77777777" w:rsidR="00987115" w:rsidRPr="0014544C" w:rsidRDefault="00987115" w:rsidP="00987115">
      <w:pPr>
        <w:numPr>
          <w:ilvl w:val="0"/>
          <w:numId w:val="1"/>
        </w:numPr>
        <w:spacing w:after="0" w:line="240" w:lineRule="auto"/>
        <w:ind w:left="181" w:hanging="181"/>
        <w:jc w:val="center"/>
        <w:rPr>
          <w:rFonts w:asciiTheme="minorHAnsi" w:eastAsia="Times New Roman" w:hAnsiTheme="minorHAnsi" w:cstheme="minorHAnsi"/>
          <w:b/>
          <w:color w:val="000000"/>
          <w:sz w:val="22"/>
          <w:szCs w:val="22"/>
          <w:lang w:eastAsia="en-US"/>
        </w:rPr>
      </w:pPr>
      <w:r w:rsidRPr="0014544C">
        <w:rPr>
          <w:rFonts w:asciiTheme="minorHAnsi" w:eastAsia="Times New Roman" w:hAnsiTheme="minorHAnsi" w:cstheme="minorHAnsi"/>
          <w:b/>
          <w:color w:val="000000"/>
          <w:sz w:val="22"/>
          <w:szCs w:val="22"/>
          <w:lang w:eastAsia="en-US"/>
        </w:rPr>
        <w:t>TIKSLAS</w:t>
      </w:r>
    </w:p>
    <w:p w14:paraId="4B9795A6" w14:textId="77777777" w:rsidR="00987115" w:rsidRPr="0014544C" w:rsidRDefault="00987115" w:rsidP="00987115">
      <w:pPr>
        <w:spacing w:after="0" w:line="240" w:lineRule="auto"/>
        <w:ind w:left="181"/>
        <w:rPr>
          <w:rFonts w:asciiTheme="minorHAnsi" w:eastAsia="Times New Roman" w:hAnsiTheme="minorHAnsi" w:cstheme="minorHAnsi"/>
          <w:b/>
          <w:color w:val="000000"/>
          <w:sz w:val="22"/>
          <w:szCs w:val="22"/>
          <w:lang w:eastAsia="en-US"/>
        </w:rPr>
      </w:pPr>
    </w:p>
    <w:p w14:paraId="14AED7C1" w14:textId="77777777" w:rsidR="0014544C" w:rsidRPr="0014544C" w:rsidRDefault="00987115" w:rsidP="0014544C">
      <w:pPr>
        <w:spacing w:after="0"/>
        <w:ind w:firstLine="851"/>
        <w:jc w:val="both"/>
        <w:rPr>
          <w:rFonts w:asciiTheme="minorHAnsi" w:hAnsiTheme="minorHAnsi" w:cstheme="minorHAnsi"/>
          <w:bCs/>
          <w:sz w:val="22"/>
          <w:szCs w:val="22"/>
        </w:rPr>
      </w:pPr>
      <w:r w:rsidRPr="0014544C">
        <w:rPr>
          <w:rFonts w:asciiTheme="minorHAnsi" w:eastAsia="Times New Roman" w:hAnsiTheme="minorHAnsi" w:cstheme="minorHAnsi"/>
          <w:bCs/>
          <w:color w:val="000000"/>
          <w:sz w:val="22"/>
          <w:szCs w:val="22"/>
          <w:lang w:val="en-US" w:eastAsia="en-US" w:bidi="lt-LT"/>
        </w:rPr>
        <w:t xml:space="preserve">2. </w:t>
      </w:r>
      <w:r w:rsidR="0014544C" w:rsidRPr="0014544C">
        <w:rPr>
          <w:rFonts w:asciiTheme="minorHAnsi" w:eastAsia="Times New Roman" w:hAnsiTheme="minorHAnsi" w:cstheme="minorHAnsi"/>
          <w:bCs/>
          <w:color w:val="000000"/>
          <w:sz w:val="22"/>
          <w:szCs w:val="22"/>
        </w:rPr>
        <w:t>Perkama įranga – IT eksploatacinės medžiagos, atsarginės dalys bei kita smulki tinklo, ryšio įranga</w:t>
      </w:r>
      <w:r w:rsidR="0014544C" w:rsidRPr="0014544C">
        <w:rPr>
          <w:rFonts w:asciiTheme="minorHAnsi" w:hAnsiTheme="minorHAnsi" w:cstheme="minorHAnsi"/>
          <w:bCs/>
          <w:sz w:val="22"/>
          <w:szCs w:val="22"/>
        </w:rPr>
        <w:t>.</w:t>
      </w:r>
    </w:p>
    <w:p w14:paraId="44B5E6E6" w14:textId="77777777" w:rsidR="00987115" w:rsidRPr="0014544C" w:rsidRDefault="00987115" w:rsidP="00987115">
      <w:pPr>
        <w:spacing w:after="0" w:line="240" w:lineRule="auto"/>
        <w:ind w:firstLine="1247"/>
        <w:jc w:val="both"/>
        <w:rPr>
          <w:rFonts w:asciiTheme="minorHAnsi" w:eastAsia="Times New Roman" w:hAnsiTheme="minorHAnsi" w:cstheme="minorHAnsi"/>
          <w:bCs/>
          <w:color w:val="000000"/>
          <w:sz w:val="22"/>
          <w:szCs w:val="22"/>
          <w:lang w:eastAsia="en-US"/>
        </w:rPr>
      </w:pPr>
    </w:p>
    <w:p w14:paraId="1E54E8F8" w14:textId="77777777" w:rsidR="0014544C" w:rsidRPr="0014544C" w:rsidRDefault="0014544C" w:rsidP="0014544C">
      <w:pPr>
        <w:numPr>
          <w:ilvl w:val="0"/>
          <w:numId w:val="1"/>
        </w:numPr>
        <w:spacing w:after="120" w:line="240" w:lineRule="auto"/>
        <w:ind w:left="181" w:hanging="181"/>
        <w:jc w:val="center"/>
        <w:rPr>
          <w:rFonts w:asciiTheme="minorHAnsi" w:eastAsia="Times New Roman" w:hAnsiTheme="minorHAnsi" w:cstheme="minorHAnsi"/>
          <w:b/>
          <w:color w:val="000000"/>
          <w:sz w:val="22"/>
          <w:szCs w:val="22"/>
        </w:rPr>
      </w:pPr>
      <w:r w:rsidRPr="0014544C">
        <w:rPr>
          <w:rFonts w:asciiTheme="minorHAnsi" w:eastAsia="Times New Roman" w:hAnsiTheme="minorHAnsi" w:cstheme="minorHAnsi"/>
          <w:b/>
          <w:color w:val="000000"/>
          <w:sz w:val="22"/>
          <w:szCs w:val="22"/>
        </w:rPr>
        <w:t>PREKIŲ APRAŠYMAS IR PIRKIMO APIMTYS</w:t>
      </w:r>
    </w:p>
    <w:p w14:paraId="3A7A2772" w14:textId="77777777" w:rsidR="0014544C" w:rsidRPr="0014544C" w:rsidRDefault="0014544C" w:rsidP="0014544C">
      <w:pPr>
        <w:tabs>
          <w:tab w:val="left" w:pos="1134"/>
          <w:tab w:val="left" w:pos="1843"/>
        </w:tabs>
        <w:spacing w:after="0" w:line="240" w:lineRule="auto"/>
        <w:ind w:firstLine="851"/>
        <w:jc w:val="both"/>
        <w:rPr>
          <w:rFonts w:asciiTheme="minorHAnsi" w:eastAsia="Times New Roman" w:hAnsiTheme="minorHAnsi" w:cstheme="minorHAnsi"/>
          <w:bCs/>
          <w:color w:val="000000"/>
          <w:spacing w:val="-2"/>
          <w:sz w:val="22"/>
          <w:szCs w:val="22"/>
        </w:rPr>
      </w:pPr>
      <w:r w:rsidRPr="0014544C">
        <w:rPr>
          <w:rFonts w:asciiTheme="minorHAnsi" w:eastAsia="Times New Roman" w:hAnsiTheme="minorHAnsi" w:cstheme="minorHAnsi"/>
          <w:bCs/>
          <w:color w:val="000000"/>
          <w:sz w:val="22"/>
          <w:szCs w:val="22"/>
        </w:rPr>
        <w:t xml:space="preserve"> 3.</w:t>
      </w:r>
      <w:r w:rsidRPr="0014544C">
        <w:rPr>
          <w:rFonts w:asciiTheme="minorHAnsi" w:eastAsia="Times New Roman" w:hAnsiTheme="minorHAnsi" w:cstheme="minorHAnsi"/>
          <w:bCs/>
          <w:color w:val="000000"/>
          <w:spacing w:val="-2"/>
          <w:sz w:val="22"/>
          <w:szCs w:val="22"/>
        </w:rPr>
        <w:t xml:space="preserve"> </w:t>
      </w:r>
      <w:r w:rsidRPr="0014544C">
        <w:rPr>
          <w:rFonts w:asciiTheme="minorHAnsi" w:eastAsia="Arial" w:hAnsiTheme="minorHAnsi" w:cstheme="minorHAnsi"/>
          <w:bCs/>
          <w:color w:val="000000"/>
          <w:sz w:val="22"/>
          <w:szCs w:val="22"/>
        </w:rPr>
        <w:t xml:space="preserve">Prekių kiekiai bei </w:t>
      </w:r>
      <w:r w:rsidRPr="0014544C">
        <w:rPr>
          <w:rFonts w:asciiTheme="minorHAnsi" w:eastAsia="Times New Roman" w:hAnsiTheme="minorHAnsi" w:cstheme="minorHAnsi"/>
          <w:bCs/>
          <w:color w:val="000000"/>
          <w:spacing w:val="-2"/>
          <w:sz w:val="22"/>
          <w:szCs w:val="22"/>
        </w:rPr>
        <w:t xml:space="preserve">techniniai reikalavimai Prekėms </w:t>
      </w:r>
      <w:r w:rsidRPr="0014544C">
        <w:rPr>
          <w:rFonts w:asciiTheme="minorHAnsi" w:eastAsia="Arial" w:hAnsiTheme="minorHAnsi" w:cstheme="minorHAnsi"/>
          <w:bCs/>
          <w:color w:val="000000"/>
          <w:sz w:val="22"/>
          <w:szCs w:val="22"/>
        </w:rPr>
        <w:t xml:space="preserve">nurodyti šios techninės specifikacijos 1 lentelėje. </w:t>
      </w:r>
    </w:p>
    <w:p w14:paraId="7B480079" w14:textId="77777777" w:rsidR="0014544C" w:rsidRPr="0014544C" w:rsidRDefault="0014544C" w:rsidP="0014544C">
      <w:pPr>
        <w:tabs>
          <w:tab w:val="left" w:pos="1134"/>
          <w:tab w:val="left" w:pos="1843"/>
        </w:tabs>
        <w:spacing w:after="0" w:line="240" w:lineRule="auto"/>
        <w:ind w:firstLine="851"/>
        <w:jc w:val="both"/>
        <w:rPr>
          <w:rFonts w:asciiTheme="minorHAnsi" w:eastAsia="Times New Roman" w:hAnsiTheme="minorHAnsi" w:cstheme="minorHAnsi"/>
          <w:bCs/>
          <w:sz w:val="22"/>
          <w:szCs w:val="22"/>
        </w:rPr>
      </w:pPr>
      <w:r w:rsidRPr="0014544C">
        <w:rPr>
          <w:rFonts w:asciiTheme="minorHAnsi" w:eastAsia="Times New Roman" w:hAnsiTheme="minorHAnsi" w:cstheme="minorHAnsi"/>
          <w:bCs/>
          <w:color w:val="000000"/>
          <w:spacing w:val="-2"/>
          <w:sz w:val="22"/>
          <w:szCs w:val="22"/>
        </w:rPr>
        <w:t xml:space="preserve">4. </w:t>
      </w:r>
      <w:r w:rsidRPr="0014544C">
        <w:rPr>
          <w:rFonts w:asciiTheme="minorHAnsi" w:eastAsia="Times New Roman" w:hAnsiTheme="minorHAnsi" w:cstheme="minorHAnsi"/>
          <w:bCs/>
          <w:sz w:val="22"/>
          <w:szCs w:val="22"/>
        </w:rPr>
        <w:t>Bendrieji reikalavimai:</w:t>
      </w:r>
    </w:p>
    <w:p w14:paraId="5A896E0B" w14:textId="4124539C" w:rsidR="009E7202" w:rsidRDefault="0014544C" w:rsidP="0014544C">
      <w:pPr>
        <w:tabs>
          <w:tab w:val="left" w:pos="1134"/>
          <w:tab w:val="left" w:pos="1843"/>
        </w:tabs>
        <w:spacing w:after="0" w:line="240" w:lineRule="auto"/>
        <w:ind w:firstLine="851"/>
        <w:jc w:val="both"/>
        <w:rPr>
          <w:rFonts w:asciiTheme="minorHAnsi" w:hAnsiTheme="minorHAnsi" w:cstheme="minorHAnsi"/>
          <w:sz w:val="22"/>
          <w:szCs w:val="22"/>
        </w:rPr>
      </w:pPr>
      <w:r w:rsidRPr="0014544C">
        <w:rPr>
          <w:rFonts w:asciiTheme="minorHAnsi" w:eastAsia="Times New Roman" w:hAnsiTheme="minorHAnsi" w:cstheme="minorHAnsi"/>
          <w:bCs/>
          <w:sz w:val="22"/>
          <w:szCs w:val="22"/>
        </w:rPr>
        <w:t>4.1.</w:t>
      </w:r>
      <w:r w:rsidRPr="0014544C">
        <w:rPr>
          <w:rFonts w:asciiTheme="minorHAnsi" w:hAnsiTheme="minorHAnsi" w:cstheme="minorHAnsi"/>
          <w:sz w:val="22"/>
          <w:szCs w:val="22"/>
        </w:rPr>
        <w:t xml:space="preserve"> </w:t>
      </w:r>
      <w:r w:rsidR="00B72E1B">
        <w:rPr>
          <w:rFonts w:asciiTheme="minorHAnsi" w:hAnsiTheme="minorHAnsi" w:cstheme="minorHAnsi"/>
          <w:sz w:val="22"/>
          <w:szCs w:val="22"/>
        </w:rPr>
        <w:t>P</w:t>
      </w:r>
      <w:r w:rsidR="00B72E1B" w:rsidRPr="00B72E1B">
        <w:rPr>
          <w:rFonts w:asciiTheme="minorHAnsi" w:hAnsiTheme="minorHAnsi" w:cstheme="minorHAnsi"/>
          <w:sz w:val="22"/>
          <w:szCs w:val="22"/>
        </w:rPr>
        <w:t>ateikiam</w:t>
      </w:r>
      <w:r w:rsidR="00B72E1B">
        <w:rPr>
          <w:rFonts w:asciiTheme="minorHAnsi" w:hAnsiTheme="minorHAnsi" w:cstheme="minorHAnsi"/>
          <w:sz w:val="22"/>
          <w:szCs w:val="22"/>
        </w:rPr>
        <w:t xml:space="preserve">a </w:t>
      </w:r>
      <w:r w:rsidR="00B72E1B" w:rsidRPr="00B72E1B">
        <w:rPr>
          <w:rFonts w:asciiTheme="minorHAnsi" w:hAnsiTheme="minorHAnsi" w:cstheme="minorHAnsi"/>
          <w:sz w:val="22"/>
          <w:szCs w:val="22"/>
        </w:rPr>
        <w:t>techninė įranga negali būti atnaujinta, restauruota (angl. refurbished), pateikta gamyklinėje pakuotėje</w:t>
      </w:r>
      <w:r w:rsidR="00B72E1B">
        <w:rPr>
          <w:rFonts w:asciiTheme="minorHAnsi" w:hAnsiTheme="minorHAnsi" w:cstheme="minorHAnsi"/>
          <w:sz w:val="22"/>
          <w:szCs w:val="22"/>
        </w:rPr>
        <w:t>.</w:t>
      </w:r>
    </w:p>
    <w:p w14:paraId="08C0B7C6" w14:textId="77777777" w:rsidR="0014544C" w:rsidRPr="0014544C" w:rsidRDefault="0014544C" w:rsidP="0014544C">
      <w:pPr>
        <w:spacing w:after="0" w:line="240" w:lineRule="auto"/>
        <w:rPr>
          <w:rFonts w:asciiTheme="minorHAnsi" w:eastAsia="Times New Roman" w:hAnsiTheme="minorHAnsi" w:cstheme="minorHAnsi"/>
          <w:b/>
          <w:color w:val="000000"/>
          <w:sz w:val="22"/>
          <w:szCs w:val="22"/>
        </w:rPr>
      </w:pPr>
    </w:p>
    <w:p w14:paraId="58AEC51C" w14:textId="2F92CEB4" w:rsidR="000F03A1" w:rsidRDefault="0014544C" w:rsidP="0014544C">
      <w:pPr>
        <w:spacing w:after="120" w:line="240" w:lineRule="auto"/>
        <w:rPr>
          <w:rFonts w:asciiTheme="minorHAnsi" w:eastAsia="Times New Roman" w:hAnsiTheme="minorHAnsi" w:cstheme="minorHAnsi"/>
          <w:color w:val="000000"/>
          <w:sz w:val="22"/>
          <w:szCs w:val="22"/>
        </w:rPr>
      </w:pPr>
      <w:r w:rsidRPr="0014544C">
        <w:rPr>
          <w:rFonts w:asciiTheme="minorHAnsi" w:eastAsia="Times New Roman" w:hAnsiTheme="minorHAnsi" w:cstheme="minorHAnsi"/>
          <w:i/>
          <w:color w:val="000000"/>
          <w:sz w:val="22"/>
          <w:szCs w:val="22"/>
        </w:rPr>
        <w:t>1 lentelė</w:t>
      </w:r>
      <w:r w:rsidRPr="0014544C">
        <w:rPr>
          <w:rFonts w:asciiTheme="minorHAnsi" w:eastAsia="Times New Roman" w:hAnsiTheme="minorHAnsi" w:cstheme="minorHAnsi"/>
          <w:color w:val="000000"/>
          <w:sz w:val="22"/>
          <w:szCs w:val="22"/>
        </w:rPr>
        <w:t>. Techninė specifikacija</w:t>
      </w:r>
    </w:p>
    <w:tbl>
      <w:tblPr>
        <w:tblW w:w="10338" w:type="dxa"/>
        <w:tblLayout w:type="fixed"/>
        <w:tblCellMar>
          <w:left w:w="0" w:type="dxa"/>
          <w:right w:w="0" w:type="dxa"/>
        </w:tblCellMar>
        <w:tblLook w:val="04A0" w:firstRow="1" w:lastRow="0" w:firstColumn="1" w:lastColumn="0" w:noHBand="0" w:noVBand="1"/>
      </w:tblPr>
      <w:tblGrid>
        <w:gridCol w:w="8779"/>
        <w:gridCol w:w="1559"/>
      </w:tblGrid>
      <w:tr w:rsidR="000F03A1" w14:paraId="1D1C0EB7" w14:textId="756304DC" w:rsidTr="000F03A1">
        <w:trPr>
          <w:trHeight w:val="300"/>
        </w:trPr>
        <w:tc>
          <w:tcPr>
            <w:tcW w:w="87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D2EEB3" w14:textId="77777777" w:rsidR="000F03A1" w:rsidRDefault="000F03A1">
            <w:pPr>
              <w:pStyle w:val="xmsonormal"/>
            </w:pPr>
            <w:r>
              <w:rPr>
                <w:b/>
                <w:bCs/>
                <w:color w:val="000000"/>
              </w:rPr>
              <w:t>Pavadinimas</w:t>
            </w:r>
          </w:p>
        </w:tc>
        <w:tc>
          <w:tcPr>
            <w:tcW w:w="1559" w:type="dxa"/>
            <w:tcBorders>
              <w:top w:val="single" w:sz="8" w:space="0" w:color="auto"/>
              <w:left w:val="single" w:sz="8" w:space="0" w:color="auto"/>
              <w:bottom w:val="single" w:sz="8" w:space="0" w:color="auto"/>
              <w:right w:val="single" w:sz="8" w:space="0" w:color="auto"/>
            </w:tcBorders>
            <w:vAlign w:val="center"/>
          </w:tcPr>
          <w:p w14:paraId="72BE6933" w14:textId="4DFB77A8" w:rsidR="000F03A1" w:rsidRDefault="000F03A1" w:rsidP="000F03A1">
            <w:pPr>
              <w:pStyle w:val="xmsonormal"/>
              <w:jc w:val="center"/>
              <w:rPr>
                <w:b/>
                <w:bCs/>
                <w:color w:val="000000"/>
              </w:rPr>
            </w:pPr>
            <w:r>
              <w:rPr>
                <w:b/>
                <w:bCs/>
                <w:color w:val="000000"/>
              </w:rPr>
              <w:t>Kiekis</w:t>
            </w:r>
          </w:p>
        </w:tc>
      </w:tr>
      <w:tr w:rsidR="000F03A1" w14:paraId="704E8E96" w14:textId="0DD6BE58" w:rsidTr="000F03A1">
        <w:trPr>
          <w:trHeight w:val="600"/>
        </w:trPr>
        <w:tc>
          <w:tcPr>
            <w:tcW w:w="87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86D331C" w14:textId="77777777" w:rsidR="000F03A1" w:rsidRDefault="000F03A1">
            <w:pPr>
              <w:pStyle w:val="xmsonormal"/>
            </w:pPr>
            <w:r>
              <w:rPr>
                <w:color w:val="000000"/>
              </w:rPr>
              <w:t xml:space="preserve">8TB 7.2K RPM SATA 6Gbps 512e 3.5in </w:t>
            </w:r>
            <w:proofErr w:type="spellStart"/>
            <w:r>
              <w:rPr>
                <w:color w:val="000000"/>
              </w:rPr>
              <w:t>Hot-plug</w:t>
            </w:r>
            <w:proofErr w:type="spellEnd"/>
            <w:r>
              <w:rPr>
                <w:color w:val="000000"/>
              </w:rPr>
              <w:t xml:space="preserve"> </w:t>
            </w:r>
            <w:proofErr w:type="spellStart"/>
            <w:r>
              <w:rPr>
                <w:color w:val="000000"/>
              </w:rPr>
              <w:t>Hard</w:t>
            </w:r>
            <w:proofErr w:type="spellEnd"/>
            <w:r>
              <w:rPr>
                <w:color w:val="000000"/>
              </w:rPr>
              <w:t xml:space="preserve"> </w:t>
            </w:r>
            <w:proofErr w:type="spellStart"/>
            <w:r>
              <w:rPr>
                <w:color w:val="000000"/>
              </w:rPr>
              <w:t>Drive</w:t>
            </w:r>
            <w:proofErr w:type="spellEnd"/>
            <w:r>
              <w:rPr>
                <w:color w:val="000000"/>
              </w:rPr>
              <w:t>, suderinamas su Dell tarnybine stotimi GW3PKQ2 (</w:t>
            </w:r>
            <w:proofErr w:type="spellStart"/>
            <w:r>
              <w:rPr>
                <w:color w:val="000000"/>
              </w:rPr>
              <w:t>service</w:t>
            </w:r>
            <w:proofErr w:type="spellEnd"/>
            <w:r>
              <w:rPr>
                <w:color w:val="000000"/>
              </w:rPr>
              <w:t xml:space="preserve"> TAG) ir turi galioti tarnybinės stoties suteikiama garantija</w:t>
            </w:r>
          </w:p>
        </w:tc>
        <w:tc>
          <w:tcPr>
            <w:tcW w:w="1559" w:type="dxa"/>
            <w:tcBorders>
              <w:top w:val="nil"/>
              <w:left w:val="single" w:sz="8" w:space="0" w:color="auto"/>
              <w:bottom w:val="single" w:sz="8" w:space="0" w:color="auto"/>
              <w:right w:val="single" w:sz="8" w:space="0" w:color="auto"/>
            </w:tcBorders>
            <w:vAlign w:val="center"/>
          </w:tcPr>
          <w:p w14:paraId="0250F058" w14:textId="15EA2927" w:rsidR="000F03A1" w:rsidRPr="000F03A1" w:rsidRDefault="000F03A1" w:rsidP="000F03A1">
            <w:pPr>
              <w:pStyle w:val="xmsonormal"/>
              <w:jc w:val="center"/>
              <w:rPr>
                <w:color w:val="000000"/>
                <w:lang w:val="en-US"/>
              </w:rPr>
            </w:pPr>
            <w:r>
              <w:rPr>
                <w:color w:val="000000"/>
                <w:lang w:val="en-US"/>
              </w:rPr>
              <w:t>4</w:t>
            </w:r>
          </w:p>
        </w:tc>
      </w:tr>
      <w:tr w:rsidR="000F03A1" w14:paraId="5A11C9C1" w14:textId="7621002F" w:rsidTr="000F03A1">
        <w:trPr>
          <w:trHeight w:val="600"/>
        </w:trPr>
        <w:tc>
          <w:tcPr>
            <w:tcW w:w="87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0C11365" w14:textId="77777777" w:rsidR="000F03A1" w:rsidRDefault="000F03A1">
            <w:pPr>
              <w:pStyle w:val="xmsonormal"/>
            </w:pPr>
            <w:r>
              <w:rPr>
                <w:color w:val="000000"/>
              </w:rPr>
              <w:t>RAM 32GB RDIMM 2666MT/s RAM, suderinamas su Dell tarnybine stotimi GW3PKQ2 (</w:t>
            </w:r>
            <w:proofErr w:type="spellStart"/>
            <w:r>
              <w:rPr>
                <w:color w:val="000000"/>
              </w:rPr>
              <w:t>service</w:t>
            </w:r>
            <w:proofErr w:type="spellEnd"/>
            <w:r>
              <w:rPr>
                <w:color w:val="000000"/>
              </w:rPr>
              <w:t xml:space="preserve"> TAG)  ir turi galioti tarnybinės stoties suteikiama garantija</w:t>
            </w:r>
          </w:p>
        </w:tc>
        <w:tc>
          <w:tcPr>
            <w:tcW w:w="1559" w:type="dxa"/>
            <w:tcBorders>
              <w:top w:val="nil"/>
              <w:left w:val="single" w:sz="8" w:space="0" w:color="auto"/>
              <w:bottom w:val="single" w:sz="8" w:space="0" w:color="auto"/>
              <w:right w:val="single" w:sz="8" w:space="0" w:color="auto"/>
            </w:tcBorders>
            <w:vAlign w:val="center"/>
          </w:tcPr>
          <w:p w14:paraId="6B110F53" w14:textId="53396BEC" w:rsidR="000F03A1" w:rsidRDefault="000F03A1" w:rsidP="000F03A1">
            <w:pPr>
              <w:pStyle w:val="xmsonormal"/>
              <w:jc w:val="center"/>
              <w:rPr>
                <w:color w:val="000000"/>
              </w:rPr>
            </w:pPr>
            <w:r>
              <w:rPr>
                <w:color w:val="000000"/>
              </w:rPr>
              <w:t>8</w:t>
            </w:r>
          </w:p>
        </w:tc>
      </w:tr>
      <w:tr w:rsidR="000F03A1" w14:paraId="7EB55043" w14:textId="0885C47D" w:rsidTr="000F03A1">
        <w:trPr>
          <w:trHeight w:val="300"/>
        </w:trPr>
        <w:tc>
          <w:tcPr>
            <w:tcW w:w="87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775D690" w14:textId="77777777" w:rsidR="000F03A1" w:rsidRDefault="000F03A1">
            <w:pPr>
              <w:pStyle w:val="xmsonormal"/>
            </w:pPr>
            <w:r>
              <w:rPr>
                <w:color w:val="000000"/>
              </w:rPr>
              <w:t>960GB SSD SATA, suderinamas su Dell tarnybine stotimi GW3QKQ2  ir turi galioti tarnybinės stoties suteikiama garantija</w:t>
            </w:r>
          </w:p>
        </w:tc>
        <w:tc>
          <w:tcPr>
            <w:tcW w:w="1559" w:type="dxa"/>
            <w:tcBorders>
              <w:top w:val="nil"/>
              <w:left w:val="single" w:sz="8" w:space="0" w:color="auto"/>
              <w:bottom w:val="single" w:sz="8" w:space="0" w:color="auto"/>
              <w:right w:val="single" w:sz="8" w:space="0" w:color="auto"/>
            </w:tcBorders>
            <w:vAlign w:val="center"/>
          </w:tcPr>
          <w:p w14:paraId="0ECFA117" w14:textId="36DEC050" w:rsidR="000F03A1" w:rsidRDefault="000F03A1" w:rsidP="000F03A1">
            <w:pPr>
              <w:pStyle w:val="xmsonormal"/>
              <w:jc w:val="center"/>
              <w:rPr>
                <w:color w:val="000000"/>
              </w:rPr>
            </w:pPr>
            <w:r>
              <w:rPr>
                <w:color w:val="000000"/>
              </w:rPr>
              <w:t>12</w:t>
            </w:r>
          </w:p>
        </w:tc>
      </w:tr>
      <w:tr w:rsidR="000F03A1" w14:paraId="685C41BD" w14:textId="4E63B33D" w:rsidTr="000F03A1">
        <w:trPr>
          <w:trHeight w:val="600"/>
        </w:trPr>
        <w:tc>
          <w:tcPr>
            <w:tcW w:w="87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CD52795" w14:textId="77777777" w:rsidR="000F03A1" w:rsidRDefault="000F03A1">
            <w:pPr>
              <w:pStyle w:val="xmsonormal"/>
            </w:pPr>
            <w:proofErr w:type="spellStart"/>
            <w:r>
              <w:rPr>
                <w:color w:val="000000"/>
              </w:rPr>
              <w:t>Transcend</w:t>
            </w:r>
            <w:proofErr w:type="spellEnd"/>
            <w:r>
              <w:rPr>
                <w:color w:val="000000"/>
              </w:rPr>
              <w:t xml:space="preserve"> SATA III 6Gb/s SSD370S 256GB (</w:t>
            </w:r>
            <w:hyperlink r:id="rId5" w:history="1">
              <w:r>
                <w:rPr>
                  <w:rStyle w:val="Hyperlink"/>
                </w:rPr>
                <w:t>https://www.varle.lt/kietieji-diskai/ssd-transcend-ssd370-256gb-ts256gssd370s--11711046.html?aff=6be45dfe4c9d714ba7b948b94ae2abb4&amp;utm_source=kaina24.lt&amp;utm_medium=referral</w:t>
              </w:r>
            </w:hyperlink>
            <w:r>
              <w:rPr>
                <w:color w:val="000000"/>
              </w:rPr>
              <w:t>)</w:t>
            </w:r>
          </w:p>
        </w:tc>
        <w:tc>
          <w:tcPr>
            <w:tcW w:w="1559" w:type="dxa"/>
            <w:tcBorders>
              <w:top w:val="nil"/>
              <w:left w:val="single" w:sz="8" w:space="0" w:color="auto"/>
              <w:bottom w:val="single" w:sz="8" w:space="0" w:color="auto"/>
              <w:right w:val="single" w:sz="8" w:space="0" w:color="auto"/>
            </w:tcBorders>
            <w:vAlign w:val="center"/>
          </w:tcPr>
          <w:p w14:paraId="61E01ABA" w14:textId="6C16A828" w:rsidR="000F03A1" w:rsidRDefault="000F03A1" w:rsidP="000F03A1">
            <w:pPr>
              <w:pStyle w:val="xmsonormal"/>
              <w:jc w:val="center"/>
              <w:rPr>
                <w:color w:val="000000"/>
              </w:rPr>
            </w:pPr>
            <w:r>
              <w:rPr>
                <w:color w:val="000000"/>
              </w:rPr>
              <w:t>12</w:t>
            </w:r>
          </w:p>
        </w:tc>
      </w:tr>
      <w:tr w:rsidR="000F03A1" w14:paraId="23C9457D" w14:textId="6D6E3D2A" w:rsidTr="000F03A1">
        <w:trPr>
          <w:trHeight w:val="233"/>
        </w:trPr>
        <w:tc>
          <w:tcPr>
            <w:tcW w:w="87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652DBDC" w14:textId="77777777" w:rsidR="000F03A1" w:rsidRDefault="000F03A1">
            <w:pPr>
              <w:pStyle w:val="xmsonormal"/>
            </w:pPr>
            <w:r>
              <w:rPr>
                <w:color w:val="000000"/>
              </w:rPr>
              <w:t>Šviesolaidžių prašvietimo lazeris 30mW (</w:t>
            </w:r>
            <w:hyperlink r:id="rId6" w:history="1">
              <w:r>
                <w:rPr>
                  <w:rStyle w:val="Hyperlink"/>
                </w:rPr>
                <w:t>https://sominetworks.lt/produktai/sviesolaidziu-prasvietimo-lazeris-30mw/</w:t>
              </w:r>
            </w:hyperlink>
            <w:r>
              <w:rPr>
                <w:color w:val="000000"/>
              </w:rPr>
              <w:t>) arba lygiavertis</w:t>
            </w:r>
          </w:p>
        </w:tc>
        <w:tc>
          <w:tcPr>
            <w:tcW w:w="1559" w:type="dxa"/>
            <w:tcBorders>
              <w:top w:val="nil"/>
              <w:left w:val="single" w:sz="8" w:space="0" w:color="auto"/>
              <w:bottom w:val="single" w:sz="8" w:space="0" w:color="auto"/>
              <w:right w:val="single" w:sz="8" w:space="0" w:color="auto"/>
            </w:tcBorders>
            <w:vAlign w:val="center"/>
          </w:tcPr>
          <w:p w14:paraId="392D6E2B" w14:textId="3C3DF2A7" w:rsidR="000F03A1" w:rsidRDefault="000F03A1" w:rsidP="000F03A1">
            <w:pPr>
              <w:pStyle w:val="xmsonormal"/>
              <w:jc w:val="center"/>
              <w:rPr>
                <w:color w:val="000000"/>
              </w:rPr>
            </w:pPr>
            <w:r>
              <w:rPr>
                <w:color w:val="000000"/>
              </w:rPr>
              <w:t>4</w:t>
            </w:r>
          </w:p>
        </w:tc>
      </w:tr>
    </w:tbl>
    <w:p w14:paraId="0D4D19B2" w14:textId="48B5A3F0" w:rsidR="0014544C" w:rsidRDefault="0014544C" w:rsidP="0014544C">
      <w:pPr>
        <w:spacing w:after="120" w:line="240" w:lineRule="auto"/>
        <w:rPr>
          <w:rFonts w:asciiTheme="minorHAnsi" w:eastAsia="Times New Roman" w:hAnsiTheme="minorHAnsi" w:cstheme="minorHAnsi"/>
          <w:color w:val="000000"/>
          <w:sz w:val="22"/>
          <w:szCs w:val="22"/>
        </w:rPr>
      </w:pPr>
    </w:p>
    <w:p w14:paraId="61DF6BFF" w14:textId="77777777" w:rsidR="0014544C" w:rsidRPr="0014544C" w:rsidRDefault="0014544C" w:rsidP="0014544C">
      <w:pPr>
        <w:pStyle w:val="ListParagraph"/>
        <w:numPr>
          <w:ilvl w:val="0"/>
          <w:numId w:val="1"/>
        </w:numPr>
        <w:spacing w:after="120" w:line="240" w:lineRule="auto"/>
        <w:ind w:left="181" w:hanging="181"/>
        <w:jc w:val="center"/>
        <w:rPr>
          <w:rFonts w:asciiTheme="minorHAnsi" w:eastAsia="Times New Roman" w:hAnsiTheme="minorHAnsi" w:cstheme="minorHAnsi"/>
          <w:bCs/>
          <w:color w:val="000000"/>
          <w:spacing w:val="-2"/>
        </w:rPr>
      </w:pPr>
      <w:r w:rsidRPr="0014544C">
        <w:rPr>
          <w:rFonts w:asciiTheme="minorHAnsi" w:eastAsia="Times New Roman" w:hAnsiTheme="minorHAnsi" w:cstheme="minorHAnsi"/>
          <w:b/>
          <w:color w:val="000000"/>
        </w:rPr>
        <w:t>PREKIŲ  PRISTATYMAS</w:t>
      </w:r>
    </w:p>
    <w:p w14:paraId="533F0787" w14:textId="2D906333" w:rsidR="0014544C" w:rsidRPr="0014544C" w:rsidRDefault="0014544C" w:rsidP="0014544C">
      <w:pPr>
        <w:spacing w:after="0" w:line="240" w:lineRule="auto"/>
        <w:ind w:firstLine="851"/>
        <w:jc w:val="both"/>
        <w:rPr>
          <w:rFonts w:asciiTheme="minorHAnsi" w:eastAsia="Times New Roman" w:hAnsiTheme="minorHAnsi" w:cstheme="minorHAnsi"/>
          <w:bCs/>
          <w:i/>
          <w:spacing w:val="-2"/>
          <w:sz w:val="22"/>
          <w:szCs w:val="22"/>
        </w:rPr>
      </w:pPr>
      <w:r w:rsidRPr="0014544C">
        <w:rPr>
          <w:rFonts w:asciiTheme="minorHAnsi" w:eastAsia="Times New Roman" w:hAnsiTheme="minorHAnsi" w:cstheme="minorHAnsi"/>
          <w:bCs/>
          <w:color w:val="000000"/>
          <w:sz w:val="22"/>
          <w:szCs w:val="22"/>
        </w:rPr>
        <w:t>5. Prekės turi būti pristatytos ne vėliau kaip per</w:t>
      </w:r>
      <w:r w:rsidRPr="0014544C">
        <w:rPr>
          <w:rFonts w:asciiTheme="minorHAnsi" w:eastAsia="Times New Roman" w:hAnsiTheme="minorHAnsi" w:cstheme="minorHAnsi"/>
          <w:bCs/>
          <w:spacing w:val="-2"/>
          <w:sz w:val="22"/>
          <w:szCs w:val="22"/>
        </w:rPr>
        <w:t xml:space="preserve"> </w:t>
      </w:r>
      <w:r w:rsidR="000F03A1">
        <w:rPr>
          <w:rFonts w:asciiTheme="minorHAnsi" w:eastAsia="Times New Roman" w:hAnsiTheme="minorHAnsi" w:cstheme="minorHAnsi"/>
          <w:bCs/>
          <w:spacing w:val="-2"/>
          <w:sz w:val="22"/>
          <w:szCs w:val="22"/>
        </w:rPr>
        <w:t>1</w:t>
      </w:r>
      <w:r w:rsidRPr="0014544C">
        <w:rPr>
          <w:rFonts w:asciiTheme="minorHAnsi" w:eastAsia="Times New Roman" w:hAnsiTheme="minorHAnsi" w:cstheme="minorHAnsi"/>
          <w:bCs/>
          <w:spacing w:val="-2"/>
          <w:sz w:val="22"/>
          <w:szCs w:val="22"/>
        </w:rPr>
        <w:t xml:space="preserve"> mėnes</w:t>
      </w:r>
      <w:r w:rsidR="000F03A1">
        <w:rPr>
          <w:rFonts w:asciiTheme="minorHAnsi" w:eastAsia="Times New Roman" w:hAnsiTheme="minorHAnsi" w:cstheme="minorHAnsi"/>
          <w:bCs/>
          <w:spacing w:val="-2"/>
          <w:sz w:val="22"/>
          <w:szCs w:val="22"/>
        </w:rPr>
        <w:t>į</w:t>
      </w:r>
      <w:r w:rsidRPr="0014544C">
        <w:rPr>
          <w:rFonts w:asciiTheme="minorHAnsi" w:eastAsia="Times New Roman" w:hAnsiTheme="minorHAnsi" w:cstheme="minorHAnsi"/>
          <w:bCs/>
          <w:spacing w:val="-2"/>
          <w:sz w:val="22"/>
          <w:szCs w:val="22"/>
        </w:rPr>
        <w:t xml:space="preserve"> nuo</w:t>
      </w:r>
      <w:r w:rsidRPr="0014544C">
        <w:rPr>
          <w:rFonts w:asciiTheme="minorHAnsi" w:eastAsia="Times New Roman" w:hAnsiTheme="minorHAnsi" w:cstheme="minorHAnsi"/>
          <w:bCs/>
          <w:i/>
          <w:spacing w:val="-2"/>
          <w:sz w:val="22"/>
          <w:szCs w:val="22"/>
        </w:rPr>
        <w:t xml:space="preserve"> </w:t>
      </w:r>
      <w:r>
        <w:rPr>
          <w:rFonts w:asciiTheme="minorHAnsi" w:eastAsia="Times New Roman" w:hAnsiTheme="minorHAnsi" w:cstheme="minorHAnsi"/>
          <w:bCs/>
          <w:spacing w:val="-2"/>
          <w:sz w:val="22"/>
          <w:szCs w:val="22"/>
        </w:rPr>
        <w:t>užsakymo pateikimo</w:t>
      </w:r>
      <w:r w:rsidRPr="0014544C">
        <w:rPr>
          <w:rFonts w:asciiTheme="minorHAnsi" w:eastAsia="Times New Roman" w:hAnsiTheme="minorHAnsi" w:cstheme="minorHAnsi"/>
          <w:bCs/>
          <w:spacing w:val="-2"/>
          <w:sz w:val="22"/>
          <w:szCs w:val="22"/>
        </w:rPr>
        <w:t xml:space="preserve"> </w:t>
      </w:r>
      <w:r w:rsidRPr="0014544C">
        <w:rPr>
          <w:rFonts w:asciiTheme="minorHAnsi" w:hAnsiTheme="minorHAnsi" w:cstheme="minorHAnsi"/>
          <w:sz w:val="22"/>
          <w:szCs w:val="22"/>
        </w:rPr>
        <w:t>adresu</w:t>
      </w:r>
      <w:r w:rsidR="007E6FDD">
        <w:rPr>
          <w:rFonts w:asciiTheme="minorHAnsi" w:hAnsiTheme="minorHAnsi" w:cstheme="minorHAnsi"/>
          <w:sz w:val="22"/>
          <w:szCs w:val="22"/>
        </w:rPr>
        <w:t xml:space="preserve"> </w:t>
      </w:r>
      <w:r w:rsidR="007E6FDD" w:rsidRPr="007E6FDD">
        <w:rPr>
          <w:rFonts w:asciiTheme="minorHAnsi" w:hAnsiTheme="minorHAnsi" w:cstheme="minorHAnsi"/>
          <w:b/>
          <w:bCs/>
          <w:sz w:val="22"/>
          <w:szCs w:val="22"/>
        </w:rPr>
        <w:t>(jeigu 1 lentelėje nenurodyta kitaip)</w:t>
      </w:r>
      <w:r w:rsidRPr="0014544C">
        <w:rPr>
          <w:rFonts w:asciiTheme="minorHAnsi" w:hAnsiTheme="minorHAnsi" w:cstheme="minorHAnsi"/>
          <w:sz w:val="22"/>
          <w:szCs w:val="22"/>
        </w:rPr>
        <w:t xml:space="preserve">: </w:t>
      </w:r>
      <w:r>
        <w:rPr>
          <w:rFonts w:asciiTheme="minorHAnsi" w:hAnsiTheme="minorHAnsi" w:cstheme="minorHAnsi"/>
          <w:sz w:val="22"/>
          <w:szCs w:val="22"/>
        </w:rPr>
        <w:t>akcinė bendrovė</w:t>
      </w:r>
      <w:r w:rsidRPr="0014544C">
        <w:rPr>
          <w:rFonts w:asciiTheme="minorHAnsi" w:hAnsiTheme="minorHAnsi" w:cstheme="minorHAnsi"/>
          <w:sz w:val="22"/>
          <w:szCs w:val="22"/>
        </w:rPr>
        <w:t xml:space="preserve"> „Oro navigacija“, B. Karvelio g. 25, LT-02184 Vilnius. Prekės turi būti pristatomos tik darbo dienomis (I-IV nuo 7:30 iki 16:15 val., V nuo 7:30 iki 15:30 val.). </w:t>
      </w:r>
    </w:p>
    <w:p w14:paraId="3410A37B" w14:textId="77777777" w:rsidR="0014544C" w:rsidRPr="0014544C" w:rsidRDefault="0014544C" w:rsidP="0014544C">
      <w:pPr>
        <w:widowControl w:val="0"/>
        <w:tabs>
          <w:tab w:val="left" w:pos="426"/>
        </w:tabs>
        <w:autoSpaceDE w:val="0"/>
        <w:autoSpaceDN w:val="0"/>
        <w:adjustRightInd w:val="0"/>
        <w:spacing w:after="0" w:line="240" w:lineRule="auto"/>
        <w:ind w:firstLine="851"/>
        <w:jc w:val="both"/>
        <w:rPr>
          <w:rFonts w:asciiTheme="minorHAnsi" w:hAnsiTheme="minorHAnsi" w:cstheme="minorHAnsi"/>
          <w:b/>
          <w:bCs/>
          <w:position w:val="-1"/>
          <w:sz w:val="22"/>
          <w:szCs w:val="22"/>
        </w:rPr>
      </w:pPr>
      <w:r w:rsidRPr="0014544C">
        <w:rPr>
          <w:rFonts w:asciiTheme="minorHAnsi" w:eastAsia="Times New Roman" w:hAnsiTheme="minorHAnsi" w:cstheme="minorHAnsi"/>
          <w:bCs/>
          <w:spacing w:val="-2"/>
          <w:sz w:val="22"/>
          <w:szCs w:val="22"/>
        </w:rPr>
        <w:t>6.</w:t>
      </w:r>
      <w:r w:rsidRPr="0014544C">
        <w:rPr>
          <w:rFonts w:asciiTheme="minorHAnsi" w:eastAsia="Times New Roman" w:hAnsiTheme="minorHAnsi" w:cstheme="minorHAnsi"/>
          <w:bCs/>
          <w:i/>
          <w:spacing w:val="-2"/>
          <w:sz w:val="22"/>
          <w:szCs w:val="22"/>
        </w:rPr>
        <w:t xml:space="preserve"> </w:t>
      </w:r>
      <w:r w:rsidRPr="0014544C">
        <w:rPr>
          <w:rFonts w:asciiTheme="minorHAnsi" w:hAnsiTheme="minorHAnsi" w:cstheme="minorHAnsi"/>
          <w:sz w:val="22"/>
          <w:szCs w:val="22"/>
        </w:rPr>
        <w:t xml:space="preserve">Prekės turi būti įpakuotos į standartinę gamintojo pakuotę. Pakuotė turi garantuoti Prekių saugumą jas transportuojant. </w:t>
      </w:r>
      <w:r w:rsidRPr="0014544C">
        <w:rPr>
          <w:rFonts w:asciiTheme="minorHAnsi" w:hAnsiTheme="minorHAnsi" w:cstheme="minorHAnsi"/>
          <w:b/>
          <w:bCs/>
          <w:sz w:val="22"/>
          <w:szCs w:val="22"/>
        </w:rPr>
        <w:t>Prekių pakuotės tūri būti pagamintos iš antrinių perdirbtų žaliavų (polietileno, popieriaus ir pan.).</w:t>
      </w:r>
    </w:p>
    <w:p w14:paraId="7D5C6C90" w14:textId="77777777" w:rsidR="0014544C" w:rsidRPr="0014544C" w:rsidRDefault="0014544C" w:rsidP="0014544C">
      <w:pPr>
        <w:spacing w:after="0" w:line="240" w:lineRule="auto"/>
        <w:ind w:firstLine="851"/>
        <w:jc w:val="both"/>
        <w:rPr>
          <w:rFonts w:asciiTheme="minorHAnsi" w:hAnsiTheme="minorHAnsi" w:cstheme="minorHAnsi"/>
          <w:sz w:val="22"/>
          <w:szCs w:val="22"/>
        </w:rPr>
      </w:pPr>
    </w:p>
    <w:p w14:paraId="5DBDCA12" w14:textId="77777777" w:rsidR="0014544C" w:rsidRPr="0014544C" w:rsidRDefault="0014544C" w:rsidP="0014544C">
      <w:pPr>
        <w:numPr>
          <w:ilvl w:val="0"/>
          <w:numId w:val="1"/>
        </w:numPr>
        <w:spacing w:after="120" w:line="240" w:lineRule="auto"/>
        <w:ind w:left="0" w:firstLine="851"/>
        <w:jc w:val="center"/>
        <w:rPr>
          <w:rFonts w:asciiTheme="minorHAnsi" w:eastAsia="Times New Roman" w:hAnsiTheme="minorHAnsi" w:cstheme="minorHAnsi"/>
          <w:b/>
          <w:bCs/>
          <w:color w:val="000000"/>
          <w:sz w:val="22"/>
          <w:szCs w:val="22"/>
          <w:lang w:val="it-IT" w:bidi="lt-LT"/>
        </w:rPr>
      </w:pPr>
      <w:bookmarkStart w:id="8" w:name="bookmark12"/>
      <w:r w:rsidRPr="0014544C">
        <w:rPr>
          <w:rFonts w:asciiTheme="minorHAnsi" w:eastAsia="Times New Roman" w:hAnsiTheme="minorHAnsi" w:cstheme="minorHAnsi"/>
          <w:b/>
          <w:bCs/>
          <w:color w:val="000000"/>
          <w:sz w:val="22"/>
          <w:szCs w:val="22"/>
          <w:lang w:val="it-IT" w:bidi="lt-LT"/>
        </w:rPr>
        <w:t>GARANTINIAI ĮSIPAREIGOJIMAI</w:t>
      </w:r>
      <w:bookmarkEnd w:id="8"/>
    </w:p>
    <w:p w14:paraId="54FDF4D2" w14:textId="77777777" w:rsidR="0014544C" w:rsidRPr="0014544C" w:rsidRDefault="0014544C" w:rsidP="0014544C">
      <w:pPr>
        <w:spacing w:after="0" w:line="240" w:lineRule="auto"/>
        <w:ind w:firstLine="851"/>
        <w:jc w:val="both"/>
        <w:rPr>
          <w:rFonts w:asciiTheme="minorHAnsi" w:hAnsiTheme="minorHAnsi" w:cstheme="minorHAnsi"/>
          <w:sz w:val="22"/>
          <w:szCs w:val="22"/>
        </w:rPr>
      </w:pPr>
      <w:r w:rsidRPr="0014544C">
        <w:rPr>
          <w:rFonts w:asciiTheme="minorHAnsi" w:hAnsiTheme="minorHAnsi" w:cstheme="minorHAnsi"/>
          <w:sz w:val="22"/>
          <w:szCs w:val="22"/>
        </w:rPr>
        <w:t xml:space="preserve">7. Garantijos terminas skaičiuojamas nuo Prekių perdavimo Pirkėjui momento, t. y. nuo Prekių priėmimo – perdavimo akto pasirašymo dienos. </w:t>
      </w:r>
    </w:p>
    <w:p w14:paraId="2DA605CA" w14:textId="091488FA" w:rsidR="0014544C" w:rsidRPr="0014544C" w:rsidRDefault="0014544C" w:rsidP="0014544C">
      <w:pPr>
        <w:spacing w:after="0" w:line="240" w:lineRule="auto"/>
        <w:ind w:firstLine="851"/>
        <w:jc w:val="both"/>
        <w:rPr>
          <w:rFonts w:asciiTheme="minorHAnsi" w:eastAsia="SimSun" w:hAnsiTheme="minorHAnsi" w:cstheme="minorHAnsi"/>
          <w:sz w:val="22"/>
          <w:szCs w:val="22"/>
        </w:rPr>
      </w:pPr>
      <w:r w:rsidRPr="0014544C">
        <w:rPr>
          <w:rFonts w:asciiTheme="minorHAnsi" w:hAnsiTheme="minorHAnsi" w:cstheme="minorHAnsi"/>
          <w:sz w:val="22"/>
          <w:szCs w:val="22"/>
        </w:rPr>
        <w:t xml:space="preserve">8. </w:t>
      </w:r>
      <w:r w:rsidRPr="0014544C">
        <w:rPr>
          <w:rFonts w:asciiTheme="minorHAnsi" w:eastAsia="SimSun" w:hAnsiTheme="minorHAnsi" w:cstheme="minorHAnsi"/>
          <w:sz w:val="22"/>
          <w:szCs w:val="22"/>
        </w:rPr>
        <w:t xml:space="preserve">Prekėms  turi būti suteikta ne trumpesnė kaip </w:t>
      </w:r>
      <w:r w:rsidR="00055554">
        <w:rPr>
          <w:rFonts w:asciiTheme="minorHAnsi" w:eastAsia="SimSun" w:hAnsiTheme="minorHAnsi" w:cstheme="minorHAnsi"/>
          <w:sz w:val="22"/>
          <w:szCs w:val="22"/>
        </w:rPr>
        <w:t>12</w:t>
      </w:r>
      <w:r w:rsidRPr="0014544C">
        <w:rPr>
          <w:rFonts w:asciiTheme="minorHAnsi" w:eastAsia="SimSun" w:hAnsiTheme="minorHAnsi" w:cstheme="minorHAnsi"/>
          <w:sz w:val="22"/>
          <w:szCs w:val="22"/>
        </w:rPr>
        <w:t xml:space="preserve"> mėnesių gamintojo garantija.</w:t>
      </w:r>
    </w:p>
    <w:p w14:paraId="02F49CF0" w14:textId="2EE02D26" w:rsidR="0014544C" w:rsidRPr="0014544C" w:rsidRDefault="0014544C" w:rsidP="0014544C">
      <w:pPr>
        <w:spacing w:after="0" w:line="240" w:lineRule="auto"/>
        <w:ind w:firstLine="851"/>
        <w:jc w:val="both"/>
        <w:rPr>
          <w:rFonts w:asciiTheme="minorHAnsi" w:hAnsiTheme="minorHAnsi" w:cstheme="minorHAnsi"/>
          <w:sz w:val="22"/>
          <w:szCs w:val="22"/>
        </w:rPr>
      </w:pPr>
      <w:r>
        <w:rPr>
          <w:rFonts w:asciiTheme="minorHAnsi" w:hAnsiTheme="minorHAnsi" w:cstheme="minorHAnsi"/>
          <w:sz w:val="22"/>
          <w:szCs w:val="22"/>
        </w:rPr>
        <w:lastRenderedPageBreak/>
        <w:t>9</w:t>
      </w:r>
      <w:r w:rsidRPr="0014544C">
        <w:rPr>
          <w:rFonts w:asciiTheme="minorHAnsi" w:hAnsiTheme="minorHAnsi" w:cstheme="minorHAnsi"/>
          <w:sz w:val="22"/>
          <w:szCs w:val="22"/>
        </w:rPr>
        <w:t>. Garantijos laikotarpiu turi būti nemokamai šalinami Prekių gedimai arba sugedusios Prekės keičiamos naujomis (įskaitant Prekių ar jų dalių (komponentų) transportavimo kaštus). Sąvoka „gedimas“ apima bet kokį Prekės (ar bet kokios jos dalies, įskaitant programinės įrangos) netinkamą veikimą ir/ar sutrikimą.</w:t>
      </w:r>
    </w:p>
    <w:p w14:paraId="00C95AC4" w14:textId="77777777" w:rsidR="0014544C" w:rsidRPr="0014544C" w:rsidRDefault="0014544C" w:rsidP="0014544C">
      <w:pPr>
        <w:spacing w:after="240" w:line="240" w:lineRule="auto"/>
        <w:jc w:val="center"/>
        <w:rPr>
          <w:rFonts w:asciiTheme="minorHAnsi" w:eastAsia="Times New Roman" w:hAnsiTheme="minorHAnsi" w:cstheme="minorHAnsi"/>
          <w:bCs/>
          <w:noProof/>
          <w:sz w:val="22"/>
          <w:szCs w:val="22"/>
        </w:rPr>
      </w:pPr>
    </w:p>
    <w:sectPr w:rsidR="0014544C" w:rsidRPr="0014544C" w:rsidSect="000F03A1">
      <w:pgSz w:w="11906" w:h="16838"/>
      <w:pgMar w:top="737" w:right="567" w:bottom="680" w:left="90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202E45D5"/>
    <w:multiLevelType w:val="hybridMultilevel"/>
    <w:tmpl w:val="3718190C"/>
    <w:lvl w:ilvl="0" w:tplc="4F18B50C">
      <w:start w:val="1"/>
      <w:numFmt w:val="upperRoman"/>
      <w:lvlText w:val="%1."/>
      <w:lvlJc w:val="right"/>
      <w:pPr>
        <w:tabs>
          <w:tab w:val="num" w:pos="180"/>
        </w:tabs>
        <w:ind w:left="180" w:hanging="180"/>
      </w:pPr>
      <w:rPr>
        <w:b/>
        <w:bCs w:val="0"/>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2" w15:restartNumberingAfterBreak="0">
    <w:nsid w:val="62A63F84"/>
    <w:multiLevelType w:val="hybridMultilevel"/>
    <w:tmpl w:val="D82CC15C"/>
    <w:lvl w:ilvl="0" w:tplc="9AD6861E">
      <w:start w:val="7"/>
      <w:numFmt w:val="upperRoman"/>
      <w:lvlText w:val="%1."/>
      <w:lvlJc w:val="right"/>
      <w:pPr>
        <w:tabs>
          <w:tab w:val="num" w:pos="180"/>
        </w:tabs>
        <w:ind w:left="180" w:hanging="1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1991693">
    <w:abstractNumId w:val="1"/>
  </w:num>
  <w:num w:numId="2" w16cid:durableId="279384951">
    <w:abstractNumId w:val="0"/>
  </w:num>
  <w:num w:numId="3" w16cid:durableId="1976911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15"/>
    <w:rsid w:val="000066B5"/>
    <w:rsid w:val="00055554"/>
    <w:rsid w:val="000C2C40"/>
    <w:rsid w:val="000F03A1"/>
    <w:rsid w:val="00104121"/>
    <w:rsid w:val="00120F1B"/>
    <w:rsid w:val="0014544C"/>
    <w:rsid w:val="001A463E"/>
    <w:rsid w:val="001C2566"/>
    <w:rsid w:val="00204D42"/>
    <w:rsid w:val="00353209"/>
    <w:rsid w:val="00384155"/>
    <w:rsid w:val="00393093"/>
    <w:rsid w:val="003F6E70"/>
    <w:rsid w:val="00434DC6"/>
    <w:rsid w:val="00482565"/>
    <w:rsid w:val="004D30E2"/>
    <w:rsid w:val="005560C2"/>
    <w:rsid w:val="00563C34"/>
    <w:rsid w:val="005932FE"/>
    <w:rsid w:val="0059527E"/>
    <w:rsid w:val="005F3BEB"/>
    <w:rsid w:val="00664C0A"/>
    <w:rsid w:val="006B4EFD"/>
    <w:rsid w:val="006C559A"/>
    <w:rsid w:val="00714742"/>
    <w:rsid w:val="007A4F0E"/>
    <w:rsid w:val="007B479C"/>
    <w:rsid w:val="007E1278"/>
    <w:rsid w:val="007E3CDB"/>
    <w:rsid w:val="007E6FDD"/>
    <w:rsid w:val="00805D01"/>
    <w:rsid w:val="0084605D"/>
    <w:rsid w:val="00856F9E"/>
    <w:rsid w:val="0090085C"/>
    <w:rsid w:val="009015B3"/>
    <w:rsid w:val="009158C5"/>
    <w:rsid w:val="00926F95"/>
    <w:rsid w:val="00955E57"/>
    <w:rsid w:val="00975147"/>
    <w:rsid w:val="00983DE4"/>
    <w:rsid w:val="00984137"/>
    <w:rsid w:val="00987115"/>
    <w:rsid w:val="009E7202"/>
    <w:rsid w:val="009F46C3"/>
    <w:rsid w:val="00A11F39"/>
    <w:rsid w:val="00A25625"/>
    <w:rsid w:val="00A46925"/>
    <w:rsid w:val="00A5446F"/>
    <w:rsid w:val="00A909FE"/>
    <w:rsid w:val="00AC08D5"/>
    <w:rsid w:val="00AC1525"/>
    <w:rsid w:val="00AE2276"/>
    <w:rsid w:val="00B227EF"/>
    <w:rsid w:val="00B72E1B"/>
    <w:rsid w:val="00B8365B"/>
    <w:rsid w:val="00B86D27"/>
    <w:rsid w:val="00BA7295"/>
    <w:rsid w:val="00BD237A"/>
    <w:rsid w:val="00D05C54"/>
    <w:rsid w:val="00D11032"/>
    <w:rsid w:val="00D20CC8"/>
    <w:rsid w:val="00D50DCC"/>
    <w:rsid w:val="00DA22D9"/>
    <w:rsid w:val="00DC1BD9"/>
    <w:rsid w:val="00E00425"/>
    <w:rsid w:val="00E07B67"/>
    <w:rsid w:val="00E7533F"/>
    <w:rsid w:val="00EA3C9D"/>
    <w:rsid w:val="00F16C8A"/>
    <w:rsid w:val="00F338DD"/>
    <w:rsid w:val="00F56388"/>
    <w:rsid w:val="00FA6C4B"/>
    <w:rsid w:val="00FC14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D4CC"/>
  <w15:chartTrackingRefBased/>
  <w15:docId w15:val="{3DE36218-FA3D-44D3-96C7-C7872A58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115"/>
    <w:pPr>
      <w:spacing w:after="200" w:line="276" w:lineRule="auto"/>
    </w:pPr>
    <w:rPr>
      <w:rFonts w:ascii="Times New Roman" w:eastAsia="Calibri"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987115"/>
    <w:pPr>
      <w:spacing w:after="160" w:line="259" w:lineRule="auto"/>
      <w:ind w:left="720"/>
      <w:contextualSpacing/>
    </w:pPr>
    <w:rPr>
      <w:rFonts w:ascii="Calibri" w:hAnsi="Calibri"/>
      <w:sz w:val="22"/>
      <w:szCs w:val="22"/>
      <w:lang w:val="lv-LV"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987115"/>
    <w:rPr>
      <w:rFonts w:ascii="Calibri" w:eastAsia="Calibri" w:hAnsi="Calibri" w:cs="Times New Roman"/>
      <w:lang w:val="lv-LV"/>
    </w:rPr>
  </w:style>
  <w:style w:type="character" w:styleId="CommentReference">
    <w:name w:val="annotation reference"/>
    <w:basedOn w:val="DefaultParagraphFont"/>
    <w:uiPriority w:val="99"/>
    <w:semiHidden/>
    <w:unhideWhenUsed/>
    <w:rsid w:val="00987115"/>
    <w:rPr>
      <w:sz w:val="16"/>
      <w:szCs w:val="16"/>
    </w:rPr>
  </w:style>
  <w:style w:type="paragraph" w:styleId="CommentText">
    <w:name w:val="annotation text"/>
    <w:basedOn w:val="Normal"/>
    <w:link w:val="CommentTextChar"/>
    <w:uiPriority w:val="99"/>
    <w:semiHidden/>
    <w:unhideWhenUsed/>
    <w:rsid w:val="00987115"/>
    <w:pPr>
      <w:spacing w:line="240" w:lineRule="auto"/>
    </w:pPr>
  </w:style>
  <w:style w:type="character" w:customStyle="1" w:styleId="CommentTextChar">
    <w:name w:val="Comment Text Char"/>
    <w:basedOn w:val="DefaultParagraphFont"/>
    <w:link w:val="CommentText"/>
    <w:uiPriority w:val="99"/>
    <w:semiHidden/>
    <w:rsid w:val="00987115"/>
    <w:rPr>
      <w:rFonts w:ascii="Times New Roman" w:eastAsia="Calibri" w:hAnsi="Times New Roman" w:cs="Times New Roman"/>
      <w:sz w:val="20"/>
      <w:szCs w:val="20"/>
      <w:lang w:eastAsia="lt-LT"/>
    </w:rPr>
  </w:style>
  <w:style w:type="table" w:styleId="TableGrid">
    <w:name w:val="Table Grid"/>
    <w:basedOn w:val="TableNormal"/>
    <w:uiPriority w:val="39"/>
    <w:rsid w:val="00987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7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115"/>
    <w:rPr>
      <w:rFonts w:ascii="Segoe UI" w:eastAsia="Calibri" w:hAnsi="Segoe UI" w:cs="Segoe UI"/>
      <w:sz w:val="18"/>
      <w:szCs w:val="18"/>
      <w:lang w:eastAsia="lt-LT"/>
    </w:rPr>
  </w:style>
  <w:style w:type="paragraph" w:styleId="CommentSubject">
    <w:name w:val="annotation subject"/>
    <w:basedOn w:val="CommentText"/>
    <w:next w:val="CommentText"/>
    <w:link w:val="CommentSubjectChar"/>
    <w:uiPriority w:val="99"/>
    <w:semiHidden/>
    <w:unhideWhenUsed/>
    <w:rsid w:val="00B86D27"/>
    <w:rPr>
      <w:b/>
      <w:bCs/>
    </w:rPr>
  </w:style>
  <w:style w:type="character" w:customStyle="1" w:styleId="CommentSubjectChar">
    <w:name w:val="Comment Subject Char"/>
    <w:basedOn w:val="CommentTextChar"/>
    <w:link w:val="CommentSubject"/>
    <w:uiPriority w:val="99"/>
    <w:semiHidden/>
    <w:rsid w:val="00B86D27"/>
    <w:rPr>
      <w:rFonts w:ascii="Times New Roman" w:eastAsia="Calibri" w:hAnsi="Times New Roman" w:cs="Times New Roman"/>
      <w:b/>
      <w:bCs/>
      <w:sz w:val="20"/>
      <w:szCs w:val="20"/>
      <w:lang w:eastAsia="lt-LT"/>
    </w:rPr>
  </w:style>
  <w:style w:type="character" w:customStyle="1" w:styleId="Bodytext">
    <w:name w:val="Body text_"/>
    <w:basedOn w:val="DefaultParagraphFont"/>
    <w:link w:val="BodyText3"/>
    <w:rsid w:val="0014544C"/>
    <w:rPr>
      <w:rFonts w:ascii="Arial" w:eastAsia="Arial" w:hAnsi="Arial" w:cs="Arial"/>
      <w:sz w:val="18"/>
      <w:szCs w:val="18"/>
      <w:shd w:val="clear" w:color="auto" w:fill="FFFFFF"/>
    </w:rPr>
  </w:style>
  <w:style w:type="paragraph" w:customStyle="1" w:styleId="BodyText3">
    <w:name w:val="Body Text3"/>
    <w:basedOn w:val="Normal"/>
    <w:link w:val="Bodytext"/>
    <w:rsid w:val="0014544C"/>
    <w:pPr>
      <w:widowControl w:val="0"/>
      <w:shd w:val="clear" w:color="auto" w:fill="FFFFFF"/>
      <w:spacing w:after="60" w:line="0" w:lineRule="atLeast"/>
      <w:ind w:hanging="720"/>
      <w:jc w:val="center"/>
    </w:pPr>
    <w:rPr>
      <w:rFonts w:ascii="Arial" w:eastAsia="Arial" w:hAnsi="Arial" w:cs="Arial"/>
      <w:sz w:val="18"/>
      <w:szCs w:val="18"/>
      <w:lang w:eastAsia="en-US"/>
    </w:rPr>
  </w:style>
  <w:style w:type="character" w:styleId="Hyperlink">
    <w:name w:val="Hyperlink"/>
    <w:basedOn w:val="DefaultParagraphFont"/>
    <w:uiPriority w:val="99"/>
    <w:semiHidden/>
    <w:unhideWhenUsed/>
    <w:rsid w:val="0014544C"/>
    <w:rPr>
      <w:color w:val="0563C1"/>
      <w:u w:val="single"/>
    </w:rPr>
  </w:style>
  <w:style w:type="paragraph" w:customStyle="1" w:styleId="xmsonormal">
    <w:name w:val="x_msonormal"/>
    <w:basedOn w:val="Normal"/>
    <w:rsid w:val="000F03A1"/>
    <w:pPr>
      <w:spacing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489">
      <w:bodyDiv w:val="1"/>
      <w:marLeft w:val="0"/>
      <w:marRight w:val="0"/>
      <w:marTop w:val="0"/>
      <w:marBottom w:val="0"/>
      <w:divBdr>
        <w:top w:val="none" w:sz="0" w:space="0" w:color="auto"/>
        <w:left w:val="none" w:sz="0" w:space="0" w:color="auto"/>
        <w:bottom w:val="none" w:sz="0" w:space="0" w:color="auto"/>
        <w:right w:val="none" w:sz="0" w:space="0" w:color="auto"/>
      </w:divBdr>
    </w:div>
    <w:div w:id="340621500">
      <w:bodyDiv w:val="1"/>
      <w:marLeft w:val="0"/>
      <w:marRight w:val="0"/>
      <w:marTop w:val="0"/>
      <w:marBottom w:val="0"/>
      <w:divBdr>
        <w:top w:val="none" w:sz="0" w:space="0" w:color="auto"/>
        <w:left w:val="none" w:sz="0" w:space="0" w:color="auto"/>
        <w:bottom w:val="none" w:sz="0" w:space="0" w:color="auto"/>
        <w:right w:val="none" w:sz="0" w:space="0" w:color="auto"/>
      </w:divBdr>
    </w:div>
    <w:div w:id="390035823">
      <w:bodyDiv w:val="1"/>
      <w:marLeft w:val="0"/>
      <w:marRight w:val="0"/>
      <w:marTop w:val="0"/>
      <w:marBottom w:val="0"/>
      <w:divBdr>
        <w:top w:val="none" w:sz="0" w:space="0" w:color="auto"/>
        <w:left w:val="none" w:sz="0" w:space="0" w:color="auto"/>
        <w:bottom w:val="none" w:sz="0" w:space="0" w:color="auto"/>
        <w:right w:val="none" w:sz="0" w:space="0" w:color="auto"/>
      </w:divBdr>
    </w:div>
    <w:div w:id="836919456">
      <w:bodyDiv w:val="1"/>
      <w:marLeft w:val="0"/>
      <w:marRight w:val="0"/>
      <w:marTop w:val="0"/>
      <w:marBottom w:val="0"/>
      <w:divBdr>
        <w:top w:val="none" w:sz="0" w:space="0" w:color="auto"/>
        <w:left w:val="none" w:sz="0" w:space="0" w:color="auto"/>
        <w:bottom w:val="none" w:sz="0" w:space="0" w:color="auto"/>
        <w:right w:val="none" w:sz="0" w:space="0" w:color="auto"/>
      </w:divBdr>
    </w:div>
    <w:div w:id="1011031722">
      <w:bodyDiv w:val="1"/>
      <w:marLeft w:val="0"/>
      <w:marRight w:val="0"/>
      <w:marTop w:val="0"/>
      <w:marBottom w:val="0"/>
      <w:divBdr>
        <w:top w:val="none" w:sz="0" w:space="0" w:color="auto"/>
        <w:left w:val="none" w:sz="0" w:space="0" w:color="auto"/>
        <w:bottom w:val="none" w:sz="0" w:space="0" w:color="auto"/>
        <w:right w:val="none" w:sz="0" w:space="0" w:color="auto"/>
      </w:divBdr>
    </w:div>
    <w:div w:id="1579097359">
      <w:bodyDiv w:val="1"/>
      <w:marLeft w:val="0"/>
      <w:marRight w:val="0"/>
      <w:marTop w:val="0"/>
      <w:marBottom w:val="0"/>
      <w:divBdr>
        <w:top w:val="none" w:sz="0" w:space="0" w:color="auto"/>
        <w:left w:val="none" w:sz="0" w:space="0" w:color="auto"/>
        <w:bottom w:val="none" w:sz="0" w:space="0" w:color="auto"/>
        <w:right w:val="none" w:sz="0" w:space="0" w:color="auto"/>
      </w:divBdr>
    </w:div>
    <w:div w:id="1601259395">
      <w:bodyDiv w:val="1"/>
      <w:marLeft w:val="0"/>
      <w:marRight w:val="0"/>
      <w:marTop w:val="0"/>
      <w:marBottom w:val="0"/>
      <w:divBdr>
        <w:top w:val="none" w:sz="0" w:space="0" w:color="auto"/>
        <w:left w:val="none" w:sz="0" w:space="0" w:color="auto"/>
        <w:bottom w:val="none" w:sz="0" w:space="0" w:color="auto"/>
        <w:right w:val="none" w:sz="0" w:space="0" w:color="auto"/>
      </w:divBdr>
    </w:div>
    <w:div w:id="17109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minetworks.lt/produktai/sviesolaidziu-prasvietimo-lazeris-30mw/" TargetMode="External"/><Relationship Id="rId5" Type="http://schemas.openxmlformats.org/officeDocument/2006/relationships/hyperlink" Target="https://www.varle.lt/kietieji-diskai/ssd-transcend-ssd370-256gb-ts256gssd370s--11711046.html?aff=6be45dfe4c9d714ba7b948b94ae2abb4&amp;utm_source=kaina24.lt&amp;utm_medium=referr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2131</Words>
  <Characters>1215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Jasukaitiene</dc:creator>
  <cp:keywords/>
  <dc:description/>
  <cp:lastModifiedBy>Asta Veličkienė</cp:lastModifiedBy>
  <cp:revision>3</cp:revision>
  <dcterms:created xsi:type="dcterms:W3CDTF">2024-03-28T05:56:00Z</dcterms:created>
  <dcterms:modified xsi:type="dcterms:W3CDTF">2024-03-28T06:01:00Z</dcterms:modified>
</cp:coreProperties>
</file>