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1AFC" w14:textId="2563FB63" w:rsidR="002B6577" w:rsidRDefault="002B6577" w:rsidP="002B6577">
      <w:pPr>
        <w:spacing w:after="0"/>
        <w:jc w:val="right"/>
        <w:rPr>
          <w:rFonts w:cstheme="minorHAnsi"/>
          <w:b/>
        </w:rPr>
      </w:pPr>
      <w:r>
        <w:rPr>
          <w:rFonts w:cstheme="minorHAnsi"/>
          <w:b/>
        </w:rPr>
        <w:t>2 priedas</w:t>
      </w:r>
    </w:p>
    <w:p w14:paraId="4A07CCD1" w14:textId="77777777" w:rsidR="002B6577" w:rsidRDefault="002B6577" w:rsidP="00CC5628">
      <w:pPr>
        <w:spacing w:after="0"/>
        <w:jc w:val="center"/>
        <w:rPr>
          <w:rFonts w:cstheme="minorHAnsi"/>
          <w:b/>
        </w:rPr>
      </w:pPr>
    </w:p>
    <w:p w14:paraId="1AA2978E" w14:textId="54A7F250" w:rsidR="00985794" w:rsidRPr="00E93C23" w:rsidRDefault="00985794" w:rsidP="00CC5628">
      <w:pPr>
        <w:spacing w:after="0"/>
        <w:jc w:val="center"/>
        <w:rPr>
          <w:rFonts w:cstheme="minorHAnsi"/>
          <w:b/>
        </w:rPr>
      </w:pPr>
      <w:r w:rsidRPr="00E93C23">
        <w:rPr>
          <w:rFonts w:cstheme="minorHAnsi"/>
          <w:b/>
        </w:rPr>
        <w:t>TECHNINĖ SPECIFIKACIJA</w:t>
      </w:r>
    </w:p>
    <w:p w14:paraId="6A9CDD7A" w14:textId="77777777" w:rsidR="00985794" w:rsidRPr="00CA00CE" w:rsidRDefault="00985794" w:rsidP="00CC5628">
      <w:pPr>
        <w:spacing w:after="0"/>
        <w:rPr>
          <w:rFonts w:cstheme="minorHAnsi"/>
        </w:rPr>
      </w:pPr>
      <w:r w:rsidRPr="00CA00CE">
        <w:rPr>
          <w:rFonts w:cstheme="minorHAnsi"/>
        </w:rPr>
        <w:t xml:space="preserve"> </w:t>
      </w:r>
    </w:p>
    <w:p w14:paraId="1EE988AF" w14:textId="77777777" w:rsidR="00BA2046" w:rsidRPr="00CA00CE" w:rsidRDefault="00BA2046" w:rsidP="00CC5628">
      <w:pPr>
        <w:pStyle w:val="ListParagraph"/>
        <w:numPr>
          <w:ilvl w:val="0"/>
          <w:numId w:val="1"/>
        </w:numPr>
        <w:suppressAutoHyphens/>
        <w:autoSpaceDN w:val="0"/>
        <w:spacing w:after="0"/>
        <w:ind w:left="284" w:hanging="284"/>
        <w:contextualSpacing w:val="0"/>
        <w:jc w:val="both"/>
        <w:rPr>
          <w:rFonts w:cstheme="minorHAnsi"/>
          <w:b/>
          <w:bCs/>
        </w:rPr>
      </w:pPr>
      <w:r w:rsidRPr="00CA00CE">
        <w:rPr>
          <w:rFonts w:cstheme="minorHAnsi"/>
          <w:b/>
          <w:bCs/>
        </w:rPr>
        <w:t>SĄVOKOS IR SUTRUMPINIMAI</w:t>
      </w:r>
    </w:p>
    <w:p w14:paraId="682CEDFC" w14:textId="4678CF20" w:rsidR="00613893" w:rsidRPr="00F534F9" w:rsidRDefault="00613893" w:rsidP="00F534F9">
      <w:pPr>
        <w:pStyle w:val="ListParagraph"/>
        <w:numPr>
          <w:ilvl w:val="1"/>
          <w:numId w:val="1"/>
        </w:numPr>
        <w:tabs>
          <w:tab w:val="left" w:pos="426"/>
        </w:tabs>
        <w:spacing w:after="0"/>
        <w:ind w:left="0" w:firstLine="0"/>
        <w:jc w:val="both"/>
        <w:rPr>
          <w:rFonts w:cstheme="minorHAnsi"/>
        </w:rPr>
      </w:pPr>
      <w:r w:rsidRPr="00F534F9">
        <w:rPr>
          <w:rFonts w:cstheme="minorHAnsi"/>
        </w:rPr>
        <w:t>Užsakovas (</w:t>
      </w:r>
      <w:r w:rsidR="005B3EBA">
        <w:rPr>
          <w:rFonts w:cstheme="minorHAnsi"/>
        </w:rPr>
        <w:t>Bendrovė</w:t>
      </w:r>
      <w:r w:rsidRPr="00F534F9">
        <w:rPr>
          <w:rFonts w:cstheme="minorHAnsi"/>
        </w:rPr>
        <w:t xml:space="preserve">) – </w:t>
      </w:r>
      <w:r w:rsidR="005B3EBA">
        <w:rPr>
          <w:rFonts w:cstheme="minorHAnsi"/>
        </w:rPr>
        <w:t>akcinė bendrovė</w:t>
      </w:r>
      <w:r w:rsidRPr="00F534F9">
        <w:rPr>
          <w:rFonts w:cstheme="minorHAnsi"/>
        </w:rPr>
        <w:t xml:space="preserve"> „Oro navigacija“;</w:t>
      </w:r>
    </w:p>
    <w:p w14:paraId="1EB2CB4B" w14:textId="635656D3" w:rsidR="00613893" w:rsidRPr="00F534F9" w:rsidRDefault="005F1320" w:rsidP="00F534F9">
      <w:pPr>
        <w:pStyle w:val="ListParagraph"/>
        <w:numPr>
          <w:ilvl w:val="1"/>
          <w:numId w:val="1"/>
        </w:numPr>
        <w:tabs>
          <w:tab w:val="left" w:pos="426"/>
        </w:tabs>
        <w:spacing w:after="0"/>
        <w:ind w:left="0" w:firstLine="0"/>
        <w:jc w:val="both"/>
        <w:rPr>
          <w:rFonts w:cstheme="minorHAnsi"/>
        </w:rPr>
      </w:pPr>
      <w:r w:rsidRPr="00F534F9">
        <w:rPr>
          <w:rFonts w:cstheme="minorHAnsi"/>
        </w:rPr>
        <w:t xml:space="preserve">Paslaugos </w:t>
      </w:r>
      <w:r w:rsidR="00E93C23" w:rsidRPr="00F534F9">
        <w:rPr>
          <w:rFonts w:cstheme="minorHAnsi"/>
        </w:rPr>
        <w:t>t</w:t>
      </w:r>
      <w:r w:rsidR="00613893" w:rsidRPr="00F534F9">
        <w:rPr>
          <w:rFonts w:cstheme="minorHAnsi"/>
        </w:rPr>
        <w:t>e</w:t>
      </w:r>
      <w:r w:rsidR="00E93C23" w:rsidRPr="00F534F9">
        <w:rPr>
          <w:rFonts w:cstheme="minorHAnsi"/>
        </w:rPr>
        <w:t>i</w:t>
      </w:r>
      <w:r w:rsidR="00613893" w:rsidRPr="00F534F9">
        <w:rPr>
          <w:rFonts w:cstheme="minorHAnsi"/>
        </w:rPr>
        <w:t>kėjas – ūkio subjektas – fizinis asmuo, privatusis juridinis asmuo, viešasis juridinis asmuo, kitos organizacijos ir jų padaliniai ar tokių asmenų grupė, su kuriuo Užsakovas sudaro Sutartį;</w:t>
      </w:r>
    </w:p>
    <w:p w14:paraId="4C2DCFF1" w14:textId="72AA8290" w:rsidR="00613893" w:rsidRPr="00F534F9" w:rsidRDefault="00613893" w:rsidP="00F534F9">
      <w:pPr>
        <w:pStyle w:val="ListParagraph"/>
        <w:numPr>
          <w:ilvl w:val="1"/>
          <w:numId w:val="1"/>
        </w:numPr>
        <w:tabs>
          <w:tab w:val="left" w:pos="426"/>
        </w:tabs>
        <w:spacing w:after="0"/>
        <w:ind w:left="0" w:firstLine="0"/>
        <w:jc w:val="both"/>
        <w:rPr>
          <w:rFonts w:cstheme="minorHAnsi"/>
        </w:rPr>
      </w:pPr>
      <w:r w:rsidRPr="00F534F9">
        <w:rPr>
          <w:rFonts w:cstheme="minorHAnsi"/>
        </w:rPr>
        <w:t xml:space="preserve">Sutartis – Sutartis, sudaroma tarp </w:t>
      </w:r>
      <w:r w:rsidR="00E93C23" w:rsidRPr="00F534F9">
        <w:rPr>
          <w:rFonts w:cstheme="minorHAnsi"/>
        </w:rPr>
        <w:t>Paslaugos teikėjo</w:t>
      </w:r>
      <w:r w:rsidRPr="00F534F9">
        <w:rPr>
          <w:rFonts w:cstheme="minorHAnsi"/>
        </w:rPr>
        <w:t xml:space="preserve"> ir Užsakovo dėl Paslaugų suteikimo;</w:t>
      </w:r>
    </w:p>
    <w:p w14:paraId="52BBF71D" w14:textId="504B9862" w:rsidR="00BA2046" w:rsidRPr="00F534F9" w:rsidRDefault="00BA2046" w:rsidP="00F534F9">
      <w:pPr>
        <w:pStyle w:val="ListParagraph"/>
        <w:numPr>
          <w:ilvl w:val="1"/>
          <w:numId w:val="1"/>
        </w:numPr>
        <w:tabs>
          <w:tab w:val="left" w:pos="426"/>
        </w:tabs>
        <w:suppressAutoHyphens/>
        <w:autoSpaceDN w:val="0"/>
        <w:spacing w:after="0"/>
        <w:ind w:left="0" w:firstLine="0"/>
        <w:jc w:val="both"/>
        <w:rPr>
          <w:rFonts w:cstheme="minorHAnsi"/>
        </w:rPr>
      </w:pPr>
      <w:r w:rsidRPr="00F534F9">
        <w:rPr>
          <w:rFonts w:cstheme="minorHAnsi"/>
        </w:rPr>
        <w:t>ŠESD – šiltnamio efektą sukeliančios dujos</w:t>
      </w:r>
      <w:r w:rsidR="00F10719" w:rsidRPr="00F534F9">
        <w:rPr>
          <w:rFonts w:cstheme="minorHAnsi"/>
        </w:rPr>
        <w:t>.</w:t>
      </w:r>
    </w:p>
    <w:p w14:paraId="66BE9DC6" w14:textId="6BCDC1A9" w:rsidR="002472CD" w:rsidRPr="00F534F9" w:rsidRDefault="002472CD" w:rsidP="00F534F9">
      <w:pPr>
        <w:pStyle w:val="ListParagraph"/>
        <w:numPr>
          <w:ilvl w:val="1"/>
          <w:numId w:val="1"/>
        </w:numPr>
        <w:tabs>
          <w:tab w:val="left" w:pos="426"/>
        </w:tabs>
        <w:suppressAutoHyphens/>
        <w:autoSpaceDN w:val="0"/>
        <w:spacing w:after="0"/>
        <w:ind w:left="0" w:firstLine="0"/>
        <w:jc w:val="both"/>
        <w:rPr>
          <w:rFonts w:cstheme="minorHAnsi"/>
        </w:rPr>
      </w:pPr>
      <w:r w:rsidRPr="00F534F9">
        <w:rPr>
          <w:rFonts w:cstheme="minorHAnsi"/>
        </w:rPr>
        <w:t xml:space="preserve">GHG – </w:t>
      </w:r>
      <w:r w:rsidR="0053510E" w:rsidRPr="00F534F9">
        <w:rPr>
          <w:rFonts w:cstheme="minorHAnsi"/>
        </w:rPr>
        <w:t xml:space="preserve">angl. </w:t>
      </w:r>
      <w:proofErr w:type="spellStart"/>
      <w:r w:rsidR="0053510E" w:rsidRPr="00F534F9">
        <w:rPr>
          <w:rFonts w:cstheme="minorHAnsi"/>
        </w:rPr>
        <w:t>the</w:t>
      </w:r>
      <w:proofErr w:type="spellEnd"/>
      <w:r w:rsidR="0053510E" w:rsidRPr="00F534F9">
        <w:rPr>
          <w:rFonts w:cstheme="minorHAnsi"/>
        </w:rPr>
        <w:t xml:space="preserve"> </w:t>
      </w:r>
      <w:proofErr w:type="spellStart"/>
      <w:r w:rsidRPr="00F534F9">
        <w:rPr>
          <w:rFonts w:cstheme="minorHAnsi"/>
        </w:rPr>
        <w:t>Greenhouse</w:t>
      </w:r>
      <w:proofErr w:type="spellEnd"/>
      <w:r w:rsidRPr="00F534F9">
        <w:rPr>
          <w:rFonts w:cstheme="minorHAnsi"/>
        </w:rPr>
        <w:t xml:space="preserve"> </w:t>
      </w:r>
      <w:proofErr w:type="spellStart"/>
      <w:r w:rsidRPr="00F534F9">
        <w:rPr>
          <w:rFonts w:cstheme="minorHAnsi"/>
        </w:rPr>
        <w:t>gas</w:t>
      </w:r>
      <w:proofErr w:type="spellEnd"/>
      <w:r w:rsidRPr="00F534F9">
        <w:rPr>
          <w:rFonts w:cstheme="minorHAnsi"/>
        </w:rPr>
        <w:t xml:space="preserve"> </w:t>
      </w:r>
      <w:proofErr w:type="spellStart"/>
      <w:r w:rsidRPr="00F534F9">
        <w:rPr>
          <w:rFonts w:cstheme="minorHAnsi"/>
        </w:rPr>
        <w:t>protocol</w:t>
      </w:r>
      <w:proofErr w:type="spellEnd"/>
      <w:r w:rsidRPr="00F534F9">
        <w:rPr>
          <w:rFonts w:cstheme="minorHAnsi"/>
        </w:rPr>
        <w:t xml:space="preserve">. </w:t>
      </w:r>
    </w:p>
    <w:p w14:paraId="011DF468" w14:textId="5430A862" w:rsidR="00CA00CE" w:rsidRDefault="00CA00CE" w:rsidP="00F534F9">
      <w:pPr>
        <w:pStyle w:val="ListParagraph"/>
        <w:numPr>
          <w:ilvl w:val="1"/>
          <w:numId w:val="1"/>
        </w:numPr>
        <w:tabs>
          <w:tab w:val="left" w:pos="426"/>
        </w:tabs>
        <w:suppressAutoHyphens/>
        <w:autoSpaceDN w:val="0"/>
        <w:spacing w:after="0"/>
        <w:ind w:left="0" w:firstLine="0"/>
        <w:jc w:val="both"/>
        <w:rPr>
          <w:rFonts w:cstheme="minorHAnsi"/>
        </w:rPr>
      </w:pPr>
      <w:r w:rsidRPr="00F534F9">
        <w:rPr>
          <w:rFonts w:cstheme="minorHAnsi"/>
        </w:rPr>
        <w:t xml:space="preserve">Paslauga </w:t>
      </w:r>
      <w:r w:rsidR="00E93C23" w:rsidRPr="00F534F9">
        <w:rPr>
          <w:rFonts w:cstheme="minorHAnsi"/>
        </w:rPr>
        <w:t>–</w:t>
      </w:r>
      <w:r w:rsidRPr="00F534F9">
        <w:rPr>
          <w:rFonts w:cstheme="minorHAnsi"/>
        </w:rPr>
        <w:t xml:space="preserve"> </w:t>
      </w:r>
      <w:r w:rsidR="005B3EBA">
        <w:rPr>
          <w:rFonts w:cstheme="minorHAnsi"/>
        </w:rPr>
        <w:t>Bendrovės</w:t>
      </w:r>
      <w:r w:rsidRPr="00F534F9">
        <w:rPr>
          <w:rFonts w:cstheme="minorHAnsi"/>
        </w:rPr>
        <w:t xml:space="preserve"> veiklo</w:t>
      </w:r>
      <w:r w:rsidR="008A0A68" w:rsidRPr="00F534F9">
        <w:rPr>
          <w:rFonts w:cstheme="minorHAnsi"/>
        </w:rPr>
        <w:t>s</w:t>
      </w:r>
      <w:r w:rsidRPr="00F534F9">
        <w:rPr>
          <w:rFonts w:cstheme="minorHAnsi"/>
        </w:rPr>
        <w:t xml:space="preserve"> generuojamo šiltnamio efektą sukeliančių dujų (ŠESD) pėdsako </w:t>
      </w:r>
      <w:r w:rsidR="00622F18" w:rsidRPr="00F534F9">
        <w:rPr>
          <w:rFonts w:cstheme="minorHAnsi"/>
        </w:rPr>
        <w:t>inventorizavimas ir apskaičiavimas</w:t>
      </w:r>
      <w:r w:rsidRPr="00F534F9">
        <w:rPr>
          <w:rFonts w:cstheme="minorHAnsi"/>
        </w:rPr>
        <w:t>.</w:t>
      </w:r>
    </w:p>
    <w:p w14:paraId="338C950F" w14:textId="3C52EA0A" w:rsidR="005B3EBA" w:rsidRPr="00F534F9" w:rsidRDefault="00686F19" w:rsidP="00F534F9">
      <w:pPr>
        <w:pStyle w:val="ListParagraph"/>
        <w:numPr>
          <w:ilvl w:val="1"/>
          <w:numId w:val="1"/>
        </w:numPr>
        <w:tabs>
          <w:tab w:val="left" w:pos="426"/>
        </w:tabs>
        <w:suppressAutoHyphens/>
        <w:autoSpaceDN w:val="0"/>
        <w:spacing w:after="0"/>
        <w:ind w:left="0" w:firstLine="0"/>
        <w:jc w:val="both"/>
        <w:rPr>
          <w:rFonts w:cstheme="minorHAnsi"/>
        </w:rPr>
      </w:pPr>
      <w:r>
        <w:rPr>
          <w:rFonts w:cstheme="minorHAnsi"/>
        </w:rPr>
        <w:t>Vertinimo Bendrovė</w:t>
      </w:r>
      <w:r w:rsidR="005B3EBA">
        <w:rPr>
          <w:rFonts w:cstheme="minorHAnsi"/>
        </w:rPr>
        <w:t xml:space="preserve"> </w:t>
      </w:r>
      <w:r>
        <w:rPr>
          <w:rFonts w:cstheme="minorHAnsi"/>
        </w:rPr>
        <w:t>–</w:t>
      </w:r>
      <w:r w:rsidR="005B3EBA">
        <w:rPr>
          <w:rFonts w:cstheme="minorHAnsi"/>
        </w:rPr>
        <w:t xml:space="preserve"> </w:t>
      </w:r>
      <w:r>
        <w:rPr>
          <w:rFonts w:cstheme="minorHAnsi"/>
        </w:rPr>
        <w:t>nepriklausoma audito įmonė.</w:t>
      </w:r>
    </w:p>
    <w:p w14:paraId="7535E10A" w14:textId="77777777" w:rsidR="00BA2046" w:rsidRPr="00CA00CE" w:rsidRDefault="00BA2046" w:rsidP="00CC5628">
      <w:pPr>
        <w:suppressAutoHyphens/>
        <w:autoSpaceDN w:val="0"/>
        <w:spacing w:after="0"/>
        <w:jc w:val="both"/>
        <w:rPr>
          <w:rFonts w:cstheme="minorHAnsi"/>
          <w:b/>
          <w:bCs/>
        </w:rPr>
      </w:pPr>
    </w:p>
    <w:p w14:paraId="2F0743BB" w14:textId="77777777" w:rsidR="00BA2046" w:rsidRPr="00CA00CE" w:rsidRDefault="00BA2046" w:rsidP="00CC5628">
      <w:pPr>
        <w:pStyle w:val="ListParagraph"/>
        <w:numPr>
          <w:ilvl w:val="0"/>
          <w:numId w:val="1"/>
        </w:numPr>
        <w:suppressAutoHyphens/>
        <w:autoSpaceDN w:val="0"/>
        <w:spacing w:after="0"/>
        <w:ind w:left="284" w:hanging="284"/>
        <w:contextualSpacing w:val="0"/>
        <w:jc w:val="both"/>
        <w:rPr>
          <w:rFonts w:cstheme="minorHAnsi"/>
          <w:b/>
          <w:bCs/>
        </w:rPr>
      </w:pPr>
      <w:r w:rsidRPr="00CA00CE">
        <w:rPr>
          <w:rFonts w:cstheme="minorHAnsi"/>
          <w:b/>
          <w:bCs/>
        </w:rPr>
        <w:t xml:space="preserve">PIRKIMO OBJEKTAS: </w:t>
      </w:r>
    </w:p>
    <w:p w14:paraId="4F22E8CB" w14:textId="333DB1A5" w:rsidR="00BA2046" w:rsidRPr="00CA00CE" w:rsidRDefault="005B3EBA" w:rsidP="00F534F9">
      <w:pPr>
        <w:pStyle w:val="ListParagraph"/>
        <w:numPr>
          <w:ilvl w:val="1"/>
          <w:numId w:val="1"/>
        </w:numPr>
        <w:tabs>
          <w:tab w:val="left" w:pos="426"/>
        </w:tabs>
        <w:suppressAutoHyphens/>
        <w:autoSpaceDN w:val="0"/>
        <w:spacing w:after="0"/>
        <w:ind w:left="0" w:firstLine="0"/>
        <w:contextualSpacing w:val="0"/>
        <w:jc w:val="both"/>
        <w:rPr>
          <w:rFonts w:cstheme="minorHAnsi"/>
        </w:rPr>
      </w:pPr>
      <w:r>
        <w:rPr>
          <w:rFonts w:cstheme="minorHAnsi"/>
        </w:rPr>
        <w:t>Bendrovės</w:t>
      </w:r>
      <w:r w:rsidR="00BA2046" w:rsidRPr="00CA00CE">
        <w:rPr>
          <w:rFonts w:cstheme="minorHAnsi"/>
        </w:rPr>
        <w:t xml:space="preserve"> veikloje </w:t>
      </w:r>
      <w:r>
        <w:rPr>
          <w:rFonts w:cstheme="minorHAnsi"/>
        </w:rPr>
        <w:t xml:space="preserve">2022 ir 2023 metai </w:t>
      </w:r>
      <w:r w:rsidR="00BA2046" w:rsidRPr="00CA00CE">
        <w:rPr>
          <w:rFonts w:cstheme="minorHAnsi"/>
        </w:rPr>
        <w:t xml:space="preserve">generuojamo šiltnamio efektą sukeliančių dujų (ŠESD) pėdsako </w:t>
      </w:r>
      <w:r w:rsidR="00622F18">
        <w:rPr>
          <w:rFonts w:cstheme="minorHAnsi"/>
        </w:rPr>
        <w:t>inventorizavimas ir apskaičiavimas</w:t>
      </w:r>
      <w:r w:rsidR="00622F18" w:rsidRPr="00CA00CE" w:rsidDel="00622F18">
        <w:rPr>
          <w:rFonts w:cstheme="minorHAnsi"/>
        </w:rPr>
        <w:t xml:space="preserve"> </w:t>
      </w:r>
      <w:r w:rsidR="00BA2046" w:rsidRPr="00CA00CE">
        <w:rPr>
          <w:rFonts w:cstheme="minorHAnsi"/>
        </w:rPr>
        <w:t>taikant GHG protokolo metodiką</w:t>
      </w:r>
      <w:r w:rsidR="008A0A68">
        <w:rPr>
          <w:rFonts w:cstheme="minorHAnsi"/>
        </w:rPr>
        <w:t>.</w:t>
      </w:r>
    </w:p>
    <w:p w14:paraId="09498B7E" w14:textId="77777777" w:rsidR="00BA2046" w:rsidRPr="00CA00CE" w:rsidRDefault="00BA2046" w:rsidP="00CC5628">
      <w:pPr>
        <w:pStyle w:val="ListParagraph"/>
        <w:suppressAutoHyphens/>
        <w:autoSpaceDN w:val="0"/>
        <w:spacing w:after="0"/>
        <w:contextualSpacing w:val="0"/>
        <w:jc w:val="both"/>
        <w:rPr>
          <w:rFonts w:cstheme="minorHAnsi"/>
          <w:b/>
          <w:bCs/>
        </w:rPr>
      </w:pPr>
    </w:p>
    <w:p w14:paraId="657908C8" w14:textId="5C5A6B1F" w:rsidR="00BA2046" w:rsidRDefault="00BA2046" w:rsidP="00CC5628">
      <w:pPr>
        <w:pStyle w:val="ListParagraph"/>
        <w:numPr>
          <w:ilvl w:val="0"/>
          <w:numId w:val="1"/>
        </w:numPr>
        <w:suppressAutoHyphens/>
        <w:autoSpaceDN w:val="0"/>
        <w:spacing w:after="0"/>
        <w:ind w:left="284" w:hanging="284"/>
        <w:jc w:val="both"/>
        <w:rPr>
          <w:rFonts w:cstheme="minorHAnsi"/>
          <w:b/>
          <w:bCs/>
        </w:rPr>
      </w:pPr>
      <w:r w:rsidRPr="00CA00CE">
        <w:rPr>
          <w:rFonts w:cstheme="minorHAnsi"/>
          <w:b/>
          <w:bCs/>
        </w:rPr>
        <w:t>APIE ĮMONĘ</w:t>
      </w:r>
    </w:p>
    <w:p w14:paraId="46291462" w14:textId="48FB2A82" w:rsidR="0066200F" w:rsidRPr="0066200F" w:rsidRDefault="005B3EBA" w:rsidP="00F534F9">
      <w:pPr>
        <w:pStyle w:val="ListParagraph"/>
        <w:numPr>
          <w:ilvl w:val="1"/>
          <w:numId w:val="1"/>
        </w:numPr>
        <w:tabs>
          <w:tab w:val="left" w:pos="426"/>
        </w:tabs>
        <w:suppressAutoHyphens/>
        <w:autoSpaceDN w:val="0"/>
        <w:spacing w:after="0"/>
        <w:ind w:left="0" w:firstLine="0"/>
        <w:jc w:val="both"/>
        <w:rPr>
          <w:rFonts w:cstheme="minorHAnsi"/>
          <w:bCs/>
        </w:rPr>
      </w:pPr>
      <w:r>
        <w:rPr>
          <w:rFonts w:cstheme="minorHAnsi"/>
          <w:bCs/>
        </w:rPr>
        <w:t>Akcinė bendrovė</w:t>
      </w:r>
      <w:r w:rsidR="0066200F">
        <w:rPr>
          <w:rFonts w:cstheme="minorHAnsi"/>
          <w:bCs/>
        </w:rPr>
        <w:t xml:space="preserve"> „Oro navigacija“ serti</w:t>
      </w:r>
      <w:r w:rsidR="00DB6F9D">
        <w:rPr>
          <w:rFonts w:cstheme="minorHAnsi"/>
          <w:bCs/>
        </w:rPr>
        <w:t>fikuota Europos oro naviga</w:t>
      </w:r>
      <w:r w:rsidR="0066200F">
        <w:rPr>
          <w:rFonts w:cstheme="minorHAnsi"/>
          <w:bCs/>
        </w:rPr>
        <w:t xml:space="preserve">cijos paslaugų teikėja, teikianti oro eismo valdymo, ryšių, navigacijos ir stebėjimo bei oro navigacijos informacijos paslaugas visoje Lietuvos Respublikos oro erdvėje, taip pat virš teritorinių vandenų bei Baltijos jūros oro erdvės, kuri įeina į Vilniaus skrydžių informacijos regioną. </w:t>
      </w:r>
      <w:r>
        <w:rPr>
          <w:rFonts w:cstheme="minorHAnsi"/>
          <w:bCs/>
        </w:rPr>
        <w:t>Bendrovė</w:t>
      </w:r>
      <w:r w:rsidR="0066200F">
        <w:rPr>
          <w:rFonts w:cstheme="minorHAnsi"/>
          <w:bCs/>
        </w:rPr>
        <w:t xml:space="preserve"> taip pat užtikrina nuolatinę Aeronautikos gelbėjimo koordinacinio centro veiklą, paieškų ir gelbėjimo darbų, įvykus orlaivio avarijai, organizavimą ir koordinavimą.</w:t>
      </w:r>
    </w:p>
    <w:p w14:paraId="2180B1D4" w14:textId="77AA0C4B" w:rsidR="005516A1" w:rsidRPr="00F534F9" w:rsidRDefault="005B3EBA" w:rsidP="00F534F9">
      <w:pPr>
        <w:pStyle w:val="ListParagraph"/>
        <w:numPr>
          <w:ilvl w:val="1"/>
          <w:numId w:val="1"/>
        </w:numPr>
        <w:tabs>
          <w:tab w:val="left" w:pos="426"/>
        </w:tabs>
        <w:spacing w:after="0"/>
        <w:ind w:left="0" w:firstLine="0"/>
        <w:jc w:val="both"/>
        <w:rPr>
          <w:rFonts w:cstheme="minorHAnsi"/>
        </w:rPr>
      </w:pPr>
      <w:r>
        <w:rPr>
          <w:rFonts w:cstheme="minorHAnsi"/>
        </w:rPr>
        <w:t>Bendrovė</w:t>
      </w:r>
      <w:r w:rsidR="002C118B" w:rsidRPr="00F534F9">
        <w:rPr>
          <w:rFonts w:cstheme="minorHAnsi"/>
        </w:rPr>
        <w:t xml:space="preserve"> paslaugas teikia </w:t>
      </w:r>
      <w:r w:rsidR="00CF4BAB" w:rsidRPr="00F534F9">
        <w:rPr>
          <w:rFonts w:cstheme="minorHAnsi"/>
        </w:rPr>
        <w:t>naudodama</w:t>
      </w:r>
      <w:r w:rsidR="002C118B" w:rsidRPr="00F534F9">
        <w:rPr>
          <w:rFonts w:cstheme="minorHAnsi"/>
        </w:rPr>
        <w:t xml:space="preserve"> patikėjimo teise valdomą infrastruktūrą</w:t>
      </w:r>
      <w:r w:rsidR="00CF4BAB" w:rsidRPr="00F534F9">
        <w:rPr>
          <w:rFonts w:cstheme="minorHAnsi"/>
        </w:rPr>
        <w:t xml:space="preserve">: Vilniaus regiono, Vilniaus aerodromo, Kauno aerodromo, Palangos aerodromo skrydžių valdymo </w:t>
      </w:r>
      <w:r w:rsidR="00681979" w:rsidRPr="00F534F9">
        <w:rPr>
          <w:rFonts w:cstheme="minorHAnsi"/>
        </w:rPr>
        <w:t>centrai,</w:t>
      </w:r>
      <w:r w:rsidR="00CF4BAB" w:rsidRPr="00F534F9">
        <w:rPr>
          <w:rFonts w:cstheme="minorHAnsi"/>
        </w:rPr>
        <w:t xml:space="preserve"> </w:t>
      </w:r>
      <w:r w:rsidR="00681979" w:rsidRPr="00F534F9">
        <w:rPr>
          <w:rFonts w:cstheme="minorHAnsi"/>
        </w:rPr>
        <w:t>t</w:t>
      </w:r>
      <w:r w:rsidR="00CF4BAB" w:rsidRPr="00F534F9">
        <w:rPr>
          <w:rFonts w:cstheme="minorHAnsi"/>
        </w:rPr>
        <w:t xml:space="preserve">echnologinė įranga  įrengta </w:t>
      </w:r>
      <w:r w:rsidR="00B34657" w:rsidRPr="00F534F9">
        <w:rPr>
          <w:rFonts w:cstheme="minorHAnsi"/>
        </w:rPr>
        <w:t>Lietuvos tarptautiniuose aerodromų (</w:t>
      </w:r>
      <w:r w:rsidR="00CF4BAB" w:rsidRPr="00F534F9">
        <w:rPr>
          <w:rFonts w:cstheme="minorHAnsi"/>
        </w:rPr>
        <w:t>Vilniau</w:t>
      </w:r>
      <w:r w:rsidR="007A3780" w:rsidRPr="00F534F9">
        <w:rPr>
          <w:rFonts w:cstheme="minorHAnsi"/>
        </w:rPr>
        <w:t>s, Kauno, Palangos</w:t>
      </w:r>
      <w:r w:rsidR="00B34657" w:rsidRPr="00F534F9">
        <w:rPr>
          <w:rFonts w:cstheme="minorHAnsi"/>
        </w:rPr>
        <w:t>)</w:t>
      </w:r>
      <w:r w:rsidR="007A3780" w:rsidRPr="00F534F9">
        <w:rPr>
          <w:rFonts w:cstheme="minorHAnsi"/>
        </w:rPr>
        <w:t xml:space="preserve"> teritorijose</w:t>
      </w:r>
      <w:r w:rsidR="00CF4BAB" w:rsidRPr="00F534F9">
        <w:rPr>
          <w:rFonts w:cstheme="minorHAnsi"/>
        </w:rPr>
        <w:t xml:space="preserve"> </w:t>
      </w:r>
      <w:r w:rsidR="007A3780" w:rsidRPr="00F534F9">
        <w:rPr>
          <w:rFonts w:cstheme="minorHAnsi"/>
        </w:rPr>
        <w:t xml:space="preserve">ir </w:t>
      </w:r>
      <w:r w:rsidR="00CF4BAB" w:rsidRPr="00F534F9">
        <w:rPr>
          <w:rFonts w:cstheme="minorHAnsi"/>
        </w:rPr>
        <w:t>nutolusiuose objektuose</w:t>
      </w:r>
      <w:r w:rsidR="007A3780" w:rsidRPr="00F534F9">
        <w:rPr>
          <w:rFonts w:cstheme="minorHAnsi"/>
        </w:rPr>
        <w:t>. Šiaulių aerodromo skrydžių valdymo centre paslaugos teikiamos naudojantis KAM (Krašto apsaugo</w:t>
      </w:r>
      <w:r w:rsidR="00E93C23" w:rsidRPr="00F534F9">
        <w:rPr>
          <w:rFonts w:cstheme="minorHAnsi"/>
        </w:rPr>
        <w:t>s ministerijos) infrastruktūra:</w:t>
      </w:r>
    </w:p>
    <w:tbl>
      <w:tblPr>
        <w:tblStyle w:val="TableGrid"/>
        <w:tblW w:w="0" w:type="auto"/>
        <w:tblLook w:val="04A0" w:firstRow="1" w:lastRow="0" w:firstColumn="1" w:lastColumn="0" w:noHBand="0" w:noVBand="1"/>
      </w:tblPr>
      <w:tblGrid>
        <w:gridCol w:w="824"/>
        <w:gridCol w:w="2715"/>
        <w:gridCol w:w="2410"/>
        <w:gridCol w:w="1180"/>
        <w:gridCol w:w="774"/>
        <w:gridCol w:w="924"/>
        <w:gridCol w:w="801"/>
      </w:tblGrid>
      <w:tr w:rsidR="002C118B" w14:paraId="0A815F08" w14:textId="77777777" w:rsidTr="00CC5628">
        <w:tc>
          <w:tcPr>
            <w:tcW w:w="824" w:type="dxa"/>
            <w:vAlign w:val="center"/>
          </w:tcPr>
          <w:p w14:paraId="354769ED" w14:textId="77777777" w:rsidR="002C118B" w:rsidRPr="00E93C23" w:rsidRDefault="002C118B" w:rsidP="00CC5628">
            <w:pPr>
              <w:spacing w:line="259" w:lineRule="auto"/>
              <w:jc w:val="center"/>
              <w:rPr>
                <w:b/>
              </w:rPr>
            </w:pPr>
            <w:r w:rsidRPr="00E93C23">
              <w:rPr>
                <w:b/>
              </w:rPr>
              <w:t>Eil. Nr.</w:t>
            </w:r>
          </w:p>
        </w:tc>
        <w:tc>
          <w:tcPr>
            <w:tcW w:w="2715" w:type="dxa"/>
            <w:vAlign w:val="center"/>
          </w:tcPr>
          <w:p w14:paraId="0FB78783" w14:textId="77777777" w:rsidR="002C118B" w:rsidRPr="00E93C23" w:rsidRDefault="002C118B" w:rsidP="00CC5628">
            <w:pPr>
              <w:spacing w:line="259" w:lineRule="auto"/>
              <w:jc w:val="center"/>
              <w:rPr>
                <w:b/>
              </w:rPr>
            </w:pPr>
            <w:r w:rsidRPr="00E93C23">
              <w:rPr>
                <w:b/>
              </w:rPr>
              <w:t>Nekilnojamojo turto pavadinimas</w:t>
            </w:r>
          </w:p>
        </w:tc>
        <w:tc>
          <w:tcPr>
            <w:tcW w:w="2410" w:type="dxa"/>
            <w:vAlign w:val="center"/>
          </w:tcPr>
          <w:p w14:paraId="0ED65AF9" w14:textId="77777777" w:rsidR="002C118B" w:rsidRPr="00E93C23" w:rsidRDefault="002C118B" w:rsidP="00CC5628">
            <w:pPr>
              <w:spacing w:line="259" w:lineRule="auto"/>
              <w:jc w:val="center"/>
              <w:rPr>
                <w:b/>
              </w:rPr>
            </w:pPr>
            <w:r w:rsidRPr="00E93C23">
              <w:rPr>
                <w:b/>
              </w:rPr>
              <w:t>Adresas</w:t>
            </w:r>
          </w:p>
        </w:tc>
        <w:tc>
          <w:tcPr>
            <w:tcW w:w="1180" w:type="dxa"/>
            <w:vAlign w:val="center"/>
          </w:tcPr>
          <w:p w14:paraId="780D66A7" w14:textId="3E831F32" w:rsidR="002C118B" w:rsidRPr="00E93C23" w:rsidRDefault="002C118B" w:rsidP="00CC5628">
            <w:pPr>
              <w:spacing w:line="259" w:lineRule="auto"/>
              <w:jc w:val="center"/>
              <w:rPr>
                <w:b/>
              </w:rPr>
            </w:pPr>
            <w:r w:rsidRPr="00E93C23">
              <w:rPr>
                <w:b/>
              </w:rPr>
              <w:t>Bendras  plotas</w:t>
            </w:r>
            <w:r w:rsidR="00E93C23">
              <w:rPr>
                <w:b/>
              </w:rPr>
              <w:t>,</w:t>
            </w:r>
            <w:r w:rsidRPr="00E93C23">
              <w:rPr>
                <w:b/>
              </w:rPr>
              <w:t xml:space="preserve"> m2</w:t>
            </w:r>
          </w:p>
        </w:tc>
        <w:tc>
          <w:tcPr>
            <w:tcW w:w="774" w:type="dxa"/>
            <w:vAlign w:val="center"/>
          </w:tcPr>
          <w:p w14:paraId="35281625" w14:textId="2E3B92FF" w:rsidR="002C118B" w:rsidRPr="00E93C23" w:rsidRDefault="002C118B" w:rsidP="00CC5628">
            <w:pPr>
              <w:spacing w:line="259" w:lineRule="auto"/>
              <w:jc w:val="center"/>
              <w:rPr>
                <w:b/>
              </w:rPr>
            </w:pPr>
            <w:r w:rsidRPr="00E93C23">
              <w:rPr>
                <w:b/>
              </w:rPr>
              <w:t>Tūris</w:t>
            </w:r>
            <w:r w:rsidR="00E93C23">
              <w:rPr>
                <w:b/>
              </w:rPr>
              <w:t>,</w:t>
            </w:r>
            <w:r w:rsidRPr="00E93C23">
              <w:rPr>
                <w:b/>
              </w:rPr>
              <w:t xml:space="preserve"> m3</w:t>
            </w:r>
          </w:p>
        </w:tc>
        <w:tc>
          <w:tcPr>
            <w:tcW w:w="924" w:type="dxa"/>
            <w:vAlign w:val="center"/>
          </w:tcPr>
          <w:p w14:paraId="69C39B1A" w14:textId="3BF7FF19" w:rsidR="002C118B" w:rsidRPr="00E93C23" w:rsidRDefault="002C118B" w:rsidP="00CC5628">
            <w:pPr>
              <w:spacing w:line="259" w:lineRule="auto"/>
              <w:jc w:val="center"/>
              <w:rPr>
                <w:b/>
              </w:rPr>
            </w:pPr>
            <w:r w:rsidRPr="00E93C23">
              <w:rPr>
                <w:b/>
              </w:rPr>
              <w:t>Aukštų skaičius</w:t>
            </w:r>
          </w:p>
        </w:tc>
        <w:tc>
          <w:tcPr>
            <w:tcW w:w="801" w:type="dxa"/>
            <w:vAlign w:val="center"/>
          </w:tcPr>
          <w:p w14:paraId="10222F68" w14:textId="77777777" w:rsidR="002C118B" w:rsidRPr="00E93C23" w:rsidRDefault="002C118B" w:rsidP="00CC5628">
            <w:pPr>
              <w:spacing w:line="259" w:lineRule="auto"/>
              <w:jc w:val="center"/>
              <w:rPr>
                <w:b/>
              </w:rPr>
            </w:pPr>
            <w:r w:rsidRPr="00E93C23">
              <w:rPr>
                <w:b/>
              </w:rPr>
              <w:t>Metai</w:t>
            </w:r>
          </w:p>
        </w:tc>
      </w:tr>
      <w:tr w:rsidR="002C118B" w14:paraId="459CB074" w14:textId="77777777" w:rsidTr="00CC5628">
        <w:tc>
          <w:tcPr>
            <w:tcW w:w="824" w:type="dxa"/>
            <w:vAlign w:val="center"/>
          </w:tcPr>
          <w:p w14:paraId="20277CDE" w14:textId="77777777" w:rsidR="002C118B" w:rsidRDefault="002C118B" w:rsidP="00CC5628">
            <w:pPr>
              <w:spacing w:line="259" w:lineRule="auto"/>
              <w:jc w:val="center"/>
            </w:pPr>
            <w:r>
              <w:t>1.</w:t>
            </w:r>
          </w:p>
        </w:tc>
        <w:tc>
          <w:tcPr>
            <w:tcW w:w="2715" w:type="dxa"/>
            <w:vAlign w:val="center"/>
          </w:tcPr>
          <w:p w14:paraId="25EE04A7" w14:textId="77777777" w:rsidR="002C118B" w:rsidRDefault="002C118B" w:rsidP="00CC5628">
            <w:pPr>
              <w:spacing w:line="259" w:lineRule="auto"/>
            </w:pPr>
            <w:r>
              <w:t>Administracinis korpusas</w:t>
            </w:r>
          </w:p>
        </w:tc>
        <w:tc>
          <w:tcPr>
            <w:tcW w:w="2410" w:type="dxa"/>
            <w:vAlign w:val="center"/>
          </w:tcPr>
          <w:p w14:paraId="37353064" w14:textId="77777777" w:rsidR="002C118B" w:rsidRDefault="002C118B" w:rsidP="00CC5628">
            <w:pPr>
              <w:spacing w:line="259" w:lineRule="auto"/>
              <w:jc w:val="center"/>
            </w:pPr>
            <w:r>
              <w:t>Balio karvelio 25, Vilnius</w:t>
            </w:r>
          </w:p>
        </w:tc>
        <w:tc>
          <w:tcPr>
            <w:tcW w:w="1180" w:type="dxa"/>
            <w:vAlign w:val="center"/>
          </w:tcPr>
          <w:p w14:paraId="0E8E4F3D" w14:textId="77777777" w:rsidR="002C118B" w:rsidRDefault="002C118B" w:rsidP="00CC5628">
            <w:pPr>
              <w:spacing w:line="259" w:lineRule="auto"/>
              <w:jc w:val="center"/>
            </w:pPr>
            <w:r>
              <w:t>2401,77</w:t>
            </w:r>
          </w:p>
        </w:tc>
        <w:tc>
          <w:tcPr>
            <w:tcW w:w="774" w:type="dxa"/>
            <w:vAlign w:val="center"/>
          </w:tcPr>
          <w:p w14:paraId="048281A6" w14:textId="77777777" w:rsidR="002C118B" w:rsidRDefault="002C118B" w:rsidP="00CC5628">
            <w:pPr>
              <w:spacing w:line="259" w:lineRule="auto"/>
              <w:jc w:val="center"/>
            </w:pPr>
            <w:r>
              <w:t>14512</w:t>
            </w:r>
          </w:p>
        </w:tc>
        <w:tc>
          <w:tcPr>
            <w:tcW w:w="924" w:type="dxa"/>
            <w:vAlign w:val="center"/>
          </w:tcPr>
          <w:p w14:paraId="1DB47069" w14:textId="77777777" w:rsidR="002C118B" w:rsidRDefault="002C118B" w:rsidP="00CC5628">
            <w:pPr>
              <w:spacing w:line="259" w:lineRule="auto"/>
              <w:jc w:val="center"/>
            </w:pPr>
            <w:r>
              <w:t>2</w:t>
            </w:r>
          </w:p>
        </w:tc>
        <w:tc>
          <w:tcPr>
            <w:tcW w:w="801" w:type="dxa"/>
            <w:vAlign w:val="center"/>
          </w:tcPr>
          <w:p w14:paraId="2E491AFA" w14:textId="77777777" w:rsidR="002C118B" w:rsidRDefault="002C118B" w:rsidP="00CC5628">
            <w:pPr>
              <w:spacing w:line="259" w:lineRule="auto"/>
              <w:jc w:val="center"/>
            </w:pPr>
            <w:r>
              <w:t>2018</w:t>
            </w:r>
          </w:p>
        </w:tc>
      </w:tr>
      <w:tr w:rsidR="002C118B" w14:paraId="7D786793" w14:textId="77777777" w:rsidTr="00CC5628">
        <w:tc>
          <w:tcPr>
            <w:tcW w:w="824" w:type="dxa"/>
            <w:vAlign w:val="center"/>
          </w:tcPr>
          <w:p w14:paraId="272A1E7F" w14:textId="77777777" w:rsidR="002C118B" w:rsidRDefault="002C118B" w:rsidP="00CC5628">
            <w:pPr>
              <w:spacing w:line="259" w:lineRule="auto"/>
              <w:jc w:val="center"/>
            </w:pPr>
            <w:r>
              <w:t>2.</w:t>
            </w:r>
          </w:p>
        </w:tc>
        <w:tc>
          <w:tcPr>
            <w:tcW w:w="2715" w:type="dxa"/>
            <w:vAlign w:val="center"/>
          </w:tcPr>
          <w:p w14:paraId="15E0A523" w14:textId="77777777" w:rsidR="002C118B" w:rsidRDefault="002C118B" w:rsidP="00CC5628">
            <w:pPr>
              <w:spacing w:line="259" w:lineRule="auto"/>
            </w:pPr>
            <w:r>
              <w:t>Valdymo korpusas</w:t>
            </w:r>
          </w:p>
        </w:tc>
        <w:tc>
          <w:tcPr>
            <w:tcW w:w="2410" w:type="dxa"/>
            <w:vAlign w:val="center"/>
          </w:tcPr>
          <w:p w14:paraId="662BEFA0" w14:textId="77777777" w:rsidR="002C118B" w:rsidRDefault="002C118B" w:rsidP="00CC5628">
            <w:pPr>
              <w:spacing w:line="259" w:lineRule="auto"/>
              <w:jc w:val="center"/>
            </w:pPr>
            <w:r>
              <w:t>Balio karvelio 25, Vilnius</w:t>
            </w:r>
          </w:p>
        </w:tc>
        <w:tc>
          <w:tcPr>
            <w:tcW w:w="1180" w:type="dxa"/>
            <w:vAlign w:val="center"/>
          </w:tcPr>
          <w:p w14:paraId="3E94CB01" w14:textId="77777777" w:rsidR="002C118B" w:rsidRDefault="002C118B" w:rsidP="00CC5628">
            <w:pPr>
              <w:spacing w:line="259" w:lineRule="auto"/>
              <w:jc w:val="center"/>
            </w:pPr>
            <w:r>
              <w:t>3833,56</w:t>
            </w:r>
          </w:p>
        </w:tc>
        <w:tc>
          <w:tcPr>
            <w:tcW w:w="774" w:type="dxa"/>
            <w:vAlign w:val="center"/>
          </w:tcPr>
          <w:p w14:paraId="6D3CC532" w14:textId="77777777" w:rsidR="002C118B" w:rsidRDefault="002C118B" w:rsidP="00CC5628">
            <w:pPr>
              <w:spacing w:line="259" w:lineRule="auto"/>
              <w:jc w:val="center"/>
            </w:pPr>
            <w:r>
              <w:t>25159</w:t>
            </w:r>
          </w:p>
        </w:tc>
        <w:tc>
          <w:tcPr>
            <w:tcW w:w="924" w:type="dxa"/>
            <w:vAlign w:val="center"/>
          </w:tcPr>
          <w:p w14:paraId="4F65F537" w14:textId="77777777" w:rsidR="002C118B" w:rsidRDefault="002C118B" w:rsidP="00CC5628">
            <w:pPr>
              <w:spacing w:line="259" w:lineRule="auto"/>
              <w:jc w:val="center"/>
            </w:pPr>
            <w:r>
              <w:t>2</w:t>
            </w:r>
          </w:p>
        </w:tc>
        <w:tc>
          <w:tcPr>
            <w:tcW w:w="801" w:type="dxa"/>
            <w:vAlign w:val="center"/>
          </w:tcPr>
          <w:p w14:paraId="157D281C" w14:textId="77777777" w:rsidR="002C118B" w:rsidRDefault="002C118B" w:rsidP="00CC5628">
            <w:pPr>
              <w:spacing w:line="259" w:lineRule="auto"/>
              <w:jc w:val="center"/>
            </w:pPr>
            <w:r>
              <w:t>2018</w:t>
            </w:r>
          </w:p>
        </w:tc>
      </w:tr>
      <w:tr w:rsidR="002C118B" w14:paraId="63448E72" w14:textId="77777777" w:rsidTr="00CC5628">
        <w:tc>
          <w:tcPr>
            <w:tcW w:w="824" w:type="dxa"/>
            <w:vAlign w:val="center"/>
          </w:tcPr>
          <w:p w14:paraId="0F2A7575" w14:textId="77777777" w:rsidR="002C118B" w:rsidRDefault="002C118B" w:rsidP="00CC5628">
            <w:pPr>
              <w:spacing w:line="259" w:lineRule="auto"/>
              <w:jc w:val="center"/>
            </w:pPr>
            <w:r>
              <w:t>3.</w:t>
            </w:r>
          </w:p>
        </w:tc>
        <w:tc>
          <w:tcPr>
            <w:tcW w:w="2715" w:type="dxa"/>
            <w:vAlign w:val="center"/>
          </w:tcPr>
          <w:p w14:paraId="6AE8B124" w14:textId="77777777" w:rsidR="002C118B" w:rsidRDefault="002C118B" w:rsidP="00CC5628">
            <w:pPr>
              <w:spacing w:line="259" w:lineRule="auto"/>
            </w:pPr>
            <w:r>
              <w:t xml:space="preserve">Vilniaus aerodromo skrydžių valdymo centras </w:t>
            </w:r>
          </w:p>
        </w:tc>
        <w:tc>
          <w:tcPr>
            <w:tcW w:w="2410" w:type="dxa"/>
            <w:vAlign w:val="center"/>
          </w:tcPr>
          <w:p w14:paraId="7BE08F49" w14:textId="77777777" w:rsidR="002C118B" w:rsidRDefault="002C118B" w:rsidP="00CC5628">
            <w:pPr>
              <w:spacing w:line="259" w:lineRule="auto"/>
              <w:jc w:val="center"/>
            </w:pPr>
            <w:r>
              <w:t>Rodūnios kelias 2, Vilnius</w:t>
            </w:r>
          </w:p>
        </w:tc>
        <w:tc>
          <w:tcPr>
            <w:tcW w:w="1180" w:type="dxa"/>
            <w:vAlign w:val="center"/>
          </w:tcPr>
          <w:p w14:paraId="70E5E238" w14:textId="77777777" w:rsidR="002C118B" w:rsidRDefault="002C118B" w:rsidP="00CC5628">
            <w:pPr>
              <w:spacing w:line="259" w:lineRule="auto"/>
              <w:jc w:val="center"/>
            </w:pPr>
            <w:r>
              <w:t>151,79</w:t>
            </w:r>
          </w:p>
        </w:tc>
        <w:tc>
          <w:tcPr>
            <w:tcW w:w="774" w:type="dxa"/>
            <w:vAlign w:val="center"/>
          </w:tcPr>
          <w:p w14:paraId="3E24848A" w14:textId="77777777" w:rsidR="002C118B" w:rsidRDefault="002C118B" w:rsidP="00CC5628">
            <w:pPr>
              <w:spacing w:line="259" w:lineRule="auto"/>
              <w:jc w:val="center"/>
            </w:pPr>
            <w:r>
              <w:t>1275</w:t>
            </w:r>
          </w:p>
        </w:tc>
        <w:tc>
          <w:tcPr>
            <w:tcW w:w="924" w:type="dxa"/>
            <w:vAlign w:val="center"/>
          </w:tcPr>
          <w:p w14:paraId="19FD8843" w14:textId="77777777" w:rsidR="002C118B" w:rsidRDefault="002C118B" w:rsidP="00CC5628">
            <w:pPr>
              <w:spacing w:line="259" w:lineRule="auto"/>
              <w:jc w:val="center"/>
            </w:pPr>
            <w:r>
              <w:t>8</w:t>
            </w:r>
          </w:p>
        </w:tc>
        <w:tc>
          <w:tcPr>
            <w:tcW w:w="801" w:type="dxa"/>
            <w:vAlign w:val="center"/>
          </w:tcPr>
          <w:p w14:paraId="2E613BEC" w14:textId="77777777" w:rsidR="002C118B" w:rsidRDefault="002C118B" w:rsidP="00CC5628">
            <w:pPr>
              <w:spacing w:line="259" w:lineRule="auto"/>
              <w:jc w:val="center"/>
            </w:pPr>
            <w:r>
              <w:t>1975</w:t>
            </w:r>
          </w:p>
        </w:tc>
      </w:tr>
      <w:tr w:rsidR="007A3780" w14:paraId="07161260" w14:textId="77777777" w:rsidTr="00CC5628">
        <w:tc>
          <w:tcPr>
            <w:tcW w:w="824" w:type="dxa"/>
            <w:vAlign w:val="center"/>
          </w:tcPr>
          <w:p w14:paraId="58BD482C" w14:textId="3F0BB25C" w:rsidR="007A3780" w:rsidRDefault="007A3780" w:rsidP="00CC5628">
            <w:pPr>
              <w:spacing w:line="259" w:lineRule="auto"/>
              <w:jc w:val="center"/>
            </w:pPr>
            <w:r>
              <w:t>4.</w:t>
            </w:r>
          </w:p>
        </w:tc>
        <w:tc>
          <w:tcPr>
            <w:tcW w:w="2715" w:type="dxa"/>
            <w:vAlign w:val="center"/>
          </w:tcPr>
          <w:p w14:paraId="7086AFA0" w14:textId="45D0485D" w:rsidR="007A3780" w:rsidRDefault="007A3780" w:rsidP="00CC5628">
            <w:pPr>
              <w:spacing w:line="259" w:lineRule="auto"/>
            </w:pPr>
            <w:proofErr w:type="spellStart"/>
            <w:r>
              <w:t>Žiniavietė</w:t>
            </w:r>
            <w:proofErr w:type="spellEnd"/>
          </w:p>
        </w:tc>
        <w:tc>
          <w:tcPr>
            <w:tcW w:w="2410" w:type="dxa"/>
            <w:vAlign w:val="center"/>
          </w:tcPr>
          <w:p w14:paraId="7A0C7FB0" w14:textId="10B462B6" w:rsidR="007A3780" w:rsidRDefault="007A3780" w:rsidP="00CC5628">
            <w:pPr>
              <w:spacing w:line="259" w:lineRule="auto"/>
              <w:jc w:val="center"/>
            </w:pPr>
            <w:r>
              <w:t>Rodūnios kelias 2-101, Vilnius</w:t>
            </w:r>
          </w:p>
        </w:tc>
        <w:tc>
          <w:tcPr>
            <w:tcW w:w="1180" w:type="dxa"/>
            <w:vAlign w:val="center"/>
          </w:tcPr>
          <w:p w14:paraId="4C8B78CD" w14:textId="14E0D665" w:rsidR="007A3780" w:rsidRDefault="007A3780" w:rsidP="00CC5628">
            <w:pPr>
              <w:spacing w:line="259" w:lineRule="auto"/>
              <w:jc w:val="center"/>
            </w:pPr>
            <w:r>
              <w:t>282,53</w:t>
            </w:r>
          </w:p>
        </w:tc>
        <w:tc>
          <w:tcPr>
            <w:tcW w:w="774" w:type="dxa"/>
            <w:vAlign w:val="center"/>
          </w:tcPr>
          <w:p w14:paraId="1DA61FAD" w14:textId="108D98D1" w:rsidR="007A3780" w:rsidRDefault="007A3780" w:rsidP="00CC5628">
            <w:pPr>
              <w:spacing w:line="259" w:lineRule="auto"/>
              <w:jc w:val="center"/>
            </w:pPr>
            <w:r>
              <w:t>763</w:t>
            </w:r>
          </w:p>
        </w:tc>
        <w:tc>
          <w:tcPr>
            <w:tcW w:w="924" w:type="dxa"/>
            <w:vAlign w:val="center"/>
          </w:tcPr>
          <w:p w14:paraId="0919E31A" w14:textId="232C3F47" w:rsidR="007A3780" w:rsidRDefault="007A3780" w:rsidP="00CC5628">
            <w:pPr>
              <w:spacing w:line="259" w:lineRule="auto"/>
              <w:jc w:val="center"/>
            </w:pPr>
            <w:r>
              <w:t>1</w:t>
            </w:r>
          </w:p>
        </w:tc>
        <w:tc>
          <w:tcPr>
            <w:tcW w:w="801" w:type="dxa"/>
            <w:vAlign w:val="center"/>
          </w:tcPr>
          <w:p w14:paraId="412A1936" w14:textId="738446DB" w:rsidR="007A3780" w:rsidRDefault="007A3780" w:rsidP="00CC5628">
            <w:pPr>
              <w:spacing w:line="259" w:lineRule="auto"/>
              <w:jc w:val="center"/>
            </w:pPr>
            <w:r>
              <w:t>1975</w:t>
            </w:r>
          </w:p>
        </w:tc>
      </w:tr>
      <w:tr w:rsidR="007A3780" w14:paraId="5D51D42D" w14:textId="77777777" w:rsidTr="00CC5628">
        <w:trPr>
          <w:trHeight w:val="366"/>
        </w:trPr>
        <w:tc>
          <w:tcPr>
            <w:tcW w:w="824" w:type="dxa"/>
            <w:vAlign w:val="center"/>
          </w:tcPr>
          <w:p w14:paraId="581990B7" w14:textId="3EC653B5" w:rsidR="007A3780" w:rsidRDefault="007A3780" w:rsidP="00CC5628">
            <w:pPr>
              <w:spacing w:line="259" w:lineRule="auto"/>
              <w:jc w:val="center"/>
            </w:pPr>
            <w:r>
              <w:t>5.</w:t>
            </w:r>
          </w:p>
        </w:tc>
        <w:tc>
          <w:tcPr>
            <w:tcW w:w="2715" w:type="dxa"/>
          </w:tcPr>
          <w:p w14:paraId="67D1AC7F" w14:textId="77777777" w:rsidR="007A3780" w:rsidRDefault="007A3780" w:rsidP="00CC5628">
            <w:pPr>
              <w:spacing w:line="259" w:lineRule="auto"/>
            </w:pPr>
            <w:r>
              <w:t>Kauno skrydžių valdymo centras</w:t>
            </w:r>
          </w:p>
        </w:tc>
        <w:tc>
          <w:tcPr>
            <w:tcW w:w="2410" w:type="dxa"/>
            <w:vAlign w:val="center"/>
          </w:tcPr>
          <w:p w14:paraId="71D3732D" w14:textId="77777777" w:rsidR="007A3780" w:rsidRDefault="007A3780" w:rsidP="00CC5628">
            <w:pPr>
              <w:spacing w:line="259" w:lineRule="auto"/>
              <w:jc w:val="center"/>
            </w:pPr>
            <w:r>
              <w:t>Oro uosto g.4, Karmėlava</w:t>
            </w:r>
          </w:p>
        </w:tc>
        <w:tc>
          <w:tcPr>
            <w:tcW w:w="1180" w:type="dxa"/>
            <w:vAlign w:val="center"/>
          </w:tcPr>
          <w:p w14:paraId="57F68CE4" w14:textId="77777777" w:rsidR="007A3780" w:rsidRPr="00F1216C" w:rsidRDefault="007A3780" w:rsidP="00CC5628">
            <w:pPr>
              <w:spacing w:line="259" w:lineRule="auto"/>
              <w:jc w:val="center"/>
            </w:pPr>
            <w:r>
              <w:t>1952,19</w:t>
            </w:r>
          </w:p>
        </w:tc>
        <w:tc>
          <w:tcPr>
            <w:tcW w:w="774" w:type="dxa"/>
            <w:vAlign w:val="center"/>
          </w:tcPr>
          <w:p w14:paraId="2887F74C" w14:textId="77777777" w:rsidR="007A3780" w:rsidRPr="00F1216C" w:rsidRDefault="007A3780" w:rsidP="00CC5628">
            <w:pPr>
              <w:spacing w:line="259" w:lineRule="auto"/>
              <w:jc w:val="center"/>
            </w:pPr>
            <w:r>
              <w:t>5466</w:t>
            </w:r>
          </w:p>
        </w:tc>
        <w:tc>
          <w:tcPr>
            <w:tcW w:w="924" w:type="dxa"/>
            <w:vAlign w:val="center"/>
          </w:tcPr>
          <w:p w14:paraId="0326EABE" w14:textId="77777777" w:rsidR="007A3780" w:rsidRDefault="007A3780" w:rsidP="00CC5628">
            <w:pPr>
              <w:spacing w:line="259" w:lineRule="auto"/>
              <w:jc w:val="center"/>
            </w:pPr>
            <w:r>
              <w:t>8</w:t>
            </w:r>
          </w:p>
        </w:tc>
        <w:tc>
          <w:tcPr>
            <w:tcW w:w="801" w:type="dxa"/>
            <w:vAlign w:val="center"/>
          </w:tcPr>
          <w:p w14:paraId="07081D1F" w14:textId="77777777" w:rsidR="007A3780" w:rsidRDefault="007A3780" w:rsidP="00CC5628">
            <w:pPr>
              <w:spacing w:line="259" w:lineRule="auto"/>
              <w:jc w:val="center"/>
            </w:pPr>
            <w:r>
              <w:t>1989</w:t>
            </w:r>
          </w:p>
        </w:tc>
      </w:tr>
      <w:tr w:rsidR="007A3780" w14:paraId="754A5C99" w14:textId="77777777" w:rsidTr="00CC5628">
        <w:tc>
          <w:tcPr>
            <w:tcW w:w="824" w:type="dxa"/>
            <w:vAlign w:val="center"/>
          </w:tcPr>
          <w:p w14:paraId="2745AFBC" w14:textId="06364015" w:rsidR="007A3780" w:rsidRDefault="007A3780" w:rsidP="00CC5628">
            <w:pPr>
              <w:spacing w:line="259" w:lineRule="auto"/>
              <w:jc w:val="center"/>
            </w:pPr>
            <w:r>
              <w:t>6.</w:t>
            </w:r>
          </w:p>
        </w:tc>
        <w:tc>
          <w:tcPr>
            <w:tcW w:w="2715" w:type="dxa"/>
          </w:tcPr>
          <w:p w14:paraId="37739158" w14:textId="77777777" w:rsidR="007A3780" w:rsidRDefault="007A3780" w:rsidP="00CC5628">
            <w:pPr>
              <w:spacing w:line="259" w:lineRule="auto"/>
            </w:pPr>
            <w:r>
              <w:t xml:space="preserve">Palangos skrydžių valdymo centras </w:t>
            </w:r>
          </w:p>
        </w:tc>
        <w:tc>
          <w:tcPr>
            <w:tcW w:w="2410" w:type="dxa"/>
            <w:vAlign w:val="center"/>
          </w:tcPr>
          <w:p w14:paraId="679BB2D6" w14:textId="77777777" w:rsidR="007A3780" w:rsidRDefault="007A3780" w:rsidP="00CC5628">
            <w:pPr>
              <w:spacing w:line="259" w:lineRule="auto"/>
              <w:jc w:val="center"/>
            </w:pPr>
            <w:r>
              <w:t>Liepojos plentas 1, Palanga</w:t>
            </w:r>
          </w:p>
        </w:tc>
        <w:tc>
          <w:tcPr>
            <w:tcW w:w="1180" w:type="dxa"/>
            <w:vAlign w:val="center"/>
          </w:tcPr>
          <w:p w14:paraId="5B289BB9" w14:textId="77777777" w:rsidR="007A3780" w:rsidRDefault="007A3780" w:rsidP="00CC5628">
            <w:pPr>
              <w:spacing w:line="259" w:lineRule="auto"/>
              <w:jc w:val="center"/>
            </w:pPr>
            <w:r>
              <w:t>878,49</w:t>
            </w:r>
          </w:p>
        </w:tc>
        <w:tc>
          <w:tcPr>
            <w:tcW w:w="774" w:type="dxa"/>
            <w:vAlign w:val="center"/>
          </w:tcPr>
          <w:p w14:paraId="3FEAFC32" w14:textId="77777777" w:rsidR="007A3780" w:rsidRDefault="007A3780" w:rsidP="00CC5628">
            <w:pPr>
              <w:spacing w:line="259" w:lineRule="auto"/>
              <w:jc w:val="center"/>
            </w:pPr>
            <w:r>
              <w:t>3862</w:t>
            </w:r>
          </w:p>
        </w:tc>
        <w:tc>
          <w:tcPr>
            <w:tcW w:w="924" w:type="dxa"/>
            <w:vAlign w:val="center"/>
          </w:tcPr>
          <w:p w14:paraId="34D9EAE6" w14:textId="77777777" w:rsidR="007A3780" w:rsidRDefault="007A3780" w:rsidP="00CC5628">
            <w:pPr>
              <w:spacing w:line="259" w:lineRule="auto"/>
              <w:jc w:val="center"/>
            </w:pPr>
            <w:r>
              <w:t>3</w:t>
            </w:r>
          </w:p>
        </w:tc>
        <w:tc>
          <w:tcPr>
            <w:tcW w:w="801" w:type="dxa"/>
            <w:vAlign w:val="center"/>
          </w:tcPr>
          <w:p w14:paraId="27154024" w14:textId="77777777" w:rsidR="007A3780" w:rsidRDefault="007A3780" w:rsidP="00CC5628">
            <w:pPr>
              <w:spacing w:line="259" w:lineRule="auto"/>
              <w:jc w:val="center"/>
            </w:pPr>
            <w:r>
              <w:t>1984</w:t>
            </w:r>
          </w:p>
        </w:tc>
      </w:tr>
    </w:tbl>
    <w:p w14:paraId="202F3E1F" w14:textId="69F53F1B" w:rsidR="007A3780" w:rsidRPr="00F534F9" w:rsidRDefault="005B3EBA" w:rsidP="00F534F9">
      <w:pPr>
        <w:pStyle w:val="ListParagraph"/>
        <w:numPr>
          <w:ilvl w:val="1"/>
          <w:numId w:val="1"/>
        </w:numPr>
        <w:tabs>
          <w:tab w:val="left" w:pos="426"/>
        </w:tabs>
        <w:spacing w:after="0"/>
        <w:ind w:left="0" w:firstLine="0"/>
        <w:jc w:val="both"/>
        <w:rPr>
          <w:rFonts w:cstheme="minorHAnsi"/>
        </w:rPr>
      </w:pPr>
      <w:r>
        <w:rPr>
          <w:rFonts w:cstheme="minorHAnsi"/>
        </w:rPr>
        <w:t>Bendrovės</w:t>
      </w:r>
      <w:r w:rsidR="007A3780" w:rsidRPr="00F534F9">
        <w:rPr>
          <w:rFonts w:cstheme="minorHAnsi"/>
        </w:rPr>
        <w:t xml:space="preserve"> balans</w:t>
      </w:r>
      <w:r w:rsidR="00913A65" w:rsidRPr="00F534F9">
        <w:rPr>
          <w:rFonts w:cstheme="minorHAnsi"/>
        </w:rPr>
        <w:t xml:space="preserve">inėje priklausomybėje </w:t>
      </w:r>
      <w:r w:rsidR="007A3780" w:rsidRPr="00F534F9">
        <w:rPr>
          <w:rFonts w:cstheme="minorHAnsi"/>
        </w:rPr>
        <w:t>yra ir kitos paskirties pastatai: mokymo centras, garažai ir pan.</w:t>
      </w:r>
    </w:p>
    <w:p w14:paraId="5A552AB4" w14:textId="393AC1B8" w:rsidR="002C118B" w:rsidRPr="00F534F9" w:rsidRDefault="005B3EBA" w:rsidP="00F534F9">
      <w:pPr>
        <w:pStyle w:val="ListParagraph"/>
        <w:numPr>
          <w:ilvl w:val="1"/>
          <w:numId w:val="1"/>
        </w:numPr>
        <w:tabs>
          <w:tab w:val="left" w:pos="426"/>
        </w:tabs>
        <w:spacing w:after="0"/>
        <w:ind w:left="0" w:firstLine="0"/>
        <w:jc w:val="both"/>
        <w:rPr>
          <w:rFonts w:cstheme="minorHAnsi"/>
        </w:rPr>
      </w:pPr>
      <w:r>
        <w:rPr>
          <w:rFonts w:cstheme="minorHAnsi"/>
        </w:rPr>
        <w:t>Bendrovė</w:t>
      </w:r>
      <w:r w:rsidR="00681979" w:rsidRPr="00F534F9">
        <w:rPr>
          <w:rFonts w:cstheme="minorHAnsi"/>
        </w:rPr>
        <w:t xml:space="preserve"> disponuoja 1</w:t>
      </w:r>
      <w:r w:rsidR="00B34657" w:rsidRPr="00F534F9">
        <w:rPr>
          <w:rFonts w:cstheme="minorHAnsi"/>
        </w:rPr>
        <w:t>5</w:t>
      </w:r>
      <w:r w:rsidR="00681979" w:rsidRPr="00F534F9">
        <w:rPr>
          <w:rFonts w:cstheme="minorHAnsi"/>
        </w:rPr>
        <w:t xml:space="preserve"> transporto priemonių. </w:t>
      </w:r>
    </w:p>
    <w:p w14:paraId="06BC9784" w14:textId="0C0D51C9" w:rsidR="00CC5628" w:rsidRDefault="00CC5628" w:rsidP="00CC5628">
      <w:pPr>
        <w:spacing w:after="0"/>
        <w:jc w:val="both"/>
        <w:rPr>
          <w:rFonts w:cstheme="minorHAnsi"/>
        </w:rPr>
      </w:pPr>
    </w:p>
    <w:p w14:paraId="6132DF7D" w14:textId="29B449F1" w:rsidR="00BA2046" w:rsidRPr="00CA00CE" w:rsidRDefault="0066200F" w:rsidP="00CC5628">
      <w:pPr>
        <w:spacing w:after="0"/>
        <w:jc w:val="both"/>
        <w:rPr>
          <w:rFonts w:cstheme="minorHAnsi"/>
          <w:b/>
        </w:rPr>
      </w:pPr>
      <w:r>
        <w:rPr>
          <w:rFonts w:cstheme="minorHAnsi"/>
          <w:b/>
        </w:rPr>
        <w:t>IV</w:t>
      </w:r>
      <w:r w:rsidR="00BA2046" w:rsidRPr="00CA00CE">
        <w:rPr>
          <w:rFonts w:cstheme="minorHAnsi"/>
          <w:b/>
        </w:rPr>
        <w:t xml:space="preserve">. REIKALAVIMAI PIRKIMO OBJEKTUI </w:t>
      </w:r>
    </w:p>
    <w:p w14:paraId="6AF32ADD" w14:textId="6BAFD943" w:rsidR="007A36EA" w:rsidRDefault="00F534F9" w:rsidP="00CC5628">
      <w:pPr>
        <w:spacing w:after="0"/>
        <w:jc w:val="both"/>
        <w:rPr>
          <w:rFonts w:cstheme="minorHAnsi"/>
          <w:strike/>
        </w:rPr>
      </w:pPr>
      <w:r>
        <w:rPr>
          <w:rFonts w:cstheme="minorHAnsi"/>
        </w:rPr>
        <w:t xml:space="preserve">4.1. </w:t>
      </w:r>
      <w:r w:rsidR="004D208F" w:rsidRPr="00CA00CE">
        <w:rPr>
          <w:rFonts w:cstheme="minorHAnsi"/>
        </w:rPr>
        <w:t xml:space="preserve">Paslaugos </w:t>
      </w:r>
      <w:r w:rsidR="00B5612F" w:rsidRPr="00CA00CE">
        <w:rPr>
          <w:rFonts w:cstheme="minorHAnsi"/>
        </w:rPr>
        <w:t xml:space="preserve">Teikėjas atlieka </w:t>
      </w:r>
      <w:r w:rsidR="005B3EBA">
        <w:rPr>
          <w:rFonts w:cstheme="minorHAnsi"/>
        </w:rPr>
        <w:t>akcinės bendrovės</w:t>
      </w:r>
      <w:r w:rsidR="00500CF1" w:rsidRPr="00CA00CE">
        <w:rPr>
          <w:rFonts w:cstheme="minorHAnsi"/>
        </w:rPr>
        <w:t xml:space="preserve"> „Oro navigacija“</w:t>
      </w:r>
      <w:r w:rsidR="00B5612F" w:rsidRPr="00CA00CE">
        <w:rPr>
          <w:rFonts w:cstheme="minorHAnsi"/>
        </w:rPr>
        <w:t xml:space="preserve"> </w:t>
      </w:r>
      <w:r w:rsidR="004D208F" w:rsidRPr="00CA00CE">
        <w:rPr>
          <w:rFonts w:cstheme="minorHAnsi"/>
        </w:rPr>
        <w:t>vei</w:t>
      </w:r>
      <w:r w:rsidR="00D42B1D" w:rsidRPr="00CA00CE">
        <w:rPr>
          <w:rFonts w:cstheme="minorHAnsi"/>
        </w:rPr>
        <w:t>kloje</w:t>
      </w:r>
      <w:r w:rsidR="004D208F" w:rsidRPr="00CA00CE">
        <w:rPr>
          <w:rFonts w:cstheme="minorHAnsi"/>
        </w:rPr>
        <w:t xml:space="preserve"> generuojamo šiltnamio efektą sukeliančių dujų (ŠESD) </w:t>
      </w:r>
      <w:r w:rsidR="00500CF1" w:rsidRPr="00CA00CE">
        <w:rPr>
          <w:rFonts w:cstheme="minorHAnsi"/>
        </w:rPr>
        <w:t xml:space="preserve">pėdsako </w:t>
      </w:r>
      <w:r w:rsidR="00622F18">
        <w:rPr>
          <w:rFonts w:cstheme="minorHAnsi"/>
        </w:rPr>
        <w:t>apskaičiavimą</w:t>
      </w:r>
      <w:r w:rsidR="00613893" w:rsidRPr="00CA00CE">
        <w:rPr>
          <w:rFonts w:cstheme="minorHAnsi"/>
        </w:rPr>
        <w:t xml:space="preserve">, inventorizuoja </w:t>
      </w:r>
      <w:r w:rsidR="005B3EBA">
        <w:rPr>
          <w:rFonts w:cstheme="minorHAnsi"/>
        </w:rPr>
        <w:t xml:space="preserve">2022 m. ir 2023 m. </w:t>
      </w:r>
      <w:r w:rsidR="00613893" w:rsidRPr="00CA00CE">
        <w:rPr>
          <w:rFonts w:cstheme="minorHAnsi"/>
        </w:rPr>
        <w:t>emisijas</w:t>
      </w:r>
    </w:p>
    <w:p w14:paraId="14D88C6C" w14:textId="1A238E6B" w:rsidR="005B3EBA" w:rsidRPr="005B3EBA" w:rsidRDefault="005B3EBA" w:rsidP="00CC5628">
      <w:pPr>
        <w:spacing w:after="0"/>
        <w:jc w:val="both"/>
        <w:rPr>
          <w:rFonts w:cstheme="minorHAnsi"/>
        </w:rPr>
      </w:pPr>
      <w:r w:rsidRPr="005B3EBA">
        <w:rPr>
          <w:rFonts w:cstheme="minorHAnsi"/>
        </w:rPr>
        <w:t xml:space="preserve">4.2. </w:t>
      </w:r>
      <w:r>
        <w:rPr>
          <w:rFonts w:cstheme="minorHAnsi"/>
        </w:rPr>
        <w:t>Be</w:t>
      </w:r>
      <w:r w:rsidR="00C6549D">
        <w:rPr>
          <w:rFonts w:cstheme="minorHAnsi"/>
        </w:rPr>
        <w:t>n</w:t>
      </w:r>
      <w:r>
        <w:rPr>
          <w:rFonts w:cstheme="minorHAnsi"/>
        </w:rPr>
        <w:t xml:space="preserve">drovė atliko 2018 m. (referentinių metų) </w:t>
      </w:r>
      <w:r w:rsidRPr="00CA00CE">
        <w:rPr>
          <w:rFonts w:cstheme="minorHAnsi"/>
        </w:rPr>
        <w:t xml:space="preserve">generuojamo šiltnamio efektą sukeliančių dujų (ŠESD) pėdsako </w:t>
      </w:r>
      <w:r>
        <w:rPr>
          <w:rFonts w:cstheme="minorHAnsi"/>
        </w:rPr>
        <w:t>apskaičiavimą ir inventorizavimą. Duomenys patikrinti</w:t>
      </w:r>
      <w:r w:rsidR="00795285">
        <w:rPr>
          <w:rFonts w:cstheme="minorHAnsi"/>
        </w:rPr>
        <w:t xml:space="preserve"> nepriklausomo audito. Paslaugos tiekėjas atlikdamas 2022 m. ir 2023 m. </w:t>
      </w:r>
      <w:r w:rsidR="00C6549D">
        <w:rPr>
          <w:rFonts w:cstheme="minorHAnsi"/>
        </w:rPr>
        <w:t xml:space="preserve">emisijų inventorizavimą ir apskaičiavimą </w:t>
      </w:r>
      <w:r w:rsidR="00795285">
        <w:rPr>
          <w:rFonts w:cstheme="minorHAnsi"/>
        </w:rPr>
        <w:t xml:space="preserve">taiko </w:t>
      </w:r>
      <w:r w:rsidR="00C6549D">
        <w:rPr>
          <w:rFonts w:cstheme="minorHAnsi"/>
        </w:rPr>
        <w:t>2018 m. Bendrovės emisijų vertinimo ataskaitoje</w:t>
      </w:r>
      <w:r w:rsidR="00795285">
        <w:rPr>
          <w:rFonts w:cstheme="minorHAnsi"/>
        </w:rPr>
        <w:t xml:space="preserve"> naudot</w:t>
      </w:r>
      <w:r w:rsidR="00C6549D">
        <w:rPr>
          <w:rFonts w:cstheme="minorHAnsi"/>
        </w:rPr>
        <w:t>ų duomenų skelbėjų</w:t>
      </w:r>
      <w:r w:rsidR="00795285">
        <w:rPr>
          <w:rFonts w:cstheme="minorHAnsi"/>
        </w:rPr>
        <w:t xml:space="preserve"> emisijų koeficientus (DEFRA</w:t>
      </w:r>
      <w:r w:rsidR="00C6549D">
        <w:rPr>
          <w:rFonts w:cstheme="minorHAnsi"/>
        </w:rPr>
        <w:t xml:space="preserve">, AIB, </w:t>
      </w:r>
      <w:proofErr w:type="spellStart"/>
      <w:r w:rsidR="00C6549D">
        <w:rPr>
          <w:rFonts w:cstheme="minorHAnsi"/>
        </w:rPr>
        <w:t>Ecoinvent</w:t>
      </w:r>
      <w:proofErr w:type="spellEnd"/>
      <w:r w:rsidR="00C6549D">
        <w:rPr>
          <w:rFonts w:cstheme="minorHAnsi"/>
        </w:rPr>
        <w:t>, ADEME</w:t>
      </w:r>
      <w:r w:rsidR="00795285">
        <w:rPr>
          <w:rFonts w:cstheme="minorHAnsi"/>
        </w:rPr>
        <w:t>).</w:t>
      </w:r>
    </w:p>
    <w:p w14:paraId="0DC03D6D" w14:textId="73E78753" w:rsidR="00665BB6" w:rsidRPr="00CA00CE" w:rsidRDefault="00F534F9" w:rsidP="00CC5628">
      <w:pPr>
        <w:tabs>
          <w:tab w:val="left" w:pos="436"/>
        </w:tabs>
        <w:spacing w:after="0"/>
        <w:jc w:val="both"/>
        <w:rPr>
          <w:rFonts w:cstheme="minorHAnsi"/>
        </w:rPr>
      </w:pPr>
      <w:r>
        <w:rPr>
          <w:rFonts w:cstheme="minorHAnsi"/>
        </w:rPr>
        <w:lastRenderedPageBreak/>
        <w:t>4.</w:t>
      </w:r>
      <w:r w:rsidR="00C6549D">
        <w:rPr>
          <w:rFonts w:cstheme="minorHAnsi"/>
        </w:rPr>
        <w:t>3</w:t>
      </w:r>
      <w:r>
        <w:rPr>
          <w:rFonts w:cstheme="minorHAnsi"/>
        </w:rPr>
        <w:t xml:space="preserve">. </w:t>
      </w:r>
      <w:r w:rsidR="005516A1" w:rsidRPr="00CA00CE">
        <w:rPr>
          <w:rFonts w:cstheme="minorHAnsi"/>
        </w:rPr>
        <w:t xml:space="preserve">ŠESD emisijų </w:t>
      </w:r>
      <w:r w:rsidR="00622F18">
        <w:rPr>
          <w:rFonts w:cstheme="minorHAnsi"/>
        </w:rPr>
        <w:t>inventorizavimas ir apskaičiavimas</w:t>
      </w:r>
      <w:r w:rsidR="00622F18" w:rsidRPr="00CA00CE" w:rsidDel="00622F18">
        <w:rPr>
          <w:rFonts w:cstheme="minorHAnsi"/>
        </w:rPr>
        <w:t xml:space="preserve"> </w:t>
      </w:r>
      <w:r w:rsidR="005516A1" w:rsidRPr="00CA00CE">
        <w:rPr>
          <w:rFonts w:cstheme="minorHAnsi"/>
        </w:rPr>
        <w:t>atliekama</w:t>
      </w:r>
      <w:r w:rsidR="00613893" w:rsidRPr="00CA00CE">
        <w:rPr>
          <w:rFonts w:cstheme="minorHAnsi"/>
        </w:rPr>
        <w:t>s</w:t>
      </w:r>
      <w:r w:rsidR="005516A1" w:rsidRPr="00CA00CE">
        <w:rPr>
          <w:rFonts w:cstheme="minorHAnsi"/>
        </w:rPr>
        <w:t xml:space="preserve"> </w:t>
      </w:r>
      <w:r w:rsidR="00613893" w:rsidRPr="00CA00CE">
        <w:rPr>
          <w:rFonts w:cstheme="minorHAnsi"/>
        </w:rPr>
        <w:t>pagal</w:t>
      </w:r>
      <w:r w:rsidR="005516A1" w:rsidRPr="00CA00CE">
        <w:rPr>
          <w:rFonts w:cstheme="minorHAnsi"/>
        </w:rPr>
        <w:t xml:space="preserve"> tarptautin</w:t>
      </w:r>
      <w:r w:rsidR="00267E21">
        <w:rPr>
          <w:rFonts w:cstheme="minorHAnsi"/>
        </w:rPr>
        <w:t>ius</w:t>
      </w:r>
      <w:r w:rsidR="005516A1" w:rsidRPr="00CA00CE">
        <w:rPr>
          <w:rFonts w:cstheme="minorHAnsi"/>
        </w:rPr>
        <w:t xml:space="preserve"> standart</w:t>
      </w:r>
      <w:r w:rsidR="00267E21">
        <w:rPr>
          <w:rFonts w:cstheme="minorHAnsi"/>
        </w:rPr>
        <w:t>us</w:t>
      </w:r>
      <w:r w:rsidR="00613893" w:rsidRPr="00CA00CE">
        <w:rPr>
          <w:rFonts w:cstheme="minorHAnsi"/>
        </w:rPr>
        <w:t>:</w:t>
      </w:r>
    </w:p>
    <w:p w14:paraId="230129AF" w14:textId="5FC5C253" w:rsidR="00665BB6" w:rsidRPr="00CA00CE" w:rsidRDefault="00F534F9" w:rsidP="00DD2643">
      <w:pPr>
        <w:spacing w:after="0"/>
        <w:jc w:val="both"/>
        <w:rPr>
          <w:rFonts w:cstheme="minorHAnsi"/>
        </w:rPr>
      </w:pPr>
      <w:r>
        <w:rPr>
          <w:rFonts w:cstheme="minorHAnsi"/>
        </w:rPr>
        <w:t>4.</w:t>
      </w:r>
      <w:r w:rsidR="00C6549D">
        <w:rPr>
          <w:rFonts w:cstheme="minorHAnsi"/>
        </w:rPr>
        <w:t>3</w:t>
      </w:r>
      <w:r>
        <w:rPr>
          <w:rFonts w:cstheme="minorHAnsi"/>
        </w:rPr>
        <w:t xml:space="preserve">.1. </w:t>
      </w:r>
      <w:proofErr w:type="spellStart"/>
      <w:r w:rsidR="00665BB6" w:rsidRPr="00CA00CE">
        <w:rPr>
          <w:rFonts w:cstheme="minorHAnsi"/>
        </w:rPr>
        <w:t>Greenhouse</w:t>
      </w:r>
      <w:proofErr w:type="spellEnd"/>
      <w:r w:rsidR="00665BB6" w:rsidRPr="00CA00CE">
        <w:rPr>
          <w:rFonts w:cstheme="minorHAnsi"/>
        </w:rPr>
        <w:t xml:space="preserve"> </w:t>
      </w:r>
      <w:proofErr w:type="spellStart"/>
      <w:r w:rsidR="00665BB6" w:rsidRPr="00CA00CE">
        <w:rPr>
          <w:rFonts w:cstheme="minorHAnsi"/>
        </w:rPr>
        <w:t>Gas</w:t>
      </w:r>
      <w:proofErr w:type="spellEnd"/>
      <w:r w:rsidR="00665BB6" w:rsidRPr="00CA00CE">
        <w:rPr>
          <w:rFonts w:cstheme="minorHAnsi"/>
        </w:rPr>
        <w:t xml:space="preserve"> </w:t>
      </w:r>
      <w:proofErr w:type="spellStart"/>
      <w:r w:rsidR="00665BB6" w:rsidRPr="00CA00CE">
        <w:rPr>
          <w:rFonts w:cstheme="minorHAnsi"/>
        </w:rPr>
        <w:t>Protocol</w:t>
      </w:r>
      <w:proofErr w:type="spellEnd"/>
      <w:r w:rsidR="00665BB6" w:rsidRPr="00CA00CE">
        <w:rPr>
          <w:rFonts w:cstheme="minorHAnsi"/>
        </w:rPr>
        <w:t xml:space="preserve">, A </w:t>
      </w:r>
      <w:proofErr w:type="spellStart"/>
      <w:r w:rsidR="00665BB6" w:rsidRPr="00CA00CE">
        <w:rPr>
          <w:rFonts w:cstheme="minorHAnsi"/>
        </w:rPr>
        <w:t>Corporate</w:t>
      </w:r>
      <w:proofErr w:type="spellEnd"/>
      <w:r w:rsidR="00665BB6" w:rsidRPr="00CA00CE">
        <w:rPr>
          <w:rFonts w:cstheme="minorHAnsi"/>
        </w:rPr>
        <w:t xml:space="preserve"> </w:t>
      </w:r>
      <w:proofErr w:type="spellStart"/>
      <w:r w:rsidR="00665BB6" w:rsidRPr="00CA00CE">
        <w:rPr>
          <w:rFonts w:cstheme="minorHAnsi"/>
        </w:rPr>
        <w:t>Accounting</w:t>
      </w:r>
      <w:proofErr w:type="spellEnd"/>
      <w:r w:rsidR="00665BB6" w:rsidRPr="00CA00CE">
        <w:rPr>
          <w:rFonts w:cstheme="minorHAnsi"/>
        </w:rPr>
        <w:t xml:space="preserve"> </w:t>
      </w:r>
      <w:proofErr w:type="spellStart"/>
      <w:r w:rsidR="00665BB6" w:rsidRPr="00CA00CE">
        <w:rPr>
          <w:rFonts w:cstheme="minorHAnsi"/>
        </w:rPr>
        <w:t>and</w:t>
      </w:r>
      <w:proofErr w:type="spellEnd"/>
      <w:r w:rsidR="00665BB6" w:rsidRPr="00CA00CE">
        <w:rPr>
          <w:rFonts w:cstheme="minorHAnsi"/>
        </w:rPr>
        <w:t xml:space="preserve"> </w:t>
      </w:r>
      <w:proofErr w:type="spellStart"/>
      <w:r w:rsidR="00665BB6" w:rsidRPr="00CA00CE">
        <w:rPr>
          <w:rFonts w:cstheme="minorHAnsi"/>
        </w:rPr>
        <w:t>Reporting</w:t>
      </w:r>
      <w:proofErr w:type="spellEnd"/>
      <w:r w:rsidR="00665BB6" w:rsidRPr="00CA00CE">
        <w:rPr>
          <w:rFonts w:cstheme="minorHAnsi"/>
        </w:rPr>
        <w:t xml:space="preserve"> Standard, </w:t>
      </w:r>
      <w:proofErr w:type="spellStart"/>
      <w:r w:rsidR="00665BB6" w:rsidRPr="00CA00CE">
        <w:rPr>
          <w:rFonts w:cstheme="minorHAnsi"/>
        </w:rPr>
        <w:t>World</w:t>
      </w:r>
      <w:proofErr w:type="spellEnd"/>
      <w:r w:rsidR="00665BB6" w:rsidRPr="00CA00CE">
        <w:rPr>
          <w:rFonts w:cstheme="minorHAnsi"/>
        </w:rPr>
        <w:t xml:space="preserve"> </w:t>
      </w:r>
      <w:proofErr w:type="spellStart"/>
      <w:r w:rsidR="00665BB6" w:rsidRPr="00CA00CE">
        <w:rPr>
          <w:rFonts w:cstheme="minorHAnsi"/>
        </w:rPr>
        <w:t>Resource</w:t>
      </w:r>
      <w:proofErr w:type="spellEnd"/>
      <w:r w:rsidR="00665BB6" w:rsidRPr="00CA00CE">
        <w:rPr>
          <w:rFonts w:cstheme="minorHAnsi"/>
        </w:rPr>
        <w:t xml:space="preserve"> Institute, www.ghgprotocol.org/standards/corporate-standard, </w:t>
      </w:r>
      <w:hyperlink r:id="rId6" w:history="1">
        <w:r w:rsidR="00665BB6" w:rsidRPr="00CA00CE">
          <w:rPr>
            <w:rStyle w:val="Hyperlink"/>
            <w:rFonts w:cstheme="minorHAnsi"/>
          </w:rPr>
          <w:t>www.iso.org</w:t>
        </w:r>
      </w:hyperlink>
      <w:r w:rsidR="00665BB6" w:rsidRPr="00CA00CE">
        <w:rPr>
          <w:rFonts w:cstheme="minorHAnsi"/>
        </w:rPr>
        <w:t xml:space="preserve">, </w:t>
      </w:r>
    </w:p>
    <w:p w14:paraId="7EA8E30E" w14:textId="27B7366B" w:rsidR="00665BB6" w:rsidRPr="00CA00CE" w:rsidRDefault="00F534F9" w:rsidP="00DD2643">
      <w:pPr>
        <w:spacing w:after="0"/>
        <w:jc w:val="both"/>
        <w:rPr>
          <w:rFonts w:cstheme="minorHAnsi"/>
        </w:rPr>
      </w:pPr>
      <w:r>
        <w:rPr>
          <w:rFonts w:cstheme="minorHAnsi"/>
        </w:rPr>
        <w:t>4.</w:t>
      </w:r>
      <w:r w:rsidR="00C6549D">
        <w:rPr>
          <w:rFonts w:cstheme="minorHAnsi"/>
        </w:rPr>
        <w:t>3</w:t>
      </w:r>
      <w:r>
        <w:rPr>
          <w:rFonts w:cstheme="minorHAnsi"/>
        </w:rPr>
        <w:t xml:space="preserve">.2. </w:t>
      </w:r>
      <w:proofErr w:type="spellStart"/>
      <w:r w:rsidR="00665BB6" w:rsidRPr="00CA00CE">
        <w:rPr>
          <w:rFonts w:cstheme="minorHAnsi"/>
        </w:rPr>
        <w:t>Greenhouse</w:t>
      </w:r>
      <w:proofErr w:type="spellEnd"/>
      <w:r w:rsidR="00665BB6" w:rsidRPr="00CA00CE">
        <w:rPr>
          <w:rFonts w:cstheme="minorHAnsi"/>
        </w:rPr>
        <w:t xml:space="preserve"> </w:t>
      </w:r>
      <w:proofErr w:type="spellStart"/>
      <w:r w:rsidR="00665BB6" w:rsidRPr="00CA00CE">
        <w:rPr>
          <w:rFonts w:cstheme="minorHAnsi"/>
        </w:rPr>
        <w:t>gases</w:t>
      </w:r>
      <w:proofErr w:type="spellEnd"/>
      <w:r w:rsidR="00665BB6" w:rsidRPr="00CA00CE">
        <w:rPr>
          <w:rFonts w:cstheme="minorHAnsi"/>
        </w:rPr>
        <w:t xml:space="preserve"> – ISO 14064 – </w:t>
      </w:r>
      <w:proofErr w:type="spellStart"/>
      <w:r w:rsidR="00665BB6" w:rsidRPr="00CA00CE">
        <w:rPr>
          <w:rFonts w:cstheme="minorHAnsi"/>
        </w:rPr>
        <w:t>Part</w:t>
      </w:r>
      <w:proofErr w:type="spellEnd"/>
      <w:r w:rsidR="00665BB6" w:rsidRPr="00CA00CE">
        <w:rPr>
          <w:rFonts w:cstheme="minorHAnsi"/>
        </w:rPr>
        <w:t xml:space="preserve"> 1: </w:t>
      </w:r>
      <w:proofErr w:type="spellStart"/>
      <w:r w:rsidR="00665BB6" w:rsidRPr="00CA00CE">
        <w:rPr>
          <w:rFonts w:cstheme="minorHAnsi"/>
        </w:rPr>
        <w:t>Specification</w:t>
      </w:r>
      <w:proofErr w:type="spellEnd"/>
      <w:r w:rsidR="00665BB6" w:rsidRPr="00CA00CE">
        <w:rPr>
          <w:rFonts w:cstheme="minorHAnsi"/>
        </w:rPr>
        <w:t xml:space="preserve"> </w:t>
      </w:r>
      <w:proofErr w:type="spellStart"/>
      <w:r w:rsidR="00665BB6" w:rsidRPr="00CA00CE">
        <w:rPr>
          <w:rFonts w:cstheme="minorHAnsi"/>
        </w:rPr>
        <w:t>with</w:t>
      </w:r>
      <w:proofErr w:type="spellEnd"/>
      <w:r w:rsidR="00665BB6" w:rsidRPr="00CA00CE">
        <w:rPr>
          <w:rFonts w:cstheme="minorHAnsi"/>
        </w:rPr>
        <w:t xml:space="preserve"> </w:t>
      </w:r>
      <w:proofErr w:type="spellStart"/>
      <w:r w:rsidR="00665BB6" w:rsidRPr="00CA00CE">
        <w:rPr>
          <w:rFonts w:cstheme="minorHAnsi"/>
        </w:rPr>
        <w:t>guidance</w:t>
      </w:r>
      <w:proofErr w:type="spellEnd"/>
      <w:r w:rsidR="00665BB6" w:rsidRPr="00CA00CE">
        <w:rPr>
          <w:rFonts w:cstheme="minorHAnsi"/>
        </w:rPr>
        <w:t xml:space="preserve"> at </w:t>
      </w:r>
      <w:proofErr w:type="spellStart"/>
      <w:r w:rsidR="00665BB6" w:rsidRPr="00CA00CE">
        <w:rPr>
          <w:rFonts w:cstheme="minorHAnsi"/>
        </w:rPr>
        <w:t>the</w:t>
      </w:r>
      <w:proofErr w:type="spellEnd"/>
      <w:r w:rsidR="00665BB6" w:rsidRPr="00CA00CE">
        <w:rPr>
          <w:rFonts w:cstheme="minorHAnsi"/>
        </w:rPr>
        <w:t xml:space="preserve"> </w:t>
      </w:r>
      <w:proofErr w:type="spellStart"/>
      <w:r w:rsidR="00665BB6" w:rsidRPr="00CA00CE">
        <w:rPr>
          <w:rFonts w:cstheme="minorHAnsi"/>
        </w:rPr>
        <w:t>organisation</w:t>
      </w:r>
      <w:proofErr w:type="spellEnd"/>
      <w:r w:rsidR="00665BB6" w:rsidRPr="00CA00CE">
        <w:rPr>
          <w:rFonts w:cstheme="minorHAnsi"/>
        </w:rPr>
        <w:t xml:space="preserve"> </w:t>
      </w:r>
      <w:proofErr w:type="spellStart"/>
      <w:r w:rsidR="00665BB6" w:rsidRPr="00CA00CE">
        <w:rPr>
          <w:rFonts w:cstheme="minorHAnsi"/>
        </w:rPr>
        <w:t>level</w:t>
      </w:r>
      <w:proofErr w:type="spellEnd"/>
      <w:r w:rsidR="00665BB6" w:rsidRPr="00CA00CE">
        <w:rPr>
          <w:rFonts w:cstheme="minorHAnsi"/>
        </w:rPr>
        <w:t xml:space="preserve"> </w:t>
      </w:r>
      <w:proofErr w:type="spellStart"/>
      <w:r w:rsidR="00665BB6" w:rsidRPr="00CA00CE">
        <w:rPr>
          <w:rFonts w:cstheme="minorHAnsi"/>
        </w:rPr>
        <w:t>for</w:t>
      </w:r>
      <w:proofErr w:type="spellEnd"/>
      <w:r w:rsidR="00665BB6" w:rsidRPr="00CA00CE">
        <w:rPr>
          <w:rFonts w:cstheme="minorHAnsi"/>
        </w:rPr>
        <w:t xml:space="preserve"> </w:t>
      </w:r>
      <w:proofErr w:type="spellStart"/>
      <w:r w:rsidR="00665BB6" w:rsidRPr="00CA00CE">
        <w:rPr>
          <w:rFonts w:cstheme="minorHAnsi"/>
        </w:rPr>
        <w:t>quantifying</w:t>
      </w:r>
      <w:proofErr w:type="spellEnd"/>
      <w:r w:rsidR="00665BB6" w:rsidRPr="00CA00CE">
        <w:rPr>
          <w:rFonts w:cstheme="minorHAnsi"/>
        </w:rPr>
        <w:t xml:space="preserve"> </w:t>
      </w:r>
      <w:proofErr w:type="spellStart"/>
      <w:r w:rsidR="00665BB6" w:rsidRPr="00CA00CE">
        <w:rPr>
          <w:rFonts w:cstheme="minorHAnsi"/>
        </w:rPr>
        <w:t>and</w:t>
      </w:r>
      <w:proofErr w:type="spellEnd"/>
      <w:r w:rsidR="00665BB6" w:rsidRPr="00CA00CE">
        <w:rPr>
          <w:rFonts w:cstheme="minorHAnsi"/>
        </w:rPr>
        <w:t xml:space="preserve"> </w:t>
      </w:r>
      <w:proofErr w:type="spellStart"/>
      <w:r w:rsidR="00665BB6" w:rsidRPr="00CA00CE">
        <w:rPr>
          <w:rFonts w:cstheme="minorHAnsi"/>
        </w:rPr>
        <w:t>reporting</w:t>
      </w:r>
      <w:proofErr w:type="spellEnd"/>
      <w:r w:rsidR="00665BB6" w:rsidRPr="00CA00CE">
        <w:rPr>
          <w:rFonts w:cstheme="minorHAnsi"/>
        </w:rPr>
        <w:t xml:space="preserve"> </w:t>
      </w:r>
      <w:proofErr w:type="spellStart"/>
      <w:r w:rsidR="00665BB6" w:rsidRPr="00CA00CE">
        <w:rPr>
          <w:rFonts w:cstheme="minorHAnsi"/>
        </w:rPr>
        <w:t>of</w:t>
      </w:r>
      <w:proofErr w:type="spellEnd"/>
      <w:r w:rsidR="00665BB6" w:rsidRPr="00CA00CE">
        <w:rPr>
          <w:rFonts w:cstheme="minorHAnsi"/>
        </w:rPr>
        <w:t xml:space="preserve"> </w:t>
      </w:r>
      <w:proofErr w:type="spellStart"/>
      <w:r w:rsidR="00665BB6" w:rsidRPr="00CA00CE">
        <w:rPr>
          <w:rFonts w:cstheme="minorHAnsi"/>
        </w:rPr>
        <w:t>greenhouse</w:t>
      </w:r>
      <w:proofErr w:type="spellEnd"/>
      <w:r w:rsidR="00665BB6" w:rsidRPr="00CA00CE">
        <w:rPr>
          <w:rFonts w:cstheme="minorHAnsi"/>
        </w:rPr>
        <w:t xml:space="preserve"> </w:t>
      </w:r>
      <w:proofErr w:type="spellStart"/>
      <w:r w:rsidR="00665BB6" w:rsidRPr="00CA00CE">
        <w:rPr>
          <w:rFonts w:cstheme="minorHAnsi"/>
        </w:rPr>
        <w:t>gas</w:t>
      </w:r>
      <w:proofErr w:type="spellEnd"/>
      <w:r w:rsidR="00665BB6" w:rsidRPr="00CA00CE">
        <w:rPr>
          <w:rFonts w:cstheme="minorHAnsi"/>
        </w:rPr>
        <w:t xml:space="preserve"> </w:t>
      </w:r>
      <w:proofErr w:type="spellStart"/>
      <w:r w:rsidR="00665BB6" w:rsidRPr="00CA00CE">
        <w:rPr>
          <w:rFonts w:cstheme="minorHAnsi"/>
        </w:rPr>
        <w:t>emissions</w:t>
      </w:r>
      <w:proofErr w:type="spellEnd"/>
      <w:r w:rsidR="00665BB6" w:rsidRPr="00CA00CE">
        <w:rPr>
          <w:rFonts w:cstheme="minorHAnsi"/>
        </w:rPr>
        <w:t xml:space="preserve"> </w:t>
      </w:r>
      <w:proofErr w:type="spellStart"/>
      <w:r w:rsidR="00665BB6" w:rsidRPr="00CA00CE">
        <w:rPr>
          <w:rFonts w:cstheme="minorHAnsi"/>
        </w:rPr>
        <w:t>and</w:t>
      </w:r>
      <w:proofErr w:type="spellEnd"/>
      <w:r w:rsidR="00665BB6" w:rsidRPr="00CA00CE">
        <w:rPr>
          <w:rFonts w:cstheme="minorHAnsi"/>
        </w:rPr>
        <w:t xml:space="preserve"> </w:t>
      </w:r>
      <w:proofErr w:type="spellStart"/>
      <w:r w:rsidR="00665BB6" w:rsidRPr="00CA00CE">
        <w:rPr>
          <w:rFonts w:cstheme="minorHAnsi"/>
        </w:rPr>
        <w:t>removals</w:t>
      </w:r>
      <w:proofErr w:type="spellEnd"/>
      <w:r w:rsidR="00665BB6" w:rsidRPr="00CA00CE">
        <w:rPr>
          <w:rFonts w:cstheme="minorHAnsi"/>
        </w:rPr>
        <w:t xml:space="preserve">,  </w:t>
      </w:r>
      <w:hyperlink r:id="rId7" w:history="1">
        <w:r w:rsidR="00665BB6" w:rsidRPr="00CA00CE">
          <w:rPr>
            <w:rStyle w:val="Hyperlink"/>
            <w:rFonts w:cstheme="minorHAnsi"/>
          </w:rPr>
          <w:t>www.iso.org</w:t>
        </w:r>
      </w:hyperlink>
    </w:p>
    <w:p w14:paraId="7306377E" w14:textId="02899B56" w:rsidR="008164A7" w:rsidRPr="00A36B83" w:rsidRDefault="005516A1" w:rsidP="00F534F9">
      <w:pPr>
        <w:tabs>
          <w:tab w:val="left" w:pos="0"/>
          <w:tab w:val="left" w:pos="142"/>
        </w:tabs>
        <w:spacing w:after="0"/>
        <w:ind w:hanging="142"/>
        <w:jc w:val="both"/>
        <w:rPr>
          <w:rFonts w:cstheme="minorHAnsi"/>
        </w:rPr>
      </w:pPr>
      <w:r w:rsidRPr="00CA00CE">
        <w:rPr>
          <w:rStyle w:val="Hyperlink"/>
          <w:rFonts w:cstheme="minorHAnsi"/>
          <w:u w:val="none"/>
        </w:rPr>
        <w:tab/>
      </w:r>
      <w:r w:rsidR="00F534F9" w:rsidRPr="00F534F9">
        <w:rPr>
          <w:rStyle w:val="Hyperlink"/>
          <w:rFonts w:cstheme="minorHAnsi"/>
          <w:color w:val="auto"/>
          <w:u w:val="none"/>
        </w:rPr>
        <w:t>4.</w:t>
      </w:r>
      <w:r w:rsidR="00C6549D">
        <w:rPr>
          <w:rStyle w:val="Hyperlink"/>
          <w:rFonts w:cstheme="minorHAnsi"/>
          <w:color w:val="auto"/>
          <w:u w:val="none"/>
        </w:rPr>
        <w:t>4</w:t>
      </w:r>
      <w:r w:rsidR="00F534F9" w:rsidRPr="00F534F9">
        <w:rPr>
          <w:rStyle w:val="Hyperlink"/>
          <w:rFonts w:cstheme="minorHAnsi"/>
          <w:color w:val="auto"/>
          <w:u w:val="none"/>
        </w:rPr>
        <w:t xml:space="preserve">. </w:t>
      </w:r>
      <w:r w:rsidR="005F1320" w:rsidRPr="00F534F9">
        <w:rPr>
          <w:rStyle w:val="Hyperlink"/>
          <w:rFonts w:cstheme="minorHAnsi"/>
          <w:color w:val="auto"/>
          <w:u w:val="none"/>
        </w:rPr>
        <w:t xml:space="preserve">Paslaugos </w:t>
      </w:r>
      <w:r w:rsidR="005F1320">
        <w:rPr>
          <w:rStyle w:val="Hyperlink"/>
          <w:rFonts w:cstheme="minorHAnsi"/>
          <w:color w:val="auto"/>
          <w:u w:val="none"/>
        </w:rPr>
        <w:t>T</w:t>
      </w:r>
      <w:r w:rsidR="00613893" w:rsidRPr="00CA00CE">
        <w:rPr>
          <w:rStyle w:val="Hyperlink"/>
          <w:rFonts w:cstheme="minorHAnsi"/>
          <w:color w:val="auto"/>
          <w:u w:val="none"/>
        </w:rPr>
        <w:t xml:space="preserve">iekėjas </w:t>
      </w:r>
      <w:r w:rsidR="00613893" w:rsidRPr="00CA00CE">
        <w:rPr>
          <w:rFonts w:cstheme="minorHAnsi"/>
        </w:rPr>
        <w:t>inventorizuoja tiesioginius, netiesioginius bei</w:t>
      </w:r>
      <w:r w:rsidRPr="00CA00CE">
        <w:rPr>
          <w:rFonts w:cstheme="minorHAnsi"/>
        </w:rPr>
        <w:t xml:space="preserve"> </w:t>
      </w:r>
      <w:r w:rsidR="00613893" w:rsidRPr="00CA00CE">
        <w:rPr>
          <w:rFonts w:cstheme="minorHAnsi"/>
        </w:rPr>
        <w:t>kitus</w:t>
      </w:r>
      <w:r w:rsidRPr="00CA00CE">
        <w:rPr>
          <w:rFonts w:cstheme="minorHAnsi"/>
        </w:rPr>
        <w:t xml:space="preserve"> ŠEDS emisijų </w:t>
      </w:r>
      <w:r w:rsidR="00613893" w:rsidRPr="00CA00CE">
        <w:rPr>
          <w:rFonts w:cstheme="minorHAnsi"/>
        </w:rPr>
        <w:t>šaltinius</w:t>
      </w:r>
      <w:r w:rsidR="00913A65">
        <w:rPr>
          <w:rFonts w:cstheme="minorHAnsi"/>
        </w:rPr>
        <w:t xml:space="preserve"> pagal</w:t>
      </w:r>
      <w:r w:rsidRPr="00CA00CE">
        <w:rPr>
          <w:rFonts w:cstheme="minorHAnsi"/>
        </w:rPr>
        <w:t xml:space="preserve"> </w:t>
      </w:r>
      <w:r w:rsidR="00913A65">
        <w:rPr>
          <w:rFonts w:cstheme="minorHAnsi"/>
        </w:rPr>
        <w:t>GHG I</w:t>
      </w:r>
      <w:r w:rsidR="00616DD4">
        <w:rPr>
          <w:rFonts w:cstheme="minorHAnsi"/>
        </w:rPr>
        <w:t>,</w:t>
      </w:r>
      <w:r w:rsidR="00913A65">
        <w:rPr>
          <w:rFonts w:cstheme="minorHAnsi"/>
        </w:rPr>
        <w:t xml:space="preserve"> II</w:t>
      </w:r>
      <w:r w:rsidR="00616DD4">
        <w:rPr>
          <w:rFonts w:cstheme="minorHAnsi"/>
        </w:rPr>
        <w:t xml:space="preserve"> ir III</w:t>
      </w:r>
      <w:r w:rsidR="00913A65">
        <w:rPr>
          <w:rFonts w:cstheme="minorHAnsi"/>
        </w:rPr>
        <w:t xml:space="preserve"> vertinimo </w:t>
      </w:r>
      <w:r w:rsidR="00616DD4">
        <w:rPr>
          <w:rFonts w:cstheme="minorHAnsi"/>
        </w:rPr>
        <w:t>dalis</w:t>
      </w:r>
      <w:r w:rsidR="00913A65">
        <w:rPr>
          <w:rFonts w:cstheme="minorHAnsi"/>
        </w:rPr>
        <w:t xml:space="preserve">. Apimtis derinama su </w:t>
      </w:r>
      <w:r w:rsidR="005F1320">
        <w:rPr>
          <w:rFonts w:cstheme="minorHAnsi"/>
        </w:rPr>
        <w:t>Užsakovu</w:t>
      </w:r>
      <w:r w:rsidR="00913A65">
        <w:rPr>
          <w:rFonts w:cstheme="minorHAnsi"/>
        </w:rPr>
        <w:t xml:space="preserve"> ŠESD ataskaitos vertinimo metu. </w:t>
      </w:r>
      <w:r w:rsidRPr="00CA00CE">
        <w:rPr>
          <w:rFonts w:cstheme="minorHAnsi"/>
        </w:rPr>
        <w:t xml:space="preserve">Numatomi šie </w:t>
      </w:r>
      <w:r w:rsidR="00F534F9">
        <w:rPr>
          <w:rFonts w:cstheme="minorHAnsi"/>
        </w:rPr>
        <w:t xml:space="preserve">Paslaugos </w:t>
      </w:r>
      <w:r w:rsidR="00613893" w:rsidRPr="00CA00CE">
        <w:rPr>
          <w:rFonts w:cstheme="minorHAnsi"/>
        </w:rPr>
        <w:t xml:space="preserve">vykdymo </w:t>
      </w:r>
      <w:r w:rsidRPr="00CA00CE">
        <w:rPr>
          <w:rFonts w:cstheme="minorHAnsi"/>
        </w:rPr>
        <w:t>etapai</w:t>
      </w:r>
      <w:r w:rsidR="00763F8A" w:rsidRPr="00A36B83">
        <w:rPr>
          <w:rFonts w:cstheme="minorHAnsi"/>
        </w:rPr>
        <w:t xml:space="preserve">, kurių suteikimo grafiką </w:t>
      </w:r>
      <w:r w:rsidR="008164A7" w:rsidRPr="00A36B83">
        <w:rPr>
          <w:rFonts w:cstheme="minorHAnsi"/>
        </w:rPr>
        <w:t xml:space="preserve">Paslaugų teikėjas pateikia </w:t>
      </w:r>
      <w:r w:rsidR="00763F8A" w:rsidRPr="00A36B83">
        <w:rPr>
          <w:rFonts w:cstheme="minorHAnsi"/>
        </w:rPr>
        <w:t>U</w:t>
      </w:r>
      <w:r w:rsidR="008164A7" w:rsidRPr="00A36B83">
        <w:rPr>
          <w:rFonts w:cstheme="minorHAnsi"/>
        </w:rPr>
        <w:t xml:space="preserve">žsakovui </w:t>
      </w:r>
      <w:r w:rsidR="00763F8A" w:rsidRPr="00A36B83">
        <w:rPr>
          <w:rFonts w:cstheme="minorHAnsi"/>
        </w:rPr>
        <w:t xml:space="preserve">per 10 darbo dienų nuo </w:t>
      </w:r>
      <w:r w:rsidR="008164A7" w:rsidRPr="00A36B83">
        <w:rPr>
          <w:rFonts w:cstheme="minorHAnsi"/>
        </w:rPr>
        <w:t xml:space="preserve">Sutarties </w:t>
      </w:r>
      <w:r w:rsidR="00763F8A" w:rsidRPr="00A36B83">
        <w:rPr>
          <w:rFonts w:cstheme="minorHAnsi"/>
        </w:rPr>
        <w:t>pasirašymo dienos:</w:t>
      </w:r>
    </w:p>
    <w:p w14:paraId="12C8E419" w14:textId="73E7C1D9" w:rsidR="00A36B83" w:rsidRDefault="00763F8A" w:rsidP="00A36B83">
      <w:pPr>
        <w:tabs>
          <w:tab w:val="left" w:pos="284"/>
          <w:tab w:val="left" w:pos="567"/>
        </w:tabs>
        <w:spacing w:after="0"/>
        <w:jc w:val="both"/>
        <w:rPr>
          <w:rFonts w:cstheme="minorHAnsi"/>
        </w:rPr>
      </w:pPr>
      <w:r>
        <w:rPr>
          <w:rFonts w:eastAsia="Times New Roman" w:cstheme="minorHAnsi"/>
          <w:lang w:eastAsia="lt-LT"/>
        </w:rPr>
        <w:t>4.</w:t>
      </w:r>
      <w:r w:rsidR="00A36B83">
        <w:rPr>
          <w:rFonts w:eastAsia="Times New Roman" w:cstheme="minorHAnsi"/>
          <w:lang w:eastAsia="lt-LT"/>
        </w:rPr>
        <w:t>4</w:t>
      </w:r>
      <w:r>
        <w:rPr>
          <w:rFonts w:eastAsia="Times New Roman" w:cstheme="minorHAnsi"/>
          <w:lang w:eastAsia="lt-LT"/>
        </w:rPr>
        <w:t>.1.</w:t>
      </w:r>
      <w:r w:rsidR="00A36B83">
        <w:rPr>
          <w:rFonts w:eastAsia="Times New Roman" w:cstheme="minorHAnsi"/>
          <w:lang w:eastAsia="lt-LT"/>
        </w:rPr>
        <w:t xml:space="preserve"> </w:t>
      </w:r>
      <w:r w:rsidR="00616DD4" w:rsidRPr="00CA18FB">
        <w:rPr>
          <w:rFonts w:cstheme="minorHAnsi"/>
        </w:rPr>
        <w:t xml:space="preserve">Esamos </w:t>
      </w:r>
      <w:r w:rsidR="002472CD" w:rsidRPr="00CA18FB">
        <w:rPr>
          <w:rFonts w:cstheme="minorHAnsi"/>
        </w:rPr>
        <w:t xml:space="preserve">ŠESD </w:t>
      </w:r>
      <w:r w:rsidR="00665BB6" w:rsidRPr="00CA18FB">
        <w:rPr>
          <w:rFonts w:cstheme="minorHAnsi"/>
        </w:rPr>
        <w:t xml:space="preserve">pėdsako </w:t>
      </w:r>
      <w:r w:rsidR="00622F18" w:rsidRPr="00CA18FB">
        <w:rPr>
          <w:rFonts w:cstheme="minorHAnsi"/>
        </w:rPr>
        <w:t xml:space="preserve">apskaičiavimo </w:t>
      </w:r>
      <w:r w:rsidR="00665BB6" w:rsidRPr="00CA18FB">
        <w:rPr>
          <w:rFonts w:cstheme="minorHAnsi"/>
        </w:rPr>
        <w:t xml:space="preserve">metodikos </w:t>
      </w:r>
      <w:r w:rsidR="00616DD4" w:rsidRPr="00CA18FB">
        <w:rPr>
          <w:rFonts w:cstheme="minorHAnsi"/>
        </w:rPr>
        <w:t>peržiūrėjimas, tikslinimas</w:t>
      </w:r>
      <w:r w:rsidR="00665BB6" w:rsidRPr="00CA18FB">
        <w:rPr>
          <w:rFonts w:cstheme="minorHAnsi"/>
        </w:rPr>
        <w:t xml:space="preserve"> ir suderinimas su Užsakovu</w:t>
      </w:r>
      <w:r w:rsidRPr="00CA18FB">
        <w:rPr>
          <w:rFonts w:cstheme="minorHAnsi"/>
        </w:rPr>
        <w:t>.</w:t>
      </w:r>
    </w:p>
    <w:p w14:paraId="5BC255F2" w14:textId="779C1F40" w:rsidR="00665BB6" w:rsidRDefault="00A36B83" w:rsidP="00A36B83">
      <w:pPr>
        <w:pStyle w:val="ListParagraph"/>
        <w:tabs>
          <w:tab w:val="left" w:pos="284"/>
          <w:tab w:val="left" w:pos="567"/>
        </w:tabs>
        <w:spacing w:after="0"/>
        <w:ind w:left="0"/>
        <w:jc w:val="both"/>
        <w:rPr>
          <w:rFonts w:eastAsia="Times New Roman" w:cstheme="minorHAnsi"/>
          <w:lang w:eastAsia="lt-LT"/>
        </w:rPr>
      </w:pPr>
      <w:r>
        <w:rPr>
          <w:rFonts w:eastAsia="Times New Roman" w:cstheme="minorHAnsi"/>
          <w:lang w:eastAsia="lt-LT"/>
        </w:rPr>
        <w:t>4.4.</w:t>
      </w:r>
      <w:r w:rsidR="00B33281">
        <w:rPr>
          <w:rFonts w:eastAsia="Times New Roman" w:cstheme="minorHAnsi"/>
          <w:lang w:eastAsia="lt-LT"/>
        </w:rPr>
        <w:t>2</w:t>
      </w:r>
      <w:r>
        <w:rPr>
          <w:rFonts w:eastAsia="Times New Roman" w:cstheme="minorHAnsi"/>
          <w:lang w:eastAsia="lt-LT"/>
        </w:rPr>
        <w:t xml:space="preserve">. </w:t>
      </w:r>
      <w:r w:rsidR="00616DD4">
        <w:rPr>
          <w:rFonts w:eastAsia="Times New Roman" w:cstheme="minorHAnsi"/>
          <w:lang w:eastAsia="lt-LT"/>
        </w:rPr>
        <w:t>2022 metų</w:t>
      </w:r>
      <w:r w:rsidR="005516A1" w:rsidRPr="00F534F9">
        <w:rPr>
          <w:rFonts w:eastAsia="Times New Roman" w:cstheme="minorHAnsi"/>
          <w:lang w:eastAsia="lt-LT"/>
        </w:rPr>
        <w:t xml:space="preserve"> </w:t>
      </w:r>
      <w:r w:rsidR="00B33281" w:rsidRPr="00F534F9">
        <w:rPr>
          <w:rFonts w:eastAsia="Times New Roman" w:cstheme="minorHAnsi"/>
          <w:lang w:eastAsia="lt-LT"/>
        </w:rPr>
        <w:t>ŠESD emisijų šaltinių identifikavimas</w:t>
      </w:r>
      <w:r w:rsidR="00B33281">
        <w:rPr>
          <w:rFonts w:eastAsia="Times New Roman" w:cstheme="minorHAnsi"/>
          <w:lang w:eastAsia="lt-LT"/>
        </w:rPr>
        <w:t>,</w:t>
      </w:r>
      <w:r w:rsidR="00B33281" w:rsidRPr="00F534F9">
        <w:rPr>
          <w:rFonts w:eastAsia="Times New Roman" w:cstheme="minorHAnsi"/>
          <w:lang w:eastAsia="lt-LT"/>
        </w:rPr>
        <w:t xml:space="preserve"> </w:t>
      </w:r>
      <w:r w:rsidR="005516A1" w:rsidRPr="00F534F9">
        <w:rPr>
          <w:rFonts w:eastAsia="Times New Roman" w:cstheme="minorHAnsi"/>
          <w:lang w:eastAsia="lt-LT"/>
        </w:rPr>
        <w:t xml:space="preserve">duomenų </w:t>
      </w:r>
      <w:r w:rsidR="00616DD4">
        <w:rPr>
          <w:rFonts w:eastAsia="Times New Roman" w:cstheme="minorHAnsi"/>
          <w:lang w:eastAsia="lt-LT"/>
        </w:rPr>
        <w:t xml:space="preserve">inventorizavimas, </w:t>
      </w:r>
      <w:r w:rsidR="005516A1" w:rsidRPr="00F534F9">
        <w:rPr>
          <w:rFonts w:eastAsia="Times New Roman" w:cstheme="minorHAnsi"/>
          <w:lang w:eastAsia="lt-LT"/>
        </w:rPr>
        <w:t xml:space="preserve">surinkimas ir ŠESD emisijų skaičiavimų atlikimas. </w:t>
      </w:r>
    </w:p>
    <w:p w14:paraId="29E9CB98" w14:textId="115D475C" w:rsidR="00616DD4" w:rsidRPr="00F534F9" w:rsidRDefault="00616DD4" w:rsidP="00B33281">
      <w:pPr>
        <w:pStyle w:val="ListParagraph"/>
        <w:numPr>
          <w:ilvl w:val="2"/>
          <w:numId w:val="8"/>
        </w:numPr>
        <w:tabs>
          <w:tab w:val="left" w:pos="284"/>
          <w:tab w:val="left" w:pos="567"/>
        </w:tabs>
        <w:spacing w:after="0"/>
        <w:ind w:left="0" w:firstLine="0"/>
        <w:jc w:val="both"/>
        <w:rPr>
          <w:rFonts w:eastAsia="Times New Roman" w:cstheme="minorHAnsi"/>
          <w:lang w:eastAsia="lt-LT"/>
        </w:rPr>
      </w:pPr>
      <w:r>
        <w:rPr>
          <w:rFonts w:eastAsia="Times New Roman" w:cstheme="minorHAnsi"/>
          <w:lang w:eastAsia="lt-LT"/>
        </w:rPr>
        <w:t>2023 metų</w:t>
      </w:r>
      <w:r w:rsidRPr="00F534F9">
        <w:rPr>
          <w:rFonts w:eastAsia="Times New Roman" w:cstheme="minorHAnsi"/>
          <w:lang w:eastAsia="lt-LT"/>
        </w:rPr>
        <w:t xml:space="preserve"> </w:t>
      </w:r>
      <w:r w:rsidR="00B33281" w:rsidRPr="00F534F9">
        <w:rPr>
          <w:rFonts w:eastAsia="Times New Roman" w:cstheme="minorHAnsi"/>
          <w:lang w:eastAsia="lt-LT"/>
        </w:rPr>
        <w:t>ŠESD emisijų šaltinių identifikavimas</w:t>
      </w:r>
      <w:r w:rsidR="00B33281">
        <w:rPr>
          <w:rFonts w:eastAsia="Times New Roman" w:cstheme="minorHAnsi"/>
          <w:lang w:eastAsia="lt-LT"/>
        </w:rPr>
        <w:t>,</w:t>
      </w:r>
      <w:r w:rsidR="00B33281" w:rsidRPr="00F534F9">
        <w:rPr>
          <w:rFonts w:eastAsia="Times New Roman" w:cstheme="minorHAnsi"/>
          <w:lang w:eastAsia="lt-LT"/>
        </w:rPr>
        <w:t xml:space="preserve"> duomenų </w:t>
      </w:r>
      <w:r w:rsidR="00B33281">
        <w:rPr>
          <w:rFonts w:eastAsia="Times New Roman" w:cstheme="minorHAnsi"/>
          <w:lang w:eastAsia="lt-LT"/>
        </w:rPr>
        <w:t xml:space="preserve">inventorizavimas, </w:t>
      </w:r>
      <w:r w:rsidR="00B33281" w:rsidRPr="00F534F9">
        <w:rPr>
          <w:rFonts w:eastAsia="Times New Roman" w:cstheme="minorHAnsi"/>
          <w:lang w:eastAsia="lt-LT"/>
        </w:rPr>
        <w:t>surinkimas ir ŠESD emisijų skaičiavimų atlikimas</w:t>
      </w:r>
      <w:r w:rsidRPr="00F534F9">
        <w:rPr>
          <w:rFonts w:eastAsia="Times New Roman" w:cstheme="minorHAnsi"/>
          <w:lang w:eastAsia="lt-LT"/>
        </w:rPr>
        <w:t xml:space="preserve">. </w:t>
      </w:r>
    </w:p>
    <w:p w14:paraId="366B5ADD" w14:textId="09217810" w:rsidR="00995E60" w:rsidRPr="00A36B83" w:rsidRDefault="00995E60" w:rsidP="00A36B83">
      <w:pPr>
        <w:pStyle w:val="ListParagraph"/>
        <w:numPr>
          <w:ilvl w:val="2"/>
          <w:numId w:val="8"/>
        </w:numPr>
        <w:tabs>
          <w:tab w:val="left" w:pos="284"/>
          <w:tab w:val="left" w:pos="567"/>
        </w:tabs>
        <w:spacing w:after="0"/>
        <w:ind w:left="0" w:firstLine="0"/>
        <w:jc w:val="both"/>
        <w:rPr>
          <w:rFonts w:eastAsia="Times New Roman" w:cstheme="minorHAnsi"/>
          <w:lang w:eastAsia="lt-LT"/>
        </w:rPr>
      </w:pPr>
      <w:r w:rsidRPr="00A36B83">
        <w:rPr>
          <w:rFonts w:eastAsia="Times New Roman" w:cstheme="minorHAnsi"/>
          <w:lang w:eastAsia="lt-LT"/>
        </w:rPr>
        <w:t xml:space="preserve">Išsiskiriančių ŠESD analizė, konsultacijos su </w:t>
      </w:r>
      <w:r w:rsidR="00B33281">
        <w:rPr>
          <w:rFonts w:eastAsia="Times New Roman" w:cstheme="minorHAnsi"/>
          <w:lang w:eastAsia="lt-LT"/>
        </w:rPr>
        <w:t>Bendrovės</w:t>
      </w:r>
      <w:r w:rsidRPr="00A36B83">
        <w:rPr>
          <w:rFonts w:eastAsia="Times New Roman" w:cstheme="minorHAnsi"/>
          <w:lang w:eastAsia="lt-LT"/>
        </w:rPr>
        <w:t xml:space="preserve"> padaliniais dėl galimų ŠEDS mažinimo priemonių taikymo.</w:t>
      </w:r>
    </w:p>
    <w:p w14:paraId="2492C842" w14:textId="6407BC9A" w:rsidR="00660172" w:rsidRPr="00F534F9" w:rsidRDefault="00616DD4" w:rsidP="00A36B83">
      <w:pPr>
        <w:pStyle w:val="ListParagraph"/>
        <w:numPr>
          <w:ilvl w:val="2"/>
          <w:numId w:val="8"/>
        </w:numPr>
        <w:tabs>
          <w:tab w:val="left" w:pos="284"/>
          <w:tab w:val="left" w:pos="567"/>
        </w:tabs>
        <w:spacing w:after="0"/>
        <w:ind w:left="0" w:firstLine="0"/>
        <w:jc w:val="both"/>
        <w:rPr>
          <w:rFonts w:eastAsia="Times New Roman" w:cstheme="minorHAnsi"/>
          <w:lang w:eastAsia="lt-LT"/>
        </w:rPr>
      </w:pPr>
      <w:r>
        <w:rPr>
          <w:rFonts w:eastAsia="Times New Roman" w:cstheme="minorHAnsi"/>
          <w:lang w:eastAsia="lt-LT"/>
        </w:rPr>
        <w:t>Galutinės</w:t>
      </w:r>
      <w:r w:rsidR="00995E60" w:rsidRPr="00F534F9">
        <w:rPr>
          <w:rFonts w:eastAsia="Times New Roman" w:cstheme="minorHAnsi"/>
          <w:lang w:eastAsia="lt-LT"/>
        </w:rPr>
        <w:t xml:space="preserve"> ŠESD galutinės ataskaitos su ŠESD mažinimo scenarijais pa</w:t>
      </w:r>
      <w:r w:rsidR="00A32165" w:rsidRPr="00F534F9">
        <w:rPr>
          <w:rFonts w:eastAsia="Times New Roman" w:cstheme="minorHAnsi"/>
          <w:lang w:eastAsia="lt-LT"/>
        </w:rPr>
        <w:t>ruošimas</w:t>
      </w:r>
      <w:r>
        <w:rPr>
          <w:rFonts w:eastAsia="Times New Roman" w:cstheme="minorHAnsi"/>
          <w:lang w:eastAsia="lt-LT"/>
        </w:rPr>
        <w:t>,</w:t>
      </w:r>
      <w:r w:rsidRPr="00616DD4">
        <w:rPr>
          <w:rFonts w:eastAsia="Times New Roman" w:cstheme="minorHAnsi"/>
          <w:lang w:eastAsia="lt-LT"/>
        </w:rPr>
        <w:t xml:space="preserve"> </w:t>
      </w:r>
      <w:r w:rsidRPr="00F534F9">
        <w:rPr>
          <w:rFonts w:eastAsia="Times New Roman" w:cstheme="minorHAnsi"/>
          <w:lang w:eastAsia="lt-LT"/>
        </w:rPr>
        <w:t>pristatymas ir aptarimas</w:t>
      </w:r>
      <w:r w:rsidR="00995E60" w:rsidRPr="00F534F9">
        <w:rPr>
          <w:rFonts w:eastAsia="Times New Roman" w:cstheme="minorHAnsi"/>
          <w:lang w:eastAsia="lt-LT"/>
        </w:rPr>
        <w:t xml:space="preserve">, numatant ŠESD emisijų mažinimo priemones, padėsiančias iki 2030 m. pasiekti tikslus - </w:t>
      </w:r>
      <w:r w:rsidR="00995E60" w:rsidRPr="00F534F9">
        <w:rPr>
          <w:rFonts w:eastAsia="Times New Roman" w:cstheme="minorHAnsi"/>
          <w:b/>
          <w:i/>
          <w:lang w:eastAsia="lt-LT"/>
        </w:rPr>
        <w:t xml:space="preserve">sumažinti </w:t>
      </w:r>
      <w:r w:rsidR="002472CD" w:rsidRPr="00F534F9">
        <w:rPr>
          <w:rFonts w:eastAsia="Times New Roman" w:cstheme="minorHAnsi"/>
          <w:b/>
          <w:i/>
          <w:lang w:eastAsia="lt-LT"/>
        </w:rPr>
        <w:t>55 proc.</w:t>
      </w:r>
      <w:r w:rsidR="00995E60" w:rsidRPr="00F534F9">
        <w:rPr>
          <w:rFonts w:eastAsia="Times New Roman" w:cstheme="minorHAnsi"/>
          <w:b/>
          <w:i/>
          <w:lang w:eastAsia="lt-LT"/>
        </w:rPr>
        <w:t xml:space="preserve"> poveikį</w:t>
      </w:r>
      <w:r w:rsidR="00995E60" w:rsidRPr="00F534F9">
        <w:rPr>
          <w:rFonts w:eastAsia="Times New Roman" w:cstheme="minorHAnsi"/>
          <w:lang w:eastAsia="lt-LT"/>
        </w:rPr>
        <w:t xml:space="preserve"> aplinkai </w:t>
      </w:r>
      <w:r w:rsidR="00CA3E77" w:rsidRPr="00F534F9">
        <w:rPr>
          <w:rFonts w:eastAsia="Times New Roman" w:cstheme="minorHAnsi"/>
          <w:lang w:eastAsia="lt-LT"/>
        </w:rPr>
        <w:t>lyginant su referencini</w:t>
      </w:r>
      <w:r>
        <w:rPr>
          <w:rFonts w:eastAsia="Times New Roman" w:cstheme="minorHAnsi"/>
          <w:lang w:eastAsia="lt-LT"/>
        </w:rPr>
        <w:t>ais</w:t>
      </w:r>
      <w:r w:rsidR="00CA3E77" w:rsidRPr="00F534F9">
        <w:rPr>
          <w:rFonts w:eastAsia="Times New Roman" w:cstheme="minorHAnsi"/>
          <w:lang w:eastAsia="lt-LT"/>
        </w:rPr>
        <w:t xml:space="preserve"> </w:t>
      </w:r>
      <w:r>
        <w:rPr>
          <w:rFonts w:eastAsia="Times New Roman" w:cstheme="minorHAnsi"/>
          <w:lang w:eastAsia="lt-LT"/>
        </w:rPr>
        <w:t xml:space="preserve">2018 </w:t>
      </w:r>
      <w:r w:rsidR="00CA3E77" w:rsidRPr="00F534F9">
        <w:rPr>
          <w:rFonts w:eastAsia="Times New Roman" w:cstheme="minorHAnsi"/>
          <w:lang w:eastAsia="lt-LT"/>
        </w:rPr>
        <w:t>met</w:t>
      </w:r>
      <w:r>
        <w:rPr>
          <w:rFonts w:eastAsia="Times New Roman" w:cstheme="minorHAnsi"/>
          <w:lang w:eastAsia="lt-LT"/>
        </w:rPr>
        <w:t>ais</w:t>
      </w:r>
      <w:r w:rsidR="00995E60" w:rsidRPr="00F534F9">
        <w:rPr>
          <w:rFonts w:cstheme="minorHAnsi"/>
        </w:rPr>
        <w:t>.</w:t>
      </w:r>
    </w:p>
    <w:p w14:paraId="4E9A5625" w14:textId="708140C2" w:rsidR="009A050B" w:rsidRPr="00A36B83" w:rsidRDefault="00CC5628" w:rsidP="00A36B83">
      <w:pPr>
        <w:pStyle w:val="ListParagraph"/>
        <w:numPr>
          <w:ilvl w:val="1"/>
          <w:numId w:val="8"/>
        </w:numPr>
        <w:tabs>
          <w:tab w:val="left" w:pos="284"/>
        </w:tabs>
        <w:spacing w:after="0"/>
        <w:jc w:val="both"/>
        <w:rPr>
          <w:rFonts w:cstheme="minorHAnsi"/>
        </w:rPr>
      </w:pPr>
      <w:r w:rsidRPr="00A36B83">
        <w:rPr>
          <w:rFonts w:cstheme="minorHAnsi"/>
        </w:rPr>
        <w:t>Paslaugų suteikimo terminas</w:t>
      </w:r>
      <w:r w:rsidR="009A050B" w:rsidRPr="00A36B83">
        <w:rPr>
          <w:rFonts w:cstheme="minorHAnsi"/>
        </w:rPr>
        <w:t>:</w:t>
      </w:r>
      <w:r w:rsidR="00B34657" w:rsidRPr="00A36B83">
        <w:rPr>
          <w:rFonts w:cstheme="minorHAnsi"/>
        </w:rPr>
        <w:t xml:space="preserve"> </w:t>
      </w:r>
    </w:p>
    <w:p w14:paraId="508BE7FD" w14:textId="4B7D79B1" w:rsidR="009A050B" w:rsidRDefault="00F534F9" w:rsidP="00DD2643">
      <w:pPr>
        <w:tabs>
          <w:tab w:val="left" w:pos="284"/>
        </w:tabs>
        <w:spacing w:after="0"/>
        <w:jc w:val="both"/>
        <w:rPr>
          <w:rFonts w:cstheme="minorHAnsi"/>
        </w:rPr>
      </w:pPr>
      <w:r>
        <w:rPr>
          <w:rFonts w:cstheme="minorHAnsi"/>
        </w:rPr>
        <w:t xml:space="preserve">4.5.1. </w:t>
      </w:r>
      <w:r w:rsidR="00686F19">
        <w:rPr>
          <w:rFonts w:cstheme="minorHAnsi"/>
        </w:rPr>
        <w:t>galutinė 2022 metų</w:t>
      </w:r>
      <w:r w:rsidR="00B34657" w:rsidRPr="00A42D99">
        <w:rPr>
          <w:rFonts w:cstheme="minorHAnsi"/>
        </w:rPr>
        <w:t xml:space="preserve"> ŠESD inventorizacijos </w:t>
      </w:r>
      <w:r w:rsidR="00622F18">
        <w:rPr>
          <w:rFonts w:cstheme="minorHAnsi"/>
        </w:rPr>
        <w:t xml:space="preserve">ir apskaičiavimo </w:t>
      </w:r>
      <w:r w:rsidR="00B34657" w:rsidRPr="00A42D99">
        <w:rPr>
          <w:rFonts w:cstheme="minorHAnsi"/>
        </w:rPr>
        <w:t>ataskaita</w:t>
      </w:r>
      <w:r w:rsidR="00686F19">
        <w:rPr>
          <w:rFonts w:cstheme="minorHAnsi"/>
        </w:rPr>
        <w:t xml:space="preserve"> </w:t>
      </w:r>
      <w:r w:rsidR="00B34657" w:rsidRPr="00A42D99">
        <w:rPr>
          <w:rFonts w:cstheme="minorHAnsi"/>
        </w:rPr>
        <w:t xml:space="preserve">– ne vėliau nei </w:t>
      </w:r>
      <w:r w:rsidR="00CC5628">
        <w:rPr>
          <w:rFonts w:cstheme="minorHAnsi"/>
        </w:rPr>
        <w:t xml:space="preserve">per </w:t>
      </w:r>
      <w:r w:rsidR="00B34657" w:rsidRPr="00A42D99">
        <w:rPr>
          <w:rFonts w:cstheme="minorHAnsi"/>
        </w:rPr>
        <w:t>4 mėn</w:t>
      </w:r>
      <w:r w:rsidR="00CC5628">
        <w:rPr>
          <w:rFonts w:cstheme="minorHAnsi"/>
        </w:rPr>
        <w:t>esius</w:t>
      </w:r>
      <w:r w:rsidR="00B34657" w:rsidRPr="00A42D99">
        <w:rPr>
          <w:rFonts w:cstheme="minorHAnsi"/>
        </w:rPr>
        <w:t xml:space="preserve"> nuo sutarties pasirašymo</w:t>
      </w:r>
      <w:r w:rsidR="00CC5628">
        <w:rPr>
          <w:rFonts w:cstheme="minorHAnsi"/>
        </w:rPr>
        <w:t xml:space="preserve"> dienos</w:t>
      </w:r>
      <w:r w:rsidR="00B34657" w:rsidRPr="00A42D99">
        <w:rPr>
          <w:rFonts w:cstheme="minorHAnsi"/>
        </w:rPr>
        <w:t xml:space="preserve">. </w:t>
      </w:r>
    </w:p>
    <w:p w14:paraId="5D769239" w14:textId="347C3A91" w:rsidR="005516A1" w:rsidRPr="00CA00CE" w:rsidRDefault="00F534F9" w:rsidP="00DD2643">
      <w:pPr>
        <w:tabs>
          <w:tab w:val="left" w:pos="284"/>
        </w:tabs>
        <w:spacing w:after="0"/>
        <w:jc w:val="both"/>
        <w:rPr>
          <w:rFonts w:cstheme="minorHAnsi"/>
        </w:rPr>
      </w:pPr>
      <w:r>
        <w:rPr>
          <w:rFonts w:cstheme="minorHAnsi"/>
        </w:rPr>
        <w:t xml:space="preserve">4.5.2. </w:t>
      </w:r>
      <w:r w:rsidR="00686F19">
        <w:rPr>
          <w:rFonts w:cstheme="minorHAnsi"/>
        </w:rPr>
        <w:t>galutinė 2023 metų</w:t>
      </w:r>
      <w:r w:rsidR="00686F19" w:rsidRPr="00A42D99">
        <w:rPr>
          <w:rFonts w:cstheme="minorHAnsi"/>
        </w:rPr>
        <w:t xml:space="preserve"> ŠESD inventorizacijos </w:t>
      </w:r>
      <w:r w:rsidR="00686F19">
        <w:rPr>
          <w:rFonts w:cstheme="minorHAnsi"/>
        </w:rPr>
        <w:t xml:space="preserve">ir apskaičiavimo </w:t>
      </w:r>
      <w:r w:rsidR="00686F19" w:rsidRPr="00A42D99">
        <w:rPr>
          <w:rFonts w:cstheme="minorHAnsi"/>
        </w:rPr>
        <w:t>ataskaita</w:t>
      </w:r>
      <w:r w:rsidR="00686F19">
        <w:rPr>
          <w:rFonts w:cstheme="minorHAnsi"/>
        </w:rPr>
        <w:t xml:space="preserve"> </w:t>
      </w:r>
      <w:r w:rsidR="00686F19" w:rsidRPr="00A42D99">
        <w:rPr>
          <w:rFonts w:cstheme="minorHAnsi"/>
        </w:rPr>
        <w:t xml:space="preserve">– ne vėliau nei </w:t>
      </w:r>
      <w:r w:rsidR="00686F19">
        <w:rPr>
          <w:rFonts w:cstheme="minorHAnsi"/>
        </w:rPr>
        <w:t>per 6</w:t>
      </w:r>
      <w:r w:rsidR="00686F19" w:rsidRPr="00A42D99">
        <w:rPr>
          <w:rFonts w:cstheme="minorHAnsi"/>
        </w:rPr>
        <w:t xml:space="preserve"> mėn</w:t>
      </w:r>
      <w:r w:rsidR="00686F19">
        <w:rPr>
          <w:rFonts w:cstheme="minorHAnsi"/>
        </w:rPr>
        <w:t>esius</w:t>
      </w:r>
      <w:r w:rsidR="00686F19" w:rsidRPr="00A42D99">
        <w:rPr>
          <w:rFonts w:cstheme="minorHAnsi"/>
        </w:rPr>
        <w:t xml:space="preserve"> nuo sutarties pasirašymo</w:t>
      </w:r>
      <w:r w:rsidR="00686F19">
        <w:rPr>
          <w:rFonts w:cstheme="minorHAnsi"/>
        </w:rPr>
        <w:t xml:space="preserve"> dienos</w:t>
      </w:r>
      <w:r w:rsidR="009A050B">
        <w:rPr>
          <w:rFonts w:cstheme="minorHAnsi"/>
        </w:rPr>
        <w:t>.</w:t>
      </w:r>
    </w:p>
    <w:p w14:paraId="28D483D4" w14:textId="38B79B99" w:rsidR="00B5612F" w:rsidRPr="00CA00CE" w:rsidRDefault="00F534F9" w:rsidP="00DD2643">
      <w:pPr>
        <w:tabs>
          <w:tab w:val="left" w:pos="284"/>
        </w:tabs>
        <w:spacing w:after="0"/>
        <w:jc w:val="both"/>
        <w:rPr>
          <w:rFonts w:cstheme="minorHAnsi"/>
        </w:rPr>
      </w:pPr>
      <w:r>
        <w:rPr>
          <w:rFonts w:cstheme="minorHAnsi"/>
        </w:rPr>
        <w:t xml:space="preserve">4.6. </w:t>
      </w:r>
      <w:r w:rsidR="00B5612F" w:rsidRPr="00CA00CE">
        <w:rPr>
          <w:rFonts w:cstheme="minorHAnsi"/>
        </w:rPr>
        <w:t>Galutinė</w:t>
      </w:r>
      <w:r w:rsidR="00686F19">
        <w:rPr>
          <w:rFonts w:cstheme="minorHAnsi"/>
        </w:rPr>
        <w:t>s</w:t>
      </w:r>
      <w:r w:rsidR="00B5612F" w:rsidRPr="00CA00CE">
        <w:rPr>
          <w:rFonts w:cstheme="minorHAnsi"/>
        </w:rPr>
        <w:t xml:space="preserve"> ataskait</w:t>
      </w:r>
      <w:r w:rsidR="00686F19">
        <w:rPr>
          <w:rFonts w:cstheme="minorHAnsi"/>
        </w:rPr>
        <w:t>os</w:t>
      </w:r>
      <w:r w:rsidR="00B5612F" w:rsidRPr="00CA00CE">
        <w:rPr>
          <w:rFonts w:cstheme="minorHAnsi"/>
        </w:rPr>
        <w:t xml:space="preserve"> turi būti parengt</w:t>
      </w:r>
      <w:r w:rsidR="00686F19">
        <w:rPr>
          <w:rFonts w:cstheme="minorHAnsi"/>
        </w:rPr>
        <w:t>os</w:t>
      </w:r>
      <w:r w:rsidR="00B5612F" w:rsidRPr="00CA00CE">
        <w:rPr>
          <w:rFonts w:cstheme="minorHAnsi"/>
        </w:rPr>
        <w:t xml:space="preserve"> elektroninėje laikmenoje (</w:t>
      </w:r>
      <w:r w:rsidR="00681979">
        <w:rPr>
          <w:rFonts w:cstheme="minorHAnsi"/>
        </w:rPr>
        <w:t>W</w:t>
      </w:r>
      <w:r w:rsidR="002472CD">
        <w:rPr>
          <w:rFonts w:cstheme="minorHAnsi"/>
        </w:rPr>
        <w:t xml:space="preserve">ord, </w:t>
      </w:r>
      <w:proofErr w:type="spellStart"/>
      <w:r w:rsidR="009A050B">
        <w:rPr>
          <w:rFonts w:cstheme="minorHAnsi"/>
        </w:rPr>
        <w:t>p</w:t>
      </w:r>
      <w:r w:rsidR="00B5612F" w:rsidRPr="00CA00CE">
        <w:rPr>
          <w:rFonts w:cstheme="minorHAnsi"/>
        </w:rPr>
        <w:t>df</w:t>
      </w:r>
      <w:proofErr w:type="spellEnd"/>
      <w:r w:rsidR="009A050B">
        <w:rPr>
          <w:rFonts w:cstheme="minorHAnsi"/>
        </w:rPr>
        <w:t>.</w:t>
      </w:r>
      <w:r w:rsidR="002472CD">
        <w:rPr>
          <w:rFonts w:cstheme="minorHAnsi"/>
        </w:rPr>
        <w:t xml:space="preserve">, </w:t>
      </w:r>
      <w:r w:rsidR="00681979">
        <w:rPr>
          <w:rFonts w:cstheme="minorHAnsi"/>
        </w:rPr>
        <w:t>Excel).</w:t>
      </w:r>
      <w:r w:rsidR="002472CD">
        <w:rPr>
          <w:rFonts w:cstheme="minorHAnsi"/>
        </w:rPr>
        <w:t xml:space="preserve"> </w:t>
      </w:r>
      <w:r w:rsidR="00681979">
        <w:rPr>
          <w:rFonts w:cstheme="minorHAnsi"/>
        </w:rPr>
        <w:t>P</w:t>
      </w:r>
      <w:r w:rsidR="002472CD">
        <w:rPr>
          <w:rFonts w:cstheme="minorHAnsi"/>
        </w:rPr>
        <w:t xml:space="preserve">ateikiami </w:t>
      </w:r>
      <w:r w:rsidR="00681979">
        <w:rPr>
          <w:rFonts w:cstheme="minorHAnsi"/>
        </w:rPr>
        <w:t>skaičiavimui</w:t>
      </w:r>
      <w:r w:rsidR="002472CD">
        <w:rPr>
          <w:rFonts w:cstheme="minorHAnsi"/>
        </w:rPr>
        <w:t xml:space="preserve"> naudoti priedai </w:t>
      </w:r>
      <w:r w:rsidR="00681979">
        <w:rPr>
          <w:rFonts w:cstheme="minorHAnsi"/>
        </w:rPr>
        <w:t>Excel</w:t>
      </w:r>
      <w:r w:rsidR="002472CD">
        <w:rPr>
          <w:rFonts w:cstheme="minorHAnsi"/>
        </w:rPr>
        <w:t xml:space="preserve"> ir kita koreguojama forma</w:t>
      </w:r>
      <w:r w:rsidR="00B5612F" w:rsidRPr="00CA00CE">
        <w:rPr>
          <w:rFonts w:cstheme="minorHAnsi"/>
        </w:rPr>
        <w:t xml:space="preserve">). </w:t>
      </w:r>
    </w:p>
    <w:p w14:paraId="7BD21DCD" w14:textId="0450F03A" w:rsidR="00B5612F" w:rsidRDefault="00F534F9" w:rsidP="00DD2643">
      <w:pPr>
        <w:tabs>
          <w:tab w:val="left" w:pos="284"/>
        </w:tabs>
        <w:spacing w:after="0"/>
        <w:jc w:val="both"/>
        <w:rPr>
          <w:rFonts w:cstheme="minorHAnsi"/>
        </w:rPr>
      </w:pPr>
      <w:r>
        <w:rPr>
          <w:rFonts w:cstheme="minorHAnsi"/>
        </w:rPr>
        <w:t xml:space="preserve">4.7. </w:t>
      </w:r>
      <w:r w:rsidR="00B5612F" w:rsidRPr="00CA00CE">
        <w:rPr>
          <w:rFonts w:cstheme="minorHAnsi"/>
        </w:rPr>
        <w:t xml:space="preserve">Paslaugos teikėjas be papildomo atlygio po darbų priėmimo ir pateikimo </w:t>
      </w:r>
      <w:r w:rsidR="00995E60" w:rsidRPr="00CA00CE">
        <w:rPr>
          <w:rFonts w:cstheme="minorHAnsi"/>
        </w:rPr>
        <w:t>Už</w:t>
      </w:r>
      <w:r w:rsidR="00F10719" w:rsidRPr="00CA00CE">
        <w:rPr>
          <w:rFonts w:cstheme="minorHAnsi"/>
        </w:rPr>
        <w:t>s</w:t>
      </w:r>
      <w:r w:rsidR="00995E60" w:rsidRPr="00CA00CE">
        <w:rPr>
          <w:rFonts w:cstheme="minorHAnsi"/>
        </w:rPr>
        <w:t>akovui</w:t>
      </w:r>
      <w:r w:rsidR="00BE79B6" w:rsidRPr="00CA00CE">
        <w:rPr>
          <w:rFonts w:cstheme="minorHAnsi"/>
        </w:rPr>
        <w:t xml:space="preserve"> </w:t>
      </w:r>
      <w:r w:rsidR="00B5612F" w:rsidRPr="00CA00CE">
        <w:rPr>
          <w:rFonts w:cstheme="minorHAnsi"/>
        </w:rPr>
        <w:t xml:space="preserve"> (jei reikės) privalės taisyti, koreguoti paruoštą ataskaitą pagal </w:t>
      </w:r>
      <w:r w:rsidR="00F10719" w:rsidRPr="00CA00CE">
        <w:rPr>
          <w:rFonts w:cstheme="minorHAnsi"/>
        </w:rPr>
        <w:t xml:space="preserve">Vertinimo </w:t>
      </w:r>
      <w:r w:rsidR="005B3EBA">
        <w:rPr>
          <w:rFonts w:cstheme="minorHAnsi"/>
        </w:rPr>
        <w:t>Bendrovės</w:t>
      </w:r>
      <w:r w:rsidR="00F10719" w:rsidRPr="00CA00CE">
        <w:rPr>
          <w:rFonts w:cstheme="minorHAnsi"/>
        </w:rPr>
        <w:t xml:space="preserve"> </w:t>
      </w:r>
      <w:r w:rsidR="00BE79B6" w:rsidRPr="00CA00CE">
        <w:rPr>
          <w:rFonts w:cstheme="minorHAnsi"/>
        </w:rPr>
        <w:t>pateikta</w:t>
      </w:r>
      <w:r w:rsidR="00B5612F" w:rsidRPr="00CA00CE">
        <w:rPr>
          <w:rFonts w:cstheme="minorHAnsi"/>
        </w:rPr>
        <w:t>s pastabas</w:t>
      </w:r>
      <w:r w:rsidR="00F10719" w:rsidRPr="00CA00CE">
        <w:rPr>
          <w:rFonts w:cstheme="minorHAnsi"/>
        </w:rPr>
        <w:t>.</w:t>
      </w:r>
      <w:r w:rsidR="00B5612F" w:rsidRPr="00CA00CE">
        <w:rPr>
          <w:rFonts w:cstheme="minorHAnsi"/>
        </w:rPr>
        <w:t xml:space="preserve"> </w:t>
      </w:r>
    </w:p>
    <w:p w14:paraId="46CE2DBE" w14:textId="1AD676BF" w:rsidR="000E07F1" w:rsidRDefault="000E07F1" w:rsidP="00CC5628">
      <w:pPr>
        <w:spacing w:after="0"/>
      </w:pPr>
    </w:p>
    <w:p w14:paraId="01D54D08" w14:textId="0F861D95" w:rsidR="00B34657" w:rsidRPr="0066200F" w:rsidRDefault="00B34657" w:rsidP="008908F7">
      <w:pPr>
        <w:pStyle w:val="ListParagraph"/>
        <w:numPr>
          <w:ilvl w:val="0"/>
          <w:numId w:val="4"/>
        </w:numPr>
        <w:spacing w:after="0"/>
        <w:ind w:left="284" w:hanging="284"/>
        <w:rPr>
          <w:rFonts w:cstheme="minorHAnsi"/>
          <w:b/>
        </w:rPr>
      </w:pPr>
      <w:r w:rsidRPr="0066200F">
        <w:rPr>
          <w:rFonts w:cstheme="minorHAnsi"/>
          <w:b/>
        </w:rPr>
        <w:t>BENDRIEJI REIKALAVIMAI</w:t>
      </w:r>
    </w:p>
    <w:p w14:paraId="59C18541" w14:textId="642F2B61" w:rsidR="00B34657" w:rsidRPr="00F534F9" w:rsidRDefault="00B34657" w:rsidP="00F534F9">
      <w:pPr>
        <w:pStyle w:val="ListParagraph"/>
        <w:numPr>
          <w:ilvl w:val="1"/>
          <w:numId w:val="4"/>
        </w:numPr>
        <w:tabs>
          <w:tab w:val="left" w:pos="426"/>
        </w:tabs>
        <w:spacing w:after="0"/>
        <w:ind w:left="0" w:firstLine="0"/>
        <w:jc w:val="both"/>
        <w:rPr>
          <w:rFonts w:cstheme="minorHAnsi"/>
        </w:rPr>
      </w:pPr>
      <w:r w:rsidRPr="00F534F9">
        <w:rPr>
          <w:rFonts w:cstheme="minorHAnsi"/>
        </w:rPr>
        <w:t xml:space="preserve">Visos teisės, įskaitant autorių turtines teises bei nuosavybės teises, į Paslaugų teikimo metu sukurtus autorių teisių objektus, yra perduodamos </w:t>
      </w:r>
      <w:r w:rsidR="00E93C23" w:rsidRPr="00F534F9">
        <w:rPr>
          <w:rFonts w:cstheme="minorHAnsi"/>
        </w:rPr>
        <w:t>Užsakovui</w:t>
      </w:r>
      <w:r w:rsidRPr="00F534F9">
        <w:rPr>
          <w:rFonts w:cstheme="minorHAnsi"/>
        </w:rPr>
        <w:t xml:space="preserve"> nuo atitinkamo Paslaugų perdavimo-priėmimo akto pasirašymo momento.</w:t>
      </w:r>
    </w:p>
    <w:p w14:paraId="7021E7B3" w14:textId="07E062DF" w:rsidR="00B34657" w:rsidRPr="00F534F9" w:rsidRDefault="00B34657" w:rsidP="00F534F9">
      <w:pPr>
        <w:pStyle w:val="ListParagraph"/>
        <w:numPr>
          <w:ilvl w:val="1"/>
          <w:numId w:val="4"/>
        </w:numPr>
        <w:tabs>
          <w:tab w:val="left" w:pos="426"/>
        </w:tabs>
        <w:spacing w:after="0"/>
        <w:ind w:left="0" w:firstLine="0"/>
        <w:jc w:val="both"/>
        <w:rPr>
          <w:rFonts w:cstheme="minorHAnsi"/>
        </w:rPr>
      </w:pPr>
      <w:r w:rsidRPr="00F534F9">
        <w:rPr>
          <w:rFonts w:cstheme="minorHAnsi"/>
        </w:rPr>
        <w:t xml:space="preserve">Paslaugų teikėjas be išankstinio rašytinio </w:t>
      </w:r>
      <w:r w:rsidR="0053510E" w:rsidRPr="00F534F9">
        <w:rPr>
          <w:rFonts w:cstheme="minorHAnsi"/>
        </w:rPr>
        <w:t>Užsakovo</w:t>
      </w:r>
      <w:r w:rsidRPr="00F534F9">
        <w:rPr>
          <w:rFonts w:cstheme="minorHAnsi"/>
        </w:rPr>
        <w:t xml:space="preserve">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5FC2BD1B" w14:textId="2C9C5A3B" w:rsidR="00B34657" w:rsidRPr="00F534F9" w:rsidRDefault="00E93C23" w:rsidP="00F534F9">
      <w:pPr>
        <w:pStyle w:val="ListParagraph"/>
        <w:numPr>
          <w:ilvl w:val="1"/>
          <w:numId w:val="4"/>
        </w:numPr>
        <w:tabs>
          <w:tab w:val="left" w:pos="426"/>
        </w:tabs>
        <w:spacing w:after="0"/>
        <w:ind w:left="0" w:firstLine="0"/>
        <w:jc w:val="both"/>
        <w:rPr>
          <w:rFonts w:cstheme="minorHAnsi"/>
        </w:rPr>
      </w:pPr>
      <w:r w:rsidRPr="00F534F9">
        <w:rPr>
          <w:rFonts w:eastAsia="Times New Roman" w:cstheme="minorHAnsi"/>
          <w:lang w:eastAsia="lt-LT"/>
        </w:rPr>
        <w:t>Užsakovas</w:t>
      </w:r>
      <w:r w:rsidR="00B34657" w:rsidRPr="00F534F9">
        <w:rPr>
          <w:rFonts w:eastAsia="Times New Roman" w:cstheme="minorHAnsi"/>
          <w:lang w:eastAsia="lt-LT"/>
        </w:rPr>
        <w:t xml:space="preserve"> įsipareigoja pateikti visą turimą informaciją ŠESD reikšmių, reikšmingų aplinkosaugos aspektų nustatymui bei poveikio įvertinimui ir priemonėms poveikiui mažinti parinkimui.</w:t>
      </w:r>
    </w:p>
    <w:p w14:paraId="73A6CB82" w14:textId="41E33DD6" w:rsidR="00B34657" w:rsidRPr="00F534F9" w:rsidRDefault="00E93C23" w:rsidP="00F534F9">
      <w:pPr>
        <w:pStyle w:val="ListParagraph"/>
        <w:numPr>
          <w:ilvl w:val="1"/>
          <w:numId w:val="4"/>
        </w:numPr>
        <w:tabs>
          <w:tab w:val="left" w:pos="426"/>
        </w:tabs>
        <w:spacing w:after="0"/>
        <w:ind w:left="0" w:firstLine="0"/>
        <w:jc w:val="both"/>
        <w:rPr>
          <w:rFonts w:cstheme="minorHAnsi"/>
          <w:lang w:val="en-US"/>
        </w:rPr>
      </w:pPr>
      <w:r w:rsidRPr="00F534F9">
        <w:rPr>
          <w:rFonts w:cstheme="minorHAnsi"/>
        </w:rPr>
        <w:t>Užsakovas</w:t>
      </w:r>
      <w:r w:rsidR="00B34657" w:rsidRPr="00F534F9">
        <w:rPr>
          <w:rFonts w:cstheme="minorHAnsi"/>
        </w:rPr>
        <w:t xml:space="preserve"> įsipareigoja skirti </w:t>
      </w:r>
      <w:r w:rsidR="004173CF" w:rsidRPr="00F534F9">
        <w:rPr>
          <w:rFonts w:cstheme="minorHAnsi"/>
        </w:rPr>
        <w:t>kontaktinį</w:t>
      </w:r>
      <w:r w:rsidR="00B34657" w:rsidRPr="00F534F9">
        <w:rPr>
          <w:rFonts w:cstheme="minorHAnsi"/>
        </w:rPr>
        <w:t xml:space="preserve"> asmenį informacijos pateikimui bei visų su Paslaugos suteikimu susijusių klausimų koordinavimui.</w:t>
      </w:r>
    </w:p>
    <w:sectPr w:rsidR="00B34657" w:rsidRPr="00F534F9" w:rsidSect="00F534F9">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555"/>
    <w:multiLevelType w:val="multilevel"/>
    <w:tmpl w:val="E7E8513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C35BDD"/>
    <w:multiLevelType w:val="multilevel"/>
    <w:tmpl w:val="1108D6BC"/>
    <w:lvl w:ilvl="0">
      <w:start w:val="1"/>
      <w:numFmt w:val="upperRoman"/>
      <w:lvlText w:val="%1."/>
      <w:lvlJc w:val="left"/>
      <w:pPr>
        <w:ind w:left="1440" w:hanging="720"/>
      </w:pPr>
      <w:rPr>
        <w:rFonts w:hint="default"/>
      </w:rPr>
    </w:lvl>
    <w:lvl w:ilvl="1">
      <w:start w:val="1"/>
      <w:numFmt w:val="decimal"/>
      <w:isLgl/>
      <w:lvlText w:val="%1.%2."/>
      <w:lvlJc w:val="left"/>
      <w:pPr>
        <w:ind w:left="1128" w:hanging="408"/>
      </w:pPr>
      <w:rPr>
        <w:rFonts w:cstheme="minorHAnsi" w:hint="default"/>
      </w:rPr>
    </w:lvl>
    <w:lvl w:ilvl="2">
      <w:start w:val="1"/>
      <w:numFmt w:val="decimal"/>
      <w:isLgl/>
      <w:lvlText w:val="%1.%2.%3."/>
      <w:lvlJc w:val="left"/>
      <w:pPr>
        <w:ind w:left="1440" w:hanging="720"/>
      </w:pPr>
      <w:rPr>
        <w:rFonts w:cstheme="minorHAnsi" w:hint="default"/>
      </w:rPr>
    </w:lvl>
    <w:lvl w:ilvl="3">
      <w:start w:val="1"/>
      <w:numFmt w:val="decimal"/>
      <w:isLgl/>
      <w:lvlText w:val="%1.%2.%3.%4."/>
      <w:lvlJc w:val="left"/>
      <w:pPr>
        <w:ind w:left="1440" w:hanging="720"/>
      </w:pPr>
      <w:rPr>
        <w:rFonts w:cstheme="minorHAnsi" w:hint="default"/>
      </w:rPr>
    </w:lvl>
    <w:lvl w:ilvl="4">
      <w:start w:val="1"/>
      <w:numFmt w:val="decimal"/>
      <w:isLgl/>
      <w:lvlText w:val="%1.%2.%3.%4.%5."/>
      <w:lvlJc w:val="left"/>
      <w:pPr>
        <w:ind w:left="1800" w:hanging="1080"/>
      </w:pPr>
      <w:rPr>
        <w:rFonts w:cstheme="minorHAnsi" w:hint="default"/>
      </w:rPr>
    </w:lvl>
    <w:lvl w:ilvl="5">
      <w:start w:val="1"/>
      <w:numFmt w:val="decimal"/>
      <w:isLgl/>
      <w:lvlText w:val="%1.%2.%3.%4.%5.%6."/>
      <w:lvlJc w:val="left"/>
      <w:pPr>
        <w:ind w:left="1800" w:hanging="1080"/>
      </w:pPr>
      <w:rPr>
        <w:rFonts w:cstheme="minorHAnsi" w:hint="default"/>
      </w:rPr>
    </w:lvl>
    <w:lvl w:ilvl="6">
      <w:start w:val="1"/>
      <w:numFmt w:val="decimal"/>
      <w:isLgl/>
      <w:lvlText w:val="%1.%2.%3.%4.%5.%6.%7."/>
      <w:lvlJc w:val="left"/>
      <w:pPr>
        <w:ind w:left="2160" w:hanging="1440"/>
      </w:pPr>
      <w:rPr>
        <w:rFonts w:cstheme="minorHAnsi" w:hint="default"/>
      </w:rPr>
    </w:lvl>
    <w:lvl w:ilvl="7">
      <w:start w:val="1"/>
      <w:numFmt w:val="decimal"/>
      <w:isLgl/>
      <w:lvlText w:val="%1.%2.%3.%4.%5.%6.%7.%8."/>
      <w:lvlJc w:val="left"/>
      <w:pPr>
        <w:ind w:left="2160" w:hanging="1440"/>
      </w:pPr>
      <w:rPr>
        <w:rFonts w:cstheme="minorHAnsi" w:hint="default"/>
      </w:rPr>
    </w:lvl>
    <w:lvl w:ilvl="8">
      <w:start w:val="1"/>
      <w:numFmt w:val="decimal"/>
      <w:isLgl/>
      <w:lvlText w:val="%1.%2.%3.%4.%5.%6.%7.%8.%9."/>
      <w:lvlJc w:val="left"/>
      <w:pPr>
        <w:ind w:left="2520" w:hanging="1800"/>
      </w:pPr>
      <w:rPr>
        <w:rFonts w:cstheme="minorHAnsi" w:hint="default"/>
      </w:rPr>
    </w:lvl>
  </w:abstractNum>
  <w:abstractNum w:abstractNumId="2" w15:restartNumberingAfterBreak="0">
    <w:nsid w:val="297E7E04"/>
    <w:multiLevelType w:val="multilevel"/>
    <w:tmpl w:val="01402AE0"/>
    <w:lvl w:ilvl="0">
      <w:start w:val="5"/>
      <w:numFmt w:val="upperRoman"/>
      <w:lvlText w:val="%1."/>
      <w:lvlJc w:val="left"/>
      <w:pPr>
        <w:ind w:left="1429" w:hanging="720"/>
      </w:pPr>
      <w:rPr>
        <w:rFonts w:cstheme="minorBid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9D34F65"/>
    <w:multiLevelType w:val="multilevel"/>
    <w:tmpl w:val="27D21C70"/>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5E2923"/>
    <w:multiLevelType w:val="multilevel"/>
    <w:tmpl w:val="BD16A70C"/>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301E82"/>
    <w:multiLevelType w:val="multilevel"/>
    <w:tmpl w:val="19541D6C"/>
    <w:lvl w:ilvl="0">
      <w:start w:val="4"/>
      <w:numFmt w:val="decimal"/>
      <w:lvlText w:val="%1."/>
      <w:lvlJc w:val="left"/>
      <w:pPr>
        <w:ind w:left="495" w:hanging="495"/>
      </w:pPr>
      <w:rPr>
        <w:rFonts w:eastAsiaTheme="minorHAnsi" w:hint="default"/>
      </w:rPr>
    </w:lvl>
    <w:lvl w:ilvl="1">
      <w:start w:val="3"/>
      <w:numFmt w:val="decimal"/>
      <w:lvlText w:val="%1.%2."/>
      <w:lvlJc w:val="left"/>
      <w:pPr>
        <w:ind w:left="495" w:hanging="495"/>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74B9273A"/>
    <w:multiLevelType w:val="hybridMultilevel"/>
    <w:tmpl w:val="8E7EE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FD473B"/>
    <w:multiLevelType w:val="multilevel"/>
    <w:tmpl w:val="403217CC"/>
    <w:lvl w:ilvl="0">
      <w:start w:val="4"/>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9526642">
    <w:abstractNumId w:val="1"/>
  </w:num>
  <w:num w:numId="2" w16cid:durableId="1141579738">
    <w:abstractNumId w:val="6"/>
  </w:num>
  <w:num w:numId="3" w16cid:durableId="285163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461755">
    <w:abstractNumId w:val="2"/>
  </w:num>
  <w:num w:numId="5" w16cid:durableId="665206820">
    <w:abstractNumId w:val="4"/>
  </w:num>
  <w:num w:numId="6" w16cid:durableId="8409893">
    <w:abstractNumId w:val="3"/>
  </w:num>
  <w:num w:numId="7" w16cid:durableId="8411938">
    <w:abstractNumId w:val="5"/>
  </w:num>
  <w:num w:numId="8" w16cid:durableId="1525557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94"/>
    <w:rsid w:val="00092C99"/>
    <w:rsid w:val="000E07F1"/>
    <w:rsid w:val="00105C58"/>
    <w:rsid w:val="00122E82"/>
    <w:rsid w:val="00143E58"/>
    <w:rsid w:val="00155CBE"/>
    <w:rsid w:val="0016659B"/>
    <w:rsid w:val="0018526F"/>
    <w:rsid w:val="001E748F"/>
    <w:rsid w:val="00207EC2"/>
    <w:rsid w:val="0024331F"/>
    <w:rsid w:val="002472CD"/>
    <w:rsid w:val="00267E21"/>
    <w:rsid w:val="002B6577"/>
    <w:rsid w:val="002C118B"/>
    <w:rsid w:val="003E49E7"/>
    <w:rsid w:val="003F6C70"/>
    <w:rsid w:val="003F6F93"/>
    <w:rsid w:val="004173CF"/>
    <w:rsid w:val="004448D6"/>
    <w:rsid w:val="00477B1A"/>
    <w:rsid w:val="004D208F"/>
    <w:rsid w:val="004E3D93"/>
    <w:rsid w:val="00500CF1"/>
    <w:rsid w:val="00533548"/>
    <w:rsid w:val="0053510E"/>
    <w:rsid w:val="005516A1"/>
    <w:rsid w:val="005619EE"/>
    <w:rsid w:val="005B3EBA"/>
    <w:rsid w:val="005E3C3A"/>
    <w:rsid w:val="005F1320"/>
    <w:rsid w:val="00613893"/>
    <w:rsid w:val="00616DD4"/>
    <w:rsid w:val="00622F18"/>
    <w:rsid w:val="006367DF"/>
    <w:rsid w:val="00660172"/>
    <w:rsid w:val="0066200F"/>
    <w:rsid w:val="00665BB6"/>
    <w:rsid w:val="00681979"/>
    <w:rsid w:val="00686F19"/>
    <w:rsid w:val="006E481E"/>
    <w:rsid w:val="00727C61"/>
    <w:rsid w:val="00763C29"/>
    <w:rsid w:val="00763F8A"/>
    <w:rsid w:val="00784464"/>
    <w:rsid w:val="00795285"/>
    <w:rsid w:val="007A36EA"/>
    <w:rsid w:val="007A3780"/>
    <w:rsid w:val="007C4238"/>
    <w:rsid w:val="00807798"/>
    <w:rsid w:val="008164A7"/>
    <w:rsid w:val="00855AB8"/>
    <w:rsid w:val="00877450"/>
    <w:rsid w:val="008908F7"/>
    <w:rsid w:val="00891DAA"/>
    <w:rsid w:val="008A0A68"/>
    <w:rsid w:val="00903291"/>
    <w:rsid w:val="00913A65"/>
    <w:rsid w:val="009414CC"/>
    <w:rsid w:val="00985794"/>
    <w:rsid w:val="00995E60"/>
    <w:rsid w:val="00996504"/>
    <w:rsid w:val="009A050B"/>
    <w:rsid w:val="009B59E9"/>
    <w:rsid w:val="00A32165"/>
    <w:rsid w:val="00A36B83"/>
    <w:rsid w:val="00AB44F5"/>
    <w:rsid w:val="00B02F5D"/>
    <w:rsid w:val="00B04DC3"/>
    <w:rsid w:val="00B33281"/>
    <w:rsid w:val="00B34657"/>
    <w:rsid w:val="00B5406D"/>
    <w:rsid w:val="00B5612F"/>
    <w:rsid w:val="00BA2046"/>
    <w:rsid w:val="00BE79B6"/>
    <w:rsid w:val="00C6549D"/>
    <w:rsid w:val="00CA00CE"/>
    <w:rsid w:val="00CA18FB"/>
    <w:rsid w:val="00CA3E77"/>
    <w:rsid w:val="00CB01D6"/>
    <w:rsid w:val="00CC5628"/>
    <w:rsid w:val="00CE79B8"/>
    <w:rsid w:val="00CF4BAB"/>
    <w:rsid w:val="00D42B1D"/>
    <w:rsid w:val="00D84D79"/>
    <w:rsid w:val="00DB6F9D"/>
    <w:rsid w:val="00DD2643"/>
    <w:rsid w:val="00DF1271"/>
    <w:rsid w:val="00E52047"/>
    <w:rsid w:val="00E66ACE"/>
    <w:rsid w:val="00E93C23"/>
    <w:rsid w:val="00EC6932"/>
    <w:rsid w:val="00F06E18"/>
    <w:rsid w:val="00F10719"/>
    <w:rsid w:val="00F1216C"/>
    <w:rsid w:val="00F15F0B"/>
    <w:rsid w:val="00F44CE1"/>
    <w:rsid w:val="00F534F9"/>
    <w:rsid w:val="00F55998"/>
    <w:rsid w:val="00FA152C"/>
    <w:rsid w:val="00FF0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0FFD"/>
  <w15:chartTrackingRefBased/>
  <w15:docId w15:val="{D4D685AF-4E5A-4E52-AAD5-E55001BC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4D208F"/>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4D208F"/>
    <w:pPr>
      <w:shd w:val="clear" w:color="auto" w:fill="FFFFFF"/>
      <w:spacing w:after="0" w:line="269" w:lineRule="exact"/>
      <w:ind w:hanging="400"/>
    </w:pPr>
    <w:rPr>
      <w:rFonts w:ascii="Times New Roman" w:hAnsi="Times New Roman" w:cs="Times New Roman"/>
      <w:i/>
      <w:iCs/>
      <w:sz w:val="23"/>
      <w:szCs w:val="23"/>
    </w:rPr>
  </w:style>
  <w:style w:type="character" w:styleId="Hyperlink">
    <w:name w:val="Hyperlink"/>
    <w:basedOn w:val="DefaultParagraphFont"/>
    <w:uiPriority w:val="99"/>
    <w:unhideWhenUsed/>
    <w:rsid w:val="00105C58"/>
    <w:rPr>
      <w:color w:val="0563C1" w:themeColor="hyperlink"/>
      <w:u w:val="single"/>
    </w:rPr>
  </w:style>
  <w:style w:type="paragraph" w:styleId="ListParagraph">
    <w:name w:val="List Paragraph"/>
    <w:aliases w:val="List Paragraph Red,Bullet EY,Table of contents numbered,List Paragraph21,List Paragraph2,ERP-List Paragraph,List Paragraph11,Numbering,Sąrašo pastraipa1,List Paragraph111,Buletai,lp1,Bullet 1,Use Case List Paragraph,Paragraph,lp11"/>
    <w:basedOn w:val="Normal"/>
    <w:link w:val="ListParagraphChar"/>
    <w:qFormat/>
    <w:rsid w:val="00BA2046"/>
    <w:pPr>
      <w:ind w:left="720"/>
      <w:contextualSpacing/>
    </w:pPr>
  </w:style>
  <w:style w:type="character" w:customStyle="1" w:styleId="ListParagraphChar">
    <w:name w:val="List Paragraph Char"/>
    <w:aliases w:val="List Paragraph Red Char,Bullet EY Char,Table of contents numbered Char,List Paragraph21 Char,List Paragraph2 Char,ERP-List Paragraph Char,List Paragraph11 Char,Numbering Char,Sąrašo pastraipa1 Char,List Paragraph111 Char,Buletai Char"/>
    <w:link w:val="ListParagraph"/>
    <w:uiPriority w:val="34"/>
    <w:qFormat/>
    <w:locked/>
    <w:rsid w:val="00BA2046"/>
  </w:style>
  <w:style w:type="character" w:customStyle="1" w:styleId="UnresolvedMention1">
    <w:name w:val="Unresolved Mention1"/>
    <w:basedOn w:val="DefaultParagraphFont"/>
    <w:uiPriority w:val="99"/>
    <w:semiHidden/>
    <w:unhideWhenUsed/>
    <w:rsid w:val="002472CD"/>
    <w:rPr>
      <w:color w:val="605E5C"/>
      <w:shd w:val="clear" w:color="auto" w:fill="E1DFDD"/>
    </w:rPr>
  </w:style>
  <w:style w:type="paragraph" w:styleId="BalloonText">
    <w:name w:val="Balloon Text"/>
    <w:basedOn w:val="Normal"/>
    <w:link w:val="BalloonTextChar"/>
    <w:uiPriority w:val="99"/>
    <w:semiHidden/>
    <w:unhideWhenUsed/>
    <w:rsid w:val="00891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DAA"/>
    <w:rPr>
      <w:rFonts w:ascii="Segoe UI" w:hAnsi="Segoe UI" w:cs="Segoe UI"/>
      <w:sz w:val="18"/>
      <w:szCs w:val="18"/>
    </w:rPr>
  </w:style>
  <w:style w:type="paragraph" w:customStyle="1" w:styleId="Default">
    <w:name w:val="Default"/>
    <w:rsid w:val="00B3465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s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so.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0D1D-34C8-48B5-9DCE-B17FB69F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4161</Words>
  <Characters>2372</Characters>
  <Application>Microsoft Office Word</Application>
  <DocSecurity>4</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Straksys</dc:creator>
  <cp:keywords/>
  <dc:description/>
  <cp:lastModifiedBy>Asta Veličkienė</cp:lastModifiedBy>
  <cp:revision>2</cp:revision>
  <dcterms:created xsi:type="dcterms:W3CDTF">2024-04-16T04:38:00Z</dcterms:created>
  <dcterms:modified xsi:type="dcterms:W3CDTF">2024-04-16T04:38:00Z</dcterms:modified>
</cp:coreProperties>
</file>