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52F1" w14:textId="5CF8DFCA" w:rsidR="00204870" w:rsidRDefault="006131A0" w:rsidP="006131A0">
      <w:pPr>
        <w:ind w:firstLine="6237"/>
        <w:rPr>
          <w:rFonts w:ascii="Times New Roman" w:hAnsi="Times New Roman"/>
          <w:sz w:val="24"/>
          <w:szCs w:val="24"/>
        </w:rPr>
      </w:pPr>
      <w:r>
        <w:rPr>
          <w:rFonts w:ascii="Times New Roman" w:hAnsi="Times New Roman"/>
          <w:sz w:val="24"/>
          <w:szCs w:val="24"/>
        </w:rPr>
        <w:t xml:space="preserve">       </w:t>
      </w:r>
      <w:r w:rsidR="00204870">
        <w:rPr>
          <w:rFonts w:ascii="Times New Roman" w:hAnsi="Times New Roman"/>
          <w:sz w:val="24"/>
          <w:szCs w:val="24"/>
        </w:rPr>
        <w:t xml:space="preserve">2024 m. </w:t>
      </w:r>
      <w:r>
        <w:rPr>
          <w:rFonts w:ascii="Times New Roman" w:hAnsi="Times New Roman"/>
          <w:sz w:val="24"/>
          <w:szCs w:val="24"/>
        </w:rPr>
        <w:t>balandžio 22</w:t>
      </w:r>
      <w:r w:rsidR="00204870">
        <w:rPr>
          <w:rFonts w:ascii="Times New Roman" w:hAnsi="Times New Roman"/>
          <w:sz w:val="24"/>
          <w:szCs w:val="24"/>
        </w:rPr>
        <w:t xml:space="preserve"> d.</w:t>
      </w:r>
    </w:p>
    <w:p w14:paraId="07BBC9B6" w14:textId="77777777" w:rsidR="00204870" w:rsidRDefault="00204870" w:rsidP="00204870">
      <w:pPr>
        <w:ind w:firstLine="5245"/>
        <w:jc w:val="center"/>
        <w:rPr>
          <w:rFonts w:ascii="Times New Roman" w:hAnsi="Times New Roman"/>
          <w:sz w:val="24"/>
          <w:szCs w:val="24"/>
        </w:rPr>
      </w:pPr>
      <w:r>
        <w:rPr>
          <w:rFonts w:ascii="Times New Roman" w:hAnsi="Times New Roman"/>
          <w:sz w:val="24"/>
          <w:szCs w:val="24"/>
        </w:rPr>
        <w:t xml:space="preserve">paslaugų viešojo </w:t>
      </w:r>
    </w:p>
    <w:p w14:paraId="4A35FCA5" w14:textId="77777777" w:rsidR="00204870" w:rsidRDefault="00204870" w:rsidP="00204870">
      <w:pPr>
        <w:tabs>
          <w:tab w:val="left" w:pos="4395"/>
        </w:tabs>
        <w:ind w:firstLine="6379"/>
        <w:jc w:val="center"/>
        <w:rPr>
          <w:rFonts w:ascii="Times New Roman" w:hAnsi="Times New Roman"/>
          <w:sz w:val="24"/>
          <w:szCs w:val="24"/>
        </w:rPr>
      </w:pPr>
      <w:r>
        <w:rPr>
          <w:rFonts w:ascii="Times New Roman" w:hAnsi="Times New Roman"/>
          <w:sz w:val="24"/>
          <w:szCs w:val="24"/>
        </w:rPr>
        <w:t xml:space="preserve">pirkimo-pardavimo sutarties </w:t>
      </w:r>
    </w:p>
    <w:p w14:paraId="142A2242" w14:textId="77777777" w:rsidR="00204870" w:rsidRDefault="00204870" w:rsidP="00204870">
      <w:pPr>
        <w:tabs>
          <w:tab w:val="left" w:pos="5954"/>
          <w:tab w:val="left" w:pos="6663"/>
          <w:tab w:val="left" w:pos="7797"/>
        </w:tabs>
        <w:ind w:left="284" w:right="1418" w:firstLine="1701"/>
        <w:jc w:val="center"/>
        <w:rPr>
          <w:rFonts w:ascii="Times New Roman" w:hAnsi="Times New Roman"/>
          <w:sz w:val="24"/>
          <w:szCs w:val="24"/>
        </w:rPr>
      </w:pPr>
      <w:r>
        <w:rPr>
          <w:rFonts w:ascii="Times New Roman" w:hAnsi="Times New Roman"/>
          <w:sz w:val="24"/>
          <w:szCs w:val="24"/>
        </w:rPr>
        <w:tab/>
        <w:t>1 priedas</w:t>
      </w:r>
    </w:p>
    <w:p w14:paraId="1807F626" w14:textId="77777777" w:rsidR="003A6F71" w:rsidRPr="006319CA" w:rsidRDefault="003A6F71" w:rsidP="003A6F71">
      <w:pPr>
        <w:pStyle w:val="Sraopastraipa"/>
        <w:spacing w:before="60" w:after="60"/>
        <w:ind w:left="709"/>
        <w:jc w:val="both"/>
        <w:rPr>
          <w:rFonts w:asciiTheme="majorHAnsi" w:hAnsiTheme="majorHAnsi" w:cstheme="majorHAnsi"/>
          <w:sz w:val="22"/>
          <w:szCs w:val="22"/>
        </w:rPr>
      </w:pPr>
    </w:p>
    <w:p w14:paraId="047AD737" w14:textId="77777777" w:rsidR="003A6F71" w:rsidRPr="006319CA" w:rsidRDefault="003A6F71" w:rsidP="003A6F71">
      <w:pPr>
        <w:pStyle w:val="Sraopastraipa"/>
        <w:numPr>
          <w:ilvl w:val="0"/>
          <w:numId w:val="4"/>
        </w:numPr>
        <w:tabs>
          <w:tab w:val="left" w:pos="426"/>
        </w:tabs>
        <w:spacing w:before="60" w:after="60"/>
        <w:ind w:left="0" w:firstLine="0"/>
        <w:contextualSpacing w:val="0"/>
        <w:jc w:val="center"/>
        <w:rPr>
          <w:rFonts w:asciiTheme="majorHAnsi" w:hAnsiTheme="majorHAnsi" w:cstheme="majorHAnsi"/>
          <w:b/>
          <w:sz w:val="22"/>
          <w:szCs w:val="22"/>
        </w:rPr>
      </w:pPr>
      <w:r w:rsidRPr="006319CA">
        <w:rPr>
          <w:rFonts w:asciiTheme="majorHAnsi" w:hAnsiTheme="majorHAnsi" w:cstheme="majorHAnsi"/>
          <w:b/>
          <w:sz w:val="22"/>
          <w:szCs w:val="22"/>
        </w:rPr>
        <w:t>TECHNINĖ SPECIFIKACIJA</w:t>
      </w:r>
    </w:p>
    <w:p w14:paraId="0DC9D049" w14:textId="77777777" w:rsidR="00FD132B" w:rsidRPr="006319CA" w:rsidRDefault="00FD132B" w:rsidP="00FD132B">
      <w:pPr>
        <w:pStyle w:val="Sraopastraipa"/>
        <w:tabs>
          <w:tab w:val="left" w:pos="426"/>
        </w:tabs>
        <w:spacing w:before="60" w:after="60"/>
        <w:ind w:left="0"/>
        <w:contextualSpacing w:val="0"/>
        <w:jc w:val="both"/>
        <w:rPr>
          <w:rFonts w:asciiTheme="majorHAnsi" w:hAnsiTheme="majorHAnsi" w:cstheme="majorHAnsi"/>
          <w:b/>
          <w:sz w:val="22"/>
          <w:szCs w:val="22"/>
        </w:rPr>
      </w:pPr>
    </w:p>
    <w:p w14:paraId="2E0537C7" w14:textId="77777777" w:rsidR="00FD132B" w:rsidRPr="006319CA" w:rsidRDefault="00FD132B" w:rsidP="00003564">
      <w:pPr>
        <w:jc w:val="both"/>
        <w:rPr>
          <w:rFonts w:asciiTheme="majorHAnsi" w:hAnsiTheme="majorHAnsi" w:cstheme="majorHAnsi"/>
          <w:b/>
          <w:i/>
        </w:rPr>
      </w:pPr>
      <w:r w:rsidRPr="006319CA">
        <w:rPr>
          <w:rFonts w:asciiTheme="majorHAnsi" w:hAnsiTheme="majorHAnsi" w:cstheme="majorHAnsi"/>
          <w:b/>
          <w:u w:val="single"/>
        </w:rPr>
        <w:t>Pirkimo objektui taikomi Lietuvos Respublikos viešųjų pirkimų įstatymo 37 str. 9 dalies reikalavimai susiję su nacionaliniu saugumu</w:t>
      </w:r>
      <w:r w:rsidRPr="006319CA">
        <w:rPr>
          <w:rFonts w:asciiTheme="majorHAnsi" w:hAnsiTheme="majorHAnsi" w:cstheme="majorHAnsi"/>
        </w:rPr>
        <w:t xml:space="preserve">. </w:t>
      </w:r>
      <w:r w:rsidRPr="006319CA">
        <w:rPr>
          <w:rFonts w:asciiTheme="majorHAnsi" w:hAnsiTheme="majorHAnsi" w:cstheme="majorHAnsi"/>
          <w:b/>
          <w:i/>
        </w:rPr>
        <w:t xml:space="preserve"> </w:t>
      </w:r>
    </w:p>
    <w:p w14:paraId="19399BBF" w14:textId="010068F0" w:rsidR="00FD132B" w:rsidRPr="006319CA" w:rsidRDefault="00FD132B" w:rsidP="00003564">
      <w:pPr>
        <w:tabs>
          <w:tab w:val="left" w:pos="0"/>
          <w:tab w:val="left" w:pos="567"/>
        </w:tabs>
        <w:jc w:val="both"/>
        <w:rPr>
          <w:rFonts w:asciiTheme="majorHAnsi" w:hAnsiTheme="majorHAnsi" w:cstheme="majorHAnsi"/>
        </w:rPr>
      </w:pPr>
      <w:r w:rsidRPr="006319CA">
        <w:rPr>
          <w:rFonts w:asciiTheme="majorHAnsi" w:hAnsiTheme="majorHAnsi" w:cstheme="majorHAnsi"/>
        </w:rPr>
        <w:t xml:space="preserve">Paslaugų teikėjas privalo įrodyti, kad  paslaugos nekelia grėsmės nacionaliniam saugumui, nėra toliau nurodytų aplinkybių: </w:t>
      </w:r>
    </w:p>
    <w:p w14:paraId="5218A8AE" w14:textId="77777777" w:rsidR="00FD132B" w:rsidRPr="006319CA" w:rsidRDefault="00FD132B" w:rsidP="00003564">
      <w:pPr>
        <w:tabs>
          <w:tab w:val="left" w:pos="0"/>
          <w:tab w:val="left" w:pos="567"/>
        </w:tabs>
        <w:jc w:val="both"/>
        <w:rPr>
          <w:rFonts w:asciiTheme="majorHAnsi" w:hAnsiTheme="majorHAnsi" w:cstheme="majorHAnsi"/>
        </w:rPr>
      </w:pPr>
      <w:r w:rsidRPr="006319CA">
        <w:rPr>
          <w:rFonts w:asciiTheme="majorHAnsi" w:hAnsiTheme="majorHAnsi" w:cstheme="majorHAnsi"/>
        </w:rPr>
        <w:t xml:space="preserve"> 1) paslaugų teikimas būtų vykdomas iš VPĮ 92 straipsnio 14 dalyje numatytame sąraše nurodytų valstybių ar teritorijų.</w:t>
      </w:r>
    </w:p>
    <w:p w14:paraId="170C0131" w14:textId="77777777" w:rsidR="00FD132B" w:rsidRPr="006319CA" w:rsidRDefault="00FD132B" w:rsidP="00003564">
      <w:pPr>
        <w:tabs>
          <w:tab w:val="left" w:pos="0"/>
          <w:tab w:val="left" w:pos="567"/>
        </w:tabs>
        <w:jc w:val="both"/>
        <w:rPr>
          <w:rFonts w:asciiTheme="majorHAnsi" w:hAnsiTheme="majorHAnsi" w:cstheme="majorHAnsi"/>
          <w:b/>
        </w:rPr>
      </w:pPr>
      <w:r w:rsidRPr="006319CA">
        <w:rPr>
          <w:rFonts w:asciiTheme="majorHAnsi" w:hAnsiTheme="majorHAnsi" w:cstheme="majorHAnsi"/>
          <w:b/>
        </w:rPr>
        <w:t xml:space="preserve">Perkančioji organizacija pasiūlymo atitikties LR viešųjų pirkimų įstatymo 37 straipsnio 9 dalies reikalavimams patvirtinimui, iš tiekėjo reikalauja  </w:t>
      </w:r>
      <w:r w:rsidRPr="006319CA">
        <w:rPr>
          <w:rFonts w:asciiTheme="majorHAnsi" w:hAnsiTheme="majorHAnsi" w:cstheme="majorHAnsi"/>
          <w:b/>
          <w:bCs/>
        </w:rPr>
        <w:t>KARTU SU PASIŪLYMU</w:t>
      </w:r>
      <w:r w:rsidRPr="006319CA">
        <w:rPr>
          <w:rFonts w:asciiTheme="majorHAnsi" w:hAnsiTheme="majorHAnsi" w:cstheme="majorHAnsi"/>
        </w:rPr>
        <w:t xml:space="preserve"> </w:t>
      </w:r>
      <w:r w:rsidRPr="006319CA">
        <w:rPr>
          <w:rFonts w:asciiTheme="majorHAnsi" w:hAnsiTheme="majorHAnsi" w:cstheme="majorHAnsi"/>
          <w:b/>
          <w:bCs/>
        </w:rPr>
        <w:t xml:space="preserve">PATEIKTI užpildytą pirkimo dokumentą „Nacionalinio saugumo reikalavimų atitikties deklaracija“ (TVŪD PD ATITIKTIES DEKLARACIJA) ir  pateikti (kartu su pasiūlymu) – vieną ar kelis šiuos dokumentus: </w:t>
      </w:r>
      <w:r w:rsidRPr="006319CA">
        <w:rPr>
          <w:rFonts w:asciiTheme="majorHAnsi" w:hAnsiTheme="majorHAnsi" w:cstheme="majorHAnsi"/>
          <w:b/>
        </w:rPr>
        <w:t xml:space="preserve">juridinio asmens vadovo </w:t>
      </w:r>
      <w:r w:rsidRPr="006319CA">
        <w:rPr>
          <w:rFonts w:asciiTheme="majorHAnsi" w:hAnsiTheme="majorHAnsi" w:cstheme="majorHAnsi"/>
          <w:b/>
          <w:bCs/>
        </w:rPr>
        <w:t>patvirtintą</w:t>
      </w:r>
      <w:r w:rsidRPr="006319CA">
        <w:rPr>
          <w:rFonts w:asciiTheme="majorHAnsi" w:hAnsiTheme="majorHAnsi" w:cstheme="majorHAnsi"/>
          <w:b/>
        </w:rPr>
        <w:t xml:space="preserve"> juridinio asmens steigimo dokumentų </w:t>
      </w:r>
      <w:r w:rsidRPr="006319CA">
        <w:rPr>
          <w:rFonts w:asciiTheme="majorHAnsi" w:hAnsiTheme="majorHAnsi" w:cstheme="majorHAnsi"/>
          <w:b/>
          <w:bCs/>
        </w:rPr>
        <w:t>kopiją</w:t>
      </w:r>
      <w:r w:rsidRPr="006319CA">
        <w:rPr>
          <w:rFonts w:asciiTheme="majorHAnsi" w:hAnsiTheme="majorHAnsi" w:cstheme="majorHAnsi"/>
          <w:b/>
        </w:rPr>
        <w:t xml:space="preserve">, Juridinių asmenų registro </w:t>
      </w:r>
      <w:r w:rsidRPr="006319CA">
        <w:rPr>
          <w:rFonts w:asciiTheme="majorHAnsi" w:hAnsiTheme="majorHAnsi" w:cstheme="majorHAnsi"/>
          <w:b/>
          <w:bCs/>
        </w:rPr>
        <w:t>išplėstinį išrašą</w:t>
      </w:r>
      <w:r w:rsidRPr="006319CA">
        <w:rPr>
          <w:rFonts w:asciiTheme="majorHAnsi" w:hAnsiTheme="majorHAnsi" w:cstheme="majorHAnsi"/>
          <w:b/>
        </w:rPr>
        <w:t xml:space="preserve"> su istorija, </w:t>
      </w:r>
      <w:r w:rsidRPr="006319CA">
        <w:rPr>
          <w:rFonts w:asciiTheme="majorHAnsi" w:hAnsiTheme="majorHAnsi" w:cstheme="majorHAnsi"/>
          <w:b/>
          <w:bCs/>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319CA">
        <w:rPr>
          <w:rFonts w:asciiTheme="majorHAnsi" w:hAnsiTheme="majorHAnsi" w:cstheme="majorHAnsi"/>
          <w:b/>
        </w:rPr>
        <w:t xml:space="preserve"> arba </w:t>
      </w:r>
      <w:r w:rsidRPr="006319CA">
        <w:rPr>
          <w:rFonts w:asciiTheme="majorHAnsi" w:hAnsiTheme="majorHAnsi" w:cstheme="majorHAnsi"/>
          <w:b/>
          <w:bCs/>
        </w:rPr>
        <w:t xml:space="preserve">atitinkamus </w:t>
      </w:r>
      <w:r w:rsidRPr="006319CA">
        <w:rPr>
          <w:rFonts w:asciiTheme="majorHAnsi" w:hAnsiTheme="majorHAnsi" w:cstheme="majorHAnsi"/>
          <w:b/>
        </w:rPr>
        <w:t xml:space="preserve">valstybės narės ar trečiosios šalies </w:t>
      </w:r>
      <w:r w:rsidRPr="006319CA">
        <w:rPr>
          <w:rFonts w:asciiTheme="majorHAnsi" w:hAnsiTheme="majorHAnsi" w:cstheme="majorHAnsi"/>
          <w:b/>
          <w:bCs/>
        </w:rPr>
        <w:t>dokumentus, ar kitus perkančiajai organizacijai priimtinus dokumentus</w:t>
      </w:r>
      <w:r w:rsidRPr="006319CA">
        <w:rPr>
          <w:rFonts w:asciiTheme="majorHAnsi" w:hAnsiTheme="majorHAnsi" w:cstheme="majorHAnsi"/>
          <w:b/>
        </w:rPr>
        <w:t xml:space="preserve">. </w:t>
      </w:r>
    </w:p>
    <w:p w14:paraId="42967072" w14:textId="77777777" w:rsidR="00FD132B" w:rsidRPr="006319CA" w:rsidRDefault="00FD132B" w:rsidP="00003564">
      <w:pPr>
        <w:tabs>
          <w:tab w:val="left" w:pos="0"/>
          <w:tab w:val="left" w:pos="567"/>
        </w:tabs>
        <w:jc w:val="both"/>
        <w:rPr>
          <w:rFonts w:asciiTheme="majorHAnsi" w:hAnsiTheme="majorHAnsi" w:cstheme="majorHAnsi"/>
        </w:rPr>
      </w:pPr>
      <w:r w:rsidRPr="006319CA">
        <w:rPr>
          <w:rFonts w:asciiTheme="majorHAnsi" w:hAnsiTheme="majorHAnsi" w:cstheme="majorHAnsi"/>
          <w:bCs/>
        </w:rPr>
        <w:t>Dokumentai, kuriuose nenurodytas jų galiojimo terminas, turi būti išduoti ar atspausdinti iš informacinės sistemos ne anksčiau kaip likus 3 mėnesiams iki tos dienos, kurią perkančiosios organizacijos prašymu tiekėjas turi pateikti dokumentus</w:t>
      </w:r>
      <w:r w:rsidRPr="006319CA">
        <w:rPr>
          <w:rFonts w:asciiTheme="majorHAnsi" w:hAnsiTheme="majorHAnsi" w:cstheme="majorHAnsi"/>
        </w:rPr>
        <w:t>.</w:t>
      </w:r>
    </w:p>
    <w:p w14:paraId="20648F5F" w14:textId="7E938488" w:rsidR="00FD132B" w:rsidRPr="006319CA" w:rsidRDefault="00FD132B" w:rsidP="00003564">
      <w:pPr>
        <w:tabs>
          <w:tab w:val="left" w:pos="0"/>
          <w:tab w:val="left" w:pos="567"/>
        </w:tabs>
        <w:jc w:val="both"/>
        <w:rPr>
          <w:rFonts w:asciiTheme="majorHAnsi" w:hAnsiTheme="majorHAnsi" w:cstheme="majorHAnsi"/>
          <w:bCs/>
        </w:rPr>
      </w:pPr>
      <w:r w:rsidRPr="006319CA">
        <w:rPr>
          <w:rFonts w:asciiTheme="majorHAnsi" w:hAnsiTheme="majorHAnsi" w:cstheme="majorHAnsi"/>
          <w:bCs/>
        </w:rPr>
        <w:t xml:space="preserve">Jeigu </w:t>
      </w:r>
      <w:r w:rsidR="00984B8B">
        <w:rPr>
          <w:rFonts w:asciiTheme="majorHAnsi" w:hAnsiTheme="majorHAnsi" w:cstheme="majorHAnsi"/>
          <w:bCs/>
        </w:rPr>
        <w:t>P</w:t>
      </w:r>
      <w:r w:rsidRPr="006319CA">
        <w:rPr>
          <w:rFonts w:asciiTheme="majorHAnsi" w:hAnsiTheme="majorHAnsi" w:cstheme="majorHAnsi"/>
          <w:bCs/>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C460F53" w14:textId="27760F4B" w:rsidR="003A6F71" w:rsidRPr="006319CA" w:rsidRDefault="003A6F71" w:rsidP="00003564">
      <w:pPr>
        <w:pStyle w:val="Sraopastraipa"/>
        <w:ind w:left="709"/>
        <w:contextualSpacing w:val="0"/>
        <w:jc w:val="both"/>
        <w:rPr>
          <w:rFonts w:asciiTheme="majorHAnsi" w:hAnsiTheme="majorHAnsi" w:cstheme="majorHAnsi"/>
          <w:sz w:val="22"/>
          <w:szCs w:val="22"/>
        </w:rPr>
      </w:pPr>
    </w:p>
    <w:p w14:paraId="16C6A205" w14:textId="77777777" w:rsidR="003A6F71" w:rsidRPr="006319CA" w:rsidRDefault="003A6F71" w:rsidP="00003564">
      <w:pPr>
        <w:pStyle w:val="Sraopastraipa"/>
        <w:numPr>
          <w:ilvl w:val="0"/>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Pirkimo objektas – mobiliojo elektroninio parašo infrastruktūros paslaugų (toliau – Paslaugos), skirtų užtikrinti galimybę pasirašyti ADOC V-1.0 elektroninius dokumentus kvalifikuotu mobiliuoju el. parašu DBSIS, teikimas 7 p. nustatytomis sąlygomis.</w:t>
      </w:r>
    </w:p>
    <w:p w14:paraId="5D425C80" w14:textId="77777777" w:rsidR="003A6F71" w:rsidRPr="006319CA" w:rsidRDefault="003A6F71" w:rsidP="00003564">
      <w:pPr>
        <w:pStyle w:val="Sraopastraipa"/>
        <w:numPr>
          <w:ilvl w:val="0"/>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Paslaugos apima pasirašančiųjų asmenų autentifikavimą ir elektroninių dokumentų pasirašymą mobiliuoju elektroniniu parašu, kuris sukurtas mobilaus GSM ryšio operatorių UAB „Bitė Lietuva“, UAB „Telia“, UAB „Tele2“ ir UAB „Teledema“ saugia parašo formavimo įranga.</w:t>
      </w:r>
    </w:p>
    <w:p w14:paraId="55E38DAA" w14:textId="77777777" w:rsidR="003A6F71" w:rsidRPr="006319CA" w:rsidRDefault="003A6F71" w:rsidP="00003564">
      <w:pPr>
        <w:pStyle w:val="Sraopastraipa"/>
        <w:numPr>
          <w:ilvl w:val="0"/>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 xml:space="preserve">Paslaugų teikimo tvarka: </w:t>
      </w:r>
    </w:p>
    <w:p w14:paraId="15BE9391" w14:textId="7C504BDD"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Paslaugų teikėjas internetu priima iš DBSIS šiuos užklausos duomenis, susijusius su pasirašančiuoju asmeniu ir pasirašomais duomenimis: pasirašančiojo asmens mobiliojo telefono numerį, pasirašančiojo asmens kodą, pasirašomų duomenų santrauką;</w:t>
      </w:r>
    </w:p>
    <w:p w14:paraId="4B2FEF3A" w14:textId="2F7B643B"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Paslaugų teikėjas, priėmęs iš DBSIS mobiliuoju parašu pasirašančiojo asmens duomenis ir pasirašomų duomenų santrauką, perduoda internetu į DBSIS šiuos duomenis: pasirašančio asmens privačiu raktu užšifruotą pasirašomų duomenų santrauką, pasirašančio asmens kvalifikuotą elektroninį sertifikatą.</w:t>
      </w:r>
    </w:p>
    <w:p w14:paraId="08F95DD7" w14:textId="77777777" w:rsidR="003A6F71" w:rsidRPr="006319CA" w:rsidRDefault="003A6F71" w:rsidP="00003564">
      <w:pPr>
        <w:pStyle w:val="Sraopastraipa"/>
        <w:numPr>
          <w:ilvl w:val="0"/>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Reikalavimai Paslaugoms:</w:t>
      </w:r>
    </w:p>
    <w:p w14:paraId="6191A572"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Paslaugos teikiamos HTTPS protokolu pagal DBSIS autentifikuotą užklausimą, kaip saugios tinklinės paslaugos;</w:t>
      </w:r>
    </w:p>
    <w:p w14:paraId="2B84E3ED"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 xml:space="preserve">Paslaugos turi būti teikiamos DBSIS naudojamam programų bibliotekų rinkiniui „Signa SDK“, kuris yra skirtas elektroniniams dokumentams sudaryti ir tikrinti bei pasirašyti kvalifikuotais el. parašais. </w:t>
      </w:r>
    </w:p>
    <w:p w14:paraId="2428C8F3"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Paslaugos turi atitikti standarto ETSI TS 102 204 V1.1.4 (2003-08) „Mobile Commerce (M-COMM); Mobile Signature Service; Web Service Interface“ reikalavimus. Realizuojamos pasirašymo tinklinės paslaugos: sertifikato pateikimas (operacija „Registration“), pasirašymas (operacija „Signature“);</w:t>
      </w:r>
    </w:p>
    <w:p w14:paraId="4BB1E18D"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Paslaugos turi būti teikiamos vadovaujantis šiais teisės aktais (jų aktualiomis redakcijomis):</w:t>
      </w:r>
    </w:p>
    <w:p w14:paraId="0226BECF" w14:textId="77777777" w:rsidR="003A6F71" w:rsidRPr="006319CA" w:rsidRDefault="003A6F71" w:rsidP="00003564">
      <w:pPr>
        <w:pStyle w:val="Sraopastraipa"/>
        <w:numPr>
          <w:ilvl w:val="2"/>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lastRenderedPageBreak/>
        <w:t>2014 m. liepos 23 d. Europos Parlamento ir Tarybos reglamentu (ES) Nr. 910/2014 dėl elektroninės atpažinties ir elektroninių operacijų patikimumo užtikrinimo paslaugų vidaus rinkoje, kuriuo panaikinama Direktyva 1999/93/EB;</w:t>
      </w:r>
    </w:p>
    <w:p w14:paraId="2372C3D9" w14:textId="77777777" w:rsidR="003A6F71" w:rsidRPr="006319CA" w:rsidRDefault="003A6F71" w:rsidP="00003564">
      <w:pPr>
        <w:pStyle w:val="Sraopastraipa"/>
        <w:numPr>
          <w:ilvl w:val="2"/>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Lietuvos Respublikos elektroninės atpažinties ir elektroninių operacijų patikimumo užtikrinimo paslaugų įstatymu;</w:t>
      </w:r>
    </w:p>
    <w:p w14:paraId="04D01B9A" w14:textId="77777777" w:rsidR="003A6F71" w:rsidRPr="006319CA" w:rsidRDefault="003A6F71" w:rsidP="00003564">
      <w:pPr>
        <w:pStyle w:val="Sraopastraipa"/>
        <w:numPr>
          <w:ilvl w:val="2"/>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Lietuvos Respublikos kibernetinio saugumo įstatymu;</w:t>
      </w:r>
    </w:p>
    <w:p w14:paraId="3EBF9D2A" w14:textId="77777777" w:rsidR="003A6F71" w:rsidRPr="006319CA" w:rsidRDefault="003A6F71" w:rsidP="00003564">
      <w:pPr>
        <w:pStyle w:val="Sraopastraipa"/>
        <w:numPr>
          <w:ilvl w:val="2"/>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color w:val="000000"/>
          <w:sz w:val="22"/>
          <w:szCs w:val="22"/>
        </w:rPr>
        <w:t>Organizacinių ir techninių kibernetinio saugumo reikalavimų, taikomų kibernetinio saugumo subjektams, aprašu, patvirtintu Lietuvos Respublikos Vyriausybės 2018 m. rugpjūčio 18 d. nutarimu Nr. 818 „Dėl Lietuvos Respublikos kibernetinio saugumo įstatymo įgyvendinimo“;</w:t>
      </w:r>
    </w:p>
    <w:p w14:paraId="57FD3344" w14:textId="77777777" w:rsidR="003A6F71" w:rsidRPr="006319CA" w:rsidRDefault="003A6F71" w:rsidP="00003564">
      <w:pPr>
        <w:pStyle w:val="Sraopastraipa"/>
        <w:numPr>
          <w:ilvl w:val="2"/>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Elektroniniu parašu pasirašyto elektroninio dokumento specifikacija ADOC-V1.0, patvirtinta Lietuvos vyriausiojo archyvaro 2009 m. rugsėjo 7 d. įsakymu Nr. V-60 „Dėl Elektroniniu parašu pasirašyto elektroninio dokumento specifikacijos ADOC-V1.0 patvirtinimo“;</w:t>
      </w:r>
    </w:p>
    <w:p w14:paraId="27A49DD5" w14:textId="77777777" w:rsidR="003A6F71" w:rsidRPr="006319CA" w:rsidRDefault="003A6F71" w:rsidP="00003564">
      <w:pPr>
        <w:pStyle w:val="Sraopastraipa"/>
        <w:numPr>
          <w:ilvl w:val="2"/>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Kitais Lietuvos Respublikos teisės aktais, reglamentuojančiais elektroninio parašo naudojimą ir elektroninio parašo paslaugų teikimą bei valstybės informacinių išteklių valdymą ir kibernetinio saugumo užtikrinimą.</w:t>
      </w:r>
    </w:p>
    <w:p w14:paraId="7147BDF5"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atitikti visus Lietuvos Respublikos teisės aktų, reglamentuojančių elektroninio parašo naudojimą ir elektroninio parašo paslaugų teikimą, reikalavimus;</w:t>
      </w:r>
    </w:p>
    <w:p w14:paraId="684F4814"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Paslaugos turi būti teikiamos nepertraukiamai 7 dienas per savaitę ir 24 valandas per  parą;</w:t>
      </w:r>
    </w:p>
    <w:p w14:paraId="448D0CA5"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Paslaugų prieinamumo per mėnesį lygis turi būti ne mažesnis kaip 99,5 proc.;</w:t>
      </w:r>
    </w:p>
    <w:p w14:paraId="722AE690" w14:textId="77777777" w:rsidR="003A6F71" w:rsidRPr="006319CA" w:rsidRDefault="003A6F71" w:rsidP="00003564">
      <w:pPr>
        <w:pStyle w:val="Sraopastraipa"/>
        <w:numPr>
          <w:ilvl w:val="1"/>
          <w:numId w:val="3"/>
        </w:numPr>
        <w:ind w:left="0" w:firstLine="709"/>
        <w:contextualSpacing w:val="0"/>
        <w:jc w:val="both"/>
        <w:rPr>
          <w:rFonts w:asciiTheme="majorHAnsi" w:hAnsiTheme="majorHAnsi" w:cstheme="majorHAnsi"/>
          <w:sz w:val="22"/>
          <w:szCs w:val="22"/>
        </w:rPr>
      </w:pPr>
      <w:r w:rsidRPr="006319CA">
        <w:rPr>
          <w:rFonts w:asciiTheme="majorHAnsi" w:hAnsiTheme="majorHAnsi" w:cstheme="majorHAnsi"/>
          <w:sz w:val="22"/>
          <w:szCs w:val="22"/>
        </w:rPr>
        <w:t>Paslaugos turi būti teikiamos užtikrinant asmens duomenų naudojimą, apsaugą ir tvarkymą vadovaujantis Europos Sąjungos Bendruoju duomenų apsaugos reglamentu, Lietuvos Respublikos asmens duomenų teisinės apsaugos įstatymu ir kitais teisės aktais.</w:t>
      </w:r>
    </w:p>
    <w:p w14:paraId="72DC0D3B" w14:textId="37F417C7" w:rsidR="003A6F71" w:rsidRDefault="003A6F71" w:rsidP="00003564">
      <w:pPr>
        <w:pStyle w:val="Sraopastraipa"/>
        <w:numPr>
          <w:ilvl w:val="0"/>
          <w:numId w:val="3"/>
        </w:numPr>
        <w:ind w:left="0" w:firstLine="709"/>
        <w:contextualSpacing w:val="0"/>
        <w:rPr>
          <w:rFonts w:asciiTheme="majorHAnsi" w:hAnsiTheme="majorHAnsi" w:cstheme="majorHAnsi"/>
          <w:sz w:val="22"/>
          <w:szCs w:val="22"/>
        </w:rPr>
      </w:pPr>
      <w:r w:rsidRPr="006319CA">
        <w:rPr>
          <w:rFonts w:asciiTheme="majorHAnsi" w:hAnsiTheme="majorHAnsi" w:cstheme="majorHAnsi"/>
          <w:sz w:val="22"/>
          <w:szCs w:val="22"/>
        </w:rPr>
        <w:t xml:space="preserve">Paslaugos turi būti pradėtos teikti kitą dieną po Paslaugų teikimo </w:t>
      </w:r>
      <w:r w:rsidR="009A110D">
        <w:rPr>
          <w:rFonts w:asciiTheme="majorHAnsi" w:hAnsiTheme="majorHAnsi" w:cstheme="majorHAnsi"/>
          <w:sz w:val="22"/>
          <w:szCs w:val="22"/>
        </w:rPr>
        <w:t>S</w:t>
      </w:r>
      <w:r w:rsidRPr="006319CA">
        <w:rPr>
          <w:rFonts w:asciiTheme="majorHAnsi" w:hAnsiTheme="majorHAnsi" w:cstheme="majorHAnsi"/>
          <w:sz w:val="22"/>
          <w:szCs w:val="22"/>
        </w:rPr>
        <w:t>utarties įsigaliojimo dienos.</w:t>
      </w:r>
    </w:p>
    <w:p w14:paraId="1A610A28" w14:textId="178A83EF" w:rsidR="001C7FC1" w:rsidRDefault="001C7FC1" w:rsidP="00003564">
      <w:pPr>
        <w:pStyle w:val="Sraopastraipa"/>
        <w:numPr>
          <w:ilvl w:val="0"/>
          <w:numId w:val="3"/>
        </w:numPr>
        <w:ind w:left="0" w:firstLine="709"/>
        <w:jc w:val="both"/>
        <w:rPr>
          <w:rFonts w:asciiTheme="majorHAnsi" w:hAnsiTheme="majorHAnsi" w:cstheme="majorHAnsi"/>
          <w:sz w:val="22"/>
          <w:szCs w:val="22"/>
        </w:rPr>
      </w:pPr>
      <w:r>
        <w:rPr>
          <w:rFonts w:asciiTheme="majorHAnsi" w:hAnsiTheme="majorHAnsi" w:cstheme="majorHAnsi"/>
          <w:sz w:val="22"/>
          <w:szCs w:val="22"/>
        </w:rPr>
        <w:t>Paslaugų t</w:t>
      </w:r>
      <w:r w:rsidRPr="001C7FC1">
        <w:rPr>
          <w:rFonts w:asciiTheme="majorHAnsi" w:hAnsiTheme="majorHAnsi" w:cstheme="majorHAnsi"/>
          <w:sz w:val="22"/>
          <w:szCs w:val="22"/>
        </w:rPr>
        <w:t>e</w:t>
      </w:r>
      <w:r>
        <w:rPr>
          <w:rFonts w:asciiTheme="majorHAnsi" w:hAnsiTheme="majorHAnsi" w:cstheme="majorHAnsi"/>
          <w:sz w:val="22"/>
          <w:szCs w:val="22"/>
        </w:rPr>
        <w:t>i</w:t>
      </w:r>
      <w:r w:rsidRPr="001C7FC1">
        <w:rPr>
          <w:rFonts w:asciiTheme="majorHAnsi" w:hAnsiTheme="majorHAnsi" w:cstheme="majorHAnsi"/>
          <w:sz w:val="22"/>
          <w:szCs w:val="22"/>
        </w:rPr>
        <w:t xml:space="preserve">kėjas </w:t>
      </w:r>
      <w:r w:rsidR="00D07090">
        <w:rPr>
          <w:rFonts w:asciiTheme="majorHAnsi" w:hAnsiTheme="majorHAnsi" w:cstheme="majorHAnsi"/>
          <w:sz w:val="22"/>
          <w:szCs w:val="22"/>
        </w:rPr>
        <w:t>p</w:t>
      </w:r>
      <w:r w:rsidRPr="001C7FC1">
        <w:rPr>
          <w:rFonts w:asciiTheme="majorHAnsi" w:hAnsiTheme="majorHAnsi" w:cstheme="majorHAnsi"/>
          <w:sz w:val="22"/>
          <w:szCs w:val="22"/>
        </w:rPr>
        <w:t>erkančiajai organizacijai privalo nedelsdamas raštu pranešti, jeigu</w:t>
      </w:r>
      <w:r w:rsidR="00984B8B">
        <w:rPr>
          <w:rFonts w:asciiTheme="majorHAnsi" w:hAnsiTheme="majorHAnsi" w:cstheme="majorHAnsi"/>
          <w:sz w:val="22"/>
          <w:szCs w:val="22"/>
        </w:rPr>
        <w:t xml:space="preserve"> Paslaugų teikėjo</w:t>
      </w:r>
      <w:r w:rsidRPr="001C7FC1">
        <w:rPr>
          <w:rFonts w:asciiTheme="majorHAnsi" w:hAnsiTheme="majorHAnsi" w:cstheme="majorHAnsi"/>
          <w:sz w:val="22"/>
          <w:szCs w:val="22"/>
        </w:rPr>
        <w:t xml:space="preserve">, (jungtinės veiklos partnerių, subtiekėjų), informacinių technologijų infrastruktūroje įvyksta kibernetinio saugumo, elektroninės informacijos saugos ar asmens duomenų apsaugos incidentas, nurodydamas incidento datą, laiką, faktines aplinkybes, galimas priežastis, kokį poveikį incidentas turėjo ar gali turėti </w:t>
      </w:r>
      <w:r w:rsidR="00D07090">
        <w:rPr>
          <w:rFonts w:asciiTheme="majorHAnsi" w:hAnsiTheme="majorHAnsi" w:cstheme="majorHAnsi"/>
          <w:sz w:val="22"/>
          <w:szCs w:val="22"/>
        </w:rPr>
        <w:t>p</w:t>
      </w:r>
      <w:r w:rsidRPr="001C7FC1">
        <w:rPr>
          <w:rFonts w:asciiTheme="majorHAnsi" w:hAnsiTheme="majorHAnsi" w:cstheme="majorHAnsi"/>
          <w:sz w:val="22"/>
          <w:szCs w:val="22"/>
        </w:rPr>
        <w:t>erkančiajai organizacijai bei Paslaugų teikimui, incidento suvaldymo būdą, kokių priemonių imtasi, kad incidentas būtų išspręstas ir nepasikartotų.</w:t>
      </w:r>
    </w:p>
    <w:p w14:paraId="656C5C27" w14:textId="2DC3AAAD" w:rsidR="00B77F0F" w:rsidRPr="001C7FC1" w:rsidRDefault="00B77F0F" w:rsidP="00003564">
      <w:pPr>
        <w:pStyle w:val="Sraopastraipa"/>
        <w:numPr>
          <w:ilvl w:val="0"/>
          <w:numId w:val="3"/>
        </w:numPr>
        <w:ind w:left="0" w:firstLine="709"/>
        <w:jc w:val="both"/>
        <w:rPr>
          <w:rFonts w:asciiTheme="majorHAnsi" w:hAnsiTheme="majorHAnsi" w:cstheme="majorHAnsi"/>
          <w:sz w:val="22"/>
          <w:szCs w:val="22"/>
        </w:rPr>
      </w:pPr>
      <w:r>
        <w:rPr>
          <w:rFonts w:asciiTheme="majorHAnsi" w:hAnsiTheme="majorHAnsi" w:cstheme="majorHAnsi"/>
          <w:sz w:val="22"/>
          <w:szCs w:val="22"/>
        </w:rPr>
        <w:t xml:space="preserve">Preliminari paslaugų apimtis: 180 000 (vienas šimtas aštuoniasdešimt tūkstančių) mobiliųjų elektroninių parašų per </w:t>
      </w:r>
      <w:r w:rsidR="009A110D">
        <w:rPr>
          <w:rFonts w:asciiTheme="majorHAnsi" w:hAnsiTheme="majorHAnsi" w:cstheme="majorHAnsi"/>
          <w:sz w:val="22"/>
          <w:szCs w:val="22"/>
        </w:rPr>
        <w:t>S</w:t>
      </w:r>
      <w:r>
        <w:rPr>
          <w:rFonts w:asciiTheme="majorHAnsi" w:hAnsiTheme="majorHAnsi" w:cstheme="majorHAnsi"/>
          <w:sz w:val="22"/>
          <w:szCs w:val="22"/>
        </w:rPr>
        <w:t>utarties galiojimo laikotarpį.</w:t>
      </w:r>
    </w:p>
    <w:p w14:paraId="5A354A0B" w14:textId="77777777" w:rsidR="0054521D" w:rsidRPr="0054521D" w:rsidRDefault="0054521D" w:rsidP="00003564">
      <w:pPr>
        <w:pStyle w:val="Sraopastraipa"/>
        <w:numPr>
          <w:ilvl w:val="0"/>
          <w:numId w:val="3"/>
        </w:numPr>
        <w:ind w:left="0" w:firstLine="709"/>
        <w:jc w:val="both"/>
        <w:rPr>
          <w:rFonts w:ascii="Calibri Light" w:hAnsi="Calibri Light" w:cs="Calibri Light"/>
          <w:sz w:val="22"/>
          <w:szCs w:val="22"/>
        </w:rPr>
      </w:pPr>
      <w:bookmarkStart w:id="0" w:name="_Hlk162338847"/>
      <w:r>
        <w:rPr>
          <w:rFonts w:ascii="Calibri Light" w:hAnsi="Calibri Light" w:cs="Calibri Light"/>
          <w:sz w:val="22"/>
          <w:szCs w:val="22"/>
        </w:rPr>
        <w:t xml:space="preserve"> </w:t>
      </w:r>
      <w:r w:rsidRPr="0054521D">
        <w:rPr>
          <w:rFonts w:ascii="Calibri Light" w:hAnsi="Calibri Light" w:cs="Calibri Light"/>
          <w:sz w:val="22"/>
          <w:szCs w:val="22"/>
        </w:rPr>
        <w:t xml:space="preserve">Maksimali </w:t>
      </w:r>
      <w:r w:rsidR="009A110D">
        <w:rPr>
          <w:rFonts w:ascii="Calibri Light" w:hAnsi="Calibri Light" w:cs="Calibri Light"/>
          <w:sz w:val="22"/>
          <w:szCs w:val="22"/>
        </w:rPr>
        <w:t>S</w:t>
      </w:r>
      <w:r w:rsidRPr="0054521D">
        <w:rPr>
          <w:rFonts w:ascii="Calibri Light" w:hAnsi="Calibri Light" w:cs="Calibri Light"/>
          <w:sz w:val="22"/>
          <w:szCs w:val="22"/>
        </w:rPr>
        <w:t xml:space="preserve">utarties vertė (12 mėn. laikotarpiui) yra iki 9 000 Eur be PVM (bendra Sutarties vertė – iki 10 890 Eur su PVM). Paslaugos bus perkamos pagal poreikį </w:t>
      </w:r>
      <w:r w:rsidR="00D94BA3">
        <w:rPr>
          <w:rFonts w:ascii="Calibri Light" w:hAnsi="Calibri Light" w:cs="Calibri Light"/>
          <w:sz w:val="22"/>
          <w:szCs w:val="22"/>
        </w:rPr>
        <w:t>P</w:t>
      </w:r>
      <w:r w:rsidRPr="0054521D">
        <w:rPr>
          <w:rFonts w:ascii="Calibri Light" w:hAnsi="Calibri Light" w:cs="Calibri Light"/>
          <w:sz w:val="22"/>
          <w:szCs w:val="22"/>
        </w:rPr>
        <w:t>aslaug</w:t>
      </w:r>
      <w:r w:rsidR="00D94BA3">
        <w:rPr>
          <w:rFonts w:ascii="Calibri Light" w:hAnsi="Calibri Light" w:cs="Calibri Light"/>
          <w:sz w:val="22"/>
          <w:szCs w:val="22"/>
        </w:rPr>
        <w:t>ų</w:t>
      </w:r>
      <w:r w:rsidRPr="0054521D">
        <w:rPr>
          <w:rFonts w:ascii="Calibri Light" w:hAnsi="Calibri Light" w:cs="Calibri Light"/>
          <w:sz w:val="22"/>
          <w:szCs w:val="22"/>
        </w:rPr>
        <w:t xml:space="preserve"> teikėjo pasiūlyme nurodytais įkainiais.</w:t>
      </w:r>
    </w:p>
    <w:bookmarkEnd w:id="0"/>
    <w:tbl>
      <w:tblPr>
        <w:tblW w:w="9374" w:type="dxa"/>
        <w:tblInd w:w="165" w:type="dxa"/>
        <w:tblLook w:val="04A0" w:firstRow="1" w:lastRow="0" w:firstColumn="1" w:lastColumn="0" w:noHBand="0" w:noVBand="1"/>
      </w:tblPr>
      <w:tblGrid>
        <w:gridCol w:w="4659"/>
        <w:gridCol w:w="4715"/>
      </w:tblGrid>
      <w:tr w:rsidR="00664A22" w14:paraId="3876ED41" w14:textId="77777777" w:rsidTr="00664A22">
        <w:trPr>
          <w:trHeight w:val="4041"/>
        </w:trPr>
        <w:tc>
          <w:tcPr>
            <w:tcW w:w="4659" w:type="dxa"/>
          </w:tcPr>
          <w:p w14:paraId="6123E8BE" w14:textId="77777777" w:rsidR="00003564" w:rsidRDefault="00003564">
            <w:pPr>
              <w:widowControl w:val="0"/>
              <w:tabs>
                <w:tab w:val="left" w:pos="720"/>
                <w:tab w:val="left" w:pos="1008"/>
                <w:tab w:val="left" w:pos="9630"/>
              </w:tabs>
              <w:rPr>
                <w:rFonts w:ascii="Times New Roman" w:eastAsia="Times New Roman" w:hAnsi="Times New Roman"/>
                <w:b/>
                <w:sz w:val="24"/>
                <w:szCs w:val="24"/>
              </w:rPr>
            </w:pPr>
          </w:p>
          <w:p w14:paraId="7FD7E846" w14:textId="77777777" w:rsidR="00003564" w:rsidRDefault="00003564">
            <w:pPr>
              <w:widowControl w:val="0"/>
              <w:tabs>
                <w:tab w:val="left" w:pos="720"/>
                <w:tab w:val="left" w:pos="1008"/>
                <w:tab w:val="left" w:pos="9630"/>
              </w:tabs>
              <w:rPr>
                <w:rFonts w:ascii="Times New Roman" w:eastAsia="Times New Roman" w:hAnsi="Times New Roman"/>
                <w:b/>
                <w:sz w:val="24"/>
                <w:szCs w:val="24"/>
              </w:rPr>
            </w:pPr>
          </w:p>
          <w:p w14:paraId="68C40503" w14:textId="39A4BC48" w:rsidR="00664A22" w:rsidRDefault="00664A22">
            <w:pPr>
              <w:widowControl w:val="0"/>
              <w:tabs>
                <w:tab w:val="left" w:pos="720"/>
                <w:tab w:val="left" w:pos="1008"/>
                <w:tab w:val="left" w:pos="9630"/>
              </w:tabs>
              <w:rPr>
                <w:rFonts w:ascii="Times New Roman" w:eastAsia="Times New Roman" w:hAnsi="Times New Roman"/>
                <w:b/>
                <w:sz w:val="24"/>
                <w:szCs w:val="24"/>
              </w:rPr>
            </w:pPr>
            <w:r>
              <w:rPr>
                <w:rFonts w:ascii="Times New Roman" w:eastAsia="Times New Roman" w:hAnsi="Times New Roman"/>
                <w:b/>
                <w:sz w:val="24"/>
                <w:szCs w:val="24"/>
              </w:rPr>
              <w:t>KLIENTAS</w:t>
            </w:r>
          </w:p>
          <w:p w14:paraId="43014138" w14:textId="77777777" w:rsidR="00664A22" w:rsidRPr="00D94BA3" w:rsidRDefault="00664A22">
            <w:pPr>
              <w:widowControl w:val="0"/>
              <w:tabs>
                <w:tab w:val="left" w:pos="720"/>
                <w:tab w:val="left" w:pos="1008"/>
                <w:tab w:val="left" w:pos="9630"/>
              </w:tabs>
              <w:rPr>
                <w:rFonts w:ascii="Times New Roman" w:eastAsia="Times New Roman" w:hAnsi="Times New Roman"/>
                <w:sz w:val="16"/>
                <w:szCs w:val="16"/>
                <w:highlight w:val="lightGray"/>
              </w:rPr>
            </w:pPr>
          </w:p>
          <w:p w14:paraId="222FE839" w14:textId="77777777" w:rsidR="00664A22" w:rsidRDefault="00664A22">
            <w:pPr>
              <w:widowControl w:val="0"/>
              <w:rPr>
                <w:rFonts w:ascii="Times New Roman" w:eastAsia="Times New Roman" w:hAnsi="Times New Roman"/>
                <w:b/>
                <w:bCs/>
                <w:sz w:val="24"/>
                <w:szCs w:val="24"/>
              </w:rPr>
            </w:pPr>
            <w:r>
              <w:rPr>
                <w:rFonts w:ascii="Times New Roman" w:eastAsia="Times New Roman" w:hAnsi="Times New Roman"/>
                <w:b/>
                <w:bCs/>
                <w:sz w:val="24"/>
                <w:szCs w:val="24"/>
              </w:rPr>
              <w:t xml:space="preserve">Informatikos ir ryšių departamentas </w:t>
            </w:r>
          </w:p>
          <w:p w14:paraId="22EC953F" w14:textId="77777777" w:rsidR="00664A22" w:rsidRDefault="00664A22">
            <w:pPr>
              <w:widowControl w:val="0"/>
              <w:rPr>
                <w:rFonts w:ascii="Times New Roman" w:eastAsia="Times New Roman" w:hAnsi="Times New Roman"/>
                <w:b/>
                <w:bCs/>
                <w:sz w:val="24"/>
                <w:szCs w:val="24"/>
              </w:rPr>
            </w:pPr>
            <w:r>
              <w:rPr>
                <w:rFonts w:ascii="Times New Roman" w:eastAsia="Times New Roman" w:hAnsi="Times New Roman"/>
                <w:b/>
                <w:bCs/>
                <w:sz w:val="24"/>
                <w:szCs w:val="24"/>
              </w:rPr>
              <w:t xml:space="preserve">prie Lietuvos Respublikos </w:t>
            </w:r>
          </w:p>
          <w:p w14:paraId="692650C0" w14:textId="77777777" w:rsidR="00664A22" w:rsidRDefault="00664A22">
            <w:pPr>
              <w:widowControl w:val="0"/>
              <w:rPr>
                <w:rFonts w:ascii="Times New Roman" w:eastAsia="Times New Roman" w:hAnsi="Times New Roman"/>
                <w:b/>
                <w:bCs/>
                <w:sz w:val="24"/>
                <w:szCs w:val="24"/>
              </w:rPr>
            </w:pPr>
            <w:r>
              <w:rPr>
                <w:rFonts w:ascii="Times New Roman" w:eastAsia="Times New Roman" w:hAnsi="Times New Roman"/>
                <w:b/>
                <w:bCs/>
                <w:sz w:val="24"/>
                <w:szCs w:val="24"/>
              </w:rPr>
              <w:t xml:space="preserve">vidaus reikalų ministerijos </w:t>
            </w:r>
          </w:p>
          <w:p w14:paraId="7DF4BECC" w14:textId="77777777" w:rsidR="00664A22" w:rsidRDefault="00664A22">
            <w:pPr>
              <w:widowControl w:val="0"/>
              <w:rPr>
                <w:rFonts w:ascii="Times New Roman" w:eastAsia="Times New Roman" w:hAnsi="Times New Roman"/>
                <w:sz w:val="16"/>
                <w:szCs w:val="16"/>
              </w:rPr>
            </w:pPr>
          </w:p>
          <w:p w14:paraId="31488B46" w14:textId="77777777" w:rsidR="00664A22" w:rsidRDefault="00664A22">
            <w:pPr>
              <w:widowControl w:val="0"/>
              <w:rPr>
                <w:rFonts w:ascii="Times New Roman" w:eastAsia="Times New Roman" w:hAnsi="Times New Roman"/>
                <w:sz w:val="24"/>
                <w:szCs w:val="24"/>
              </w:rPr>
            </w:pPr>
            <w:r>
              <w:rPr>
                <w:rFonts w:ascii="Times New Roman" w:eastAsia="Times New Roman" w:hAnsi="Times New Roman"/>
                <w:sz w:val="24"/>
                <w:szCs w:val="24"/>
              </w:rPr>
              <w:t xml:space="preserve">Direktorė </w:t>
            </w:r>
          </w:p>
          <w:p w14:paraId="601E1A94" w14:textId="77777777" w:rsidR="00664A22" w:rsidRDefault="00664A22">
            <w:pPr>
              <w:widowControl w:val="0"/>
              <w:rPr>
                <w:rFonts w:ascii="Times New Roman" w:eastAsia="Times New Roman" w:hAnsi="Times New Roman"/>
                <w:sz w:val="24"/>
                <w:szCs w:val="24"/>
              </w:rPr>
            </w:pPr>
          </w:p>
          <w:p w14:paraId="7DEE9BC5" w14:textId="77777777" w:rsidR="00664A22" w:rsidRDefault="00664A22">
            <w:pPr>
              <w:widowControl w:val="0"/>
              <w:rPr>
                <w:rFonts w:ascii="Times New Roman" w:eastAsia="Times New Roman" w:hAnsi="Times New Roman"/>
                <w:sz w:val="24"/>
                <w:szCs w:val="24"/>
              </w:rPr>
            </w:pPr>
            <w:r>
              <w:rPr>
                <w:rFonts w:ascii="Times New Roman" w:eastAsia="Times New Roman" w:hAnsi="Times New Roman"/>
                <w:sz w:val="24"/>
                <w:szCs w:val="24"/>
              </w:rPr>
              <w:t>Viktorija Rūkštelė</w:t>
            </w:r>
          </w:p>
          <w:p w14:paraId="45DAC602" w14:textId="77777777" w:rsidR="00664A22" w:rsidRDefault="00664A22">
            <w:pPr>
              <w:tabs>
                <w:tab w:val="left" w:pos="1528"/>
              </w:tabs>
              <w:rPr>
                <w:rFonts w:ascii="Times New Roman" w:eastAsia="Times New Roman" w:hAnsi="Times New Roman"/>
                <w:sz w:val="24"/>
                <w:szCs w:val="24"/>
                <w:highlight w:val="lightGray"/>
              </w:rPr>
            </w:pPr>
          </w:p>
        </w:tc>
        <w:tc>
          <w:tcPr>
            <w:tcW w:w="4715" w:type="dxa"/>
          </w:tcPr>
          <w:p w14:paraId="4E7BA46D" w14:textId="77777777" w:rsidR="00003564" w:rsidRDefault="00003564">
            <w:pPr>
              <w:keepNext/>
              <w:tabs>
                <w:tab w:val="left" w:pos="9630"/>
              </w:tabs>
              <w:ind w:right="8"/>
              <w:outlineLvl w:val="0"/>
              <w:rPr>
                <w:rFonts w:ascii="Times New Roman" w:eastAsia="Arial Unicode MS" w:hAnsi="Times New Roman"/>
                <w:b/>
                <w:bCs/>
                <w:sz w:val="24"/>
                <w:szCs w:val="24"/>
              </w:rPr>
            </w:pPr>
          </w:p>
          <w:p w14:paraId="0C1E99C5" w14:textId="77777777" w:rsidR="00003564" w:rsidRDefault="00003564">
            <w:pPr>
              <w:keepNext/>
              <w:tabs>
                <w:tab w:val="left" w:pos="9630"/>
              </w:tabs>
              <w:ind w:right="8"/>
              <w:outlineLvl w:val="0"/>
              <w:rPr>
                <w:rFonts w:ascii="Times New Roman" w:eastAsia="Arial Unicode MS" w:hAnsi="Times New Roman"/>
                <w:b/>
                <w:bCs/>
                <w:sz w:val="24"/>
                <w:szCs w:val="24"/>
              </w:rPr>
            </w:pPr>
          </w:p>
          <w:p w14:paraId="798C4FD4" w14:textId="785FBE90" w:rsidR="00664A22" w:rsidRDefault="00664A22">
            <w:pPr>
              <w:keepNext/>
              <w:tabs>
                <w:tab w:val="left" w:pos="9630"/>
              </w:tabs>
              <w:ind w:right="8"/>
              <w:outlineLvl w:val="0"/>
              <w:rPr>
                <w:rFonts w:ascii="Times New Roman" w:eastAsia="Arial Unicode MS" w:hAnsi="Times New Roman"/>
                <w:b/>
                <w:bCs/>
                <w:sz w:val="24"/>
                <w:szCs w:val="24"/>
              </w:rPr>
            </w:pPr>
            <w:r>
              <w:rPr>
                <w:rFonts w:ascii="Times New Roman" w:eastAsia="Arial Unicode MS" w:hAnsi="Times New Roman"/>
                <w:b/>
                <w:bCs/>
                <w:sz w:val="24"/>
                <w:szCs w:val="24"/>
              </w:rPr>
              <w:t>PASLAUGŲ TEIKĖJAS</w:t>
            </w:r>
          </w:p>
          <w:p w14:paraId="16DF6770" w14:textId="77777777" w:rsidR="00664A22" w:rsidRPr="00D94BA3" w:rsidRDefault="00664A22">
            <w:pPr>
              <w:tabs>
                <w:tab w:val="left" w:pos="9630"/>
              </w:tabs>
              <w:ind w:right="8"/>
              <w:rPr>
                <w:rFonts w:ascii="Times New Roman" w:eastAsia="Times New Roman" w:hAnsi="Times New Roman"/>
                <w:b/>
                <w:sz w:val="16"/>
                <w:szCs w:val="16"/>
                <w:highlight w:val="lightGray"/>
                <w:lang w:eastAsia="lt-LT"/>
              </w:rPr>
            </w:pPr>
          </w:p>
          <w:p w14:paraId="138FEB10" w14:textId="77777777" w:rsidR="00664A22" w:rsidRDefault="00664A22">
            <w:pPr>
              <w:rPr>
                <w:rFonts w:ascii="Times New Roman" w:eastAsia="Times New Roman" w:hAnsi="Times New Roman"/>
                <w:bCs/>
                <w:sz w:val="24"/>
                <w:szCs w:val="24"/>
              </w:rPr>
            </w:pPr>
            <w:r>
              <w:rPr>
                <w:rFonts w:ascii="Times New Roman" w:eastAsia="Times New Roman" w:hAnsi="Times New Roman"/>
                <w:b/>
                <w:bCs/>
                <w:sz w:val="24"/>
                <w:szCs w:val="24"/>
              </w:rPr>
              <w:t xml:space="preserve">UAB „Asseco Lietuva“ </w:t>
            </w:r>
          </w:p>
          <w:p w14:paraId="13398135" w14:textId="77777777" w:rsidR="00664A22" w:rsidRDefault="00664A22">
            <w:pPr>
              <w:rPr>
                <w:rFonts w:ascii="Times New Roman" w:eastAsia="Times New Roman" w:hAnsi="Times New Roman"/>
                <w:sz w:val="24"/>
                <w:szCs w:val="24"/>
              </w:rPr>
            </w:pPr>
          </w:p>
          <w:p w14:paraId="201E912B" w14:textId="77777777" w:rsidR="00664A22" w:rsidRDefault="00664A22">
            <w:pPr>
              <w:rPr>
                <w:rFonts w:ascii="Times New Roman" w:eastAsia="Times New Roman" w:hAnsi="Times New Roman"/>
                <w:sz w:val="24"/>
                <w:szCs w:val="24"/>
              </w:rPr>
            </w:pPr>
          </w:p>
          <w:p w14:paraId="4FB3D9F7" w14:textId="77777777" w:rsidR="00664A22" w:rsidRDefault="00664A22">
            <w:pPr>
              <w:rPr>
                <w:rFonts w:ascii="Times New Roman" w:eastAsia="Times New Roman" w:hAnsi="Times New Roman"/>
                <w:sz w:val="16"/>
                <w:szCs w:val="16"/>
                <w:highlight w:val="lightGray"/>
              </w:rPr>
            </w:pPr>
          </w:p>
          <w:p w14:paraId="41BDAD2D" w14:textId="77777777" w:rsidR="00664A22" w:rsidRDefault="00664A22">
            <w:pPr>
              <w:rPr>
                <w:rFonts w:ascii="Times New Roman" w:eastAsia="Times New Roman" w:hAnsi="Times New Roman"/>
                <w:sz w:val="24"/>
                <w:szCs w:val="24"/>
              </w:rPr>
            </w:pPr>
            <w:r>
              <w:rPr>
                <w:rFonts w:ascii="Times New Roman" w:eastAsia="Times New Roman" w:hAnsi="Times New Roman"/>
                <w:sz w:val="24"/>
                <w:szCs w:val="24"/>
              </w:rPr>
              <w:t>Generalinis direktorius</w:t>
            </w:r>
          </w:p>
          <w:p w14:paraId="11BBC362" w14:textId="2313E1DE" w:rsidR="00664A22" w:rsidRDefault="00664A22">
            <w:pPr>
              <w:rPr>
                <w:rFonts w:ascii="Times New Roman" w:eastAsia="Times New Roman" w:hAnsi="Times New Roman"/>
                <w:sz w:val="24"/>
                <w:szCs w:val="24"/>
              </w:rPr>
            </w:pPr>
          </w:p>
          <w:p w14:paraId="6B4339DA" w14:textId="77777777" w:rsidR="00664A22" w:rsidRDefault="00664A22">
            <w:pPr>
              <w:rPr>
                <w:rFonts w:ascii="Times New Roman" w:eastAsia="Times New Roman" w:hAnsi="Times New Roman"/>
                <w:color w:val="000000"/>
                <w:sz w:val="24"/>
                <w:szCs w:val="24"/>
              </w:rPr>
            </w:pPr>
            <w:r>
              <w:rPr>
                <w:rFonts w:ascii="Times New Roman" w:eastAsia="Times New Roman" w:hAnsi="Times New Roman"/>
                <w:sz w:val="24"/>
                <w:szCs w:val="24"/>
              </w:rPr>
              <w:t>Albertas Šermokas</w:t>
            </w:r>
          </w:p>
          <w:p w14:paraId="0D0F4354" w14:textId="77777777" w:rsidR="00664A22" w:rsidRDefault="00664A22">
            <w:pPr>
              <w:rPr>
                <w:rFonts w:ascii="Times New Roman" w:eastAsia="Times New Roman" w:hAnsi="Times New Roman"/>
                <w:color w:val="000000"/>
                <w:sz w:val="24"/>
                <w:szCs w:val="24"/>
              </w:rPr>
            </w:pPr>
          </w:p>
          <w:p w14:paraId="1D96ACFB" w14:textId="77777777" w:rsidR="00664A22" w:rsidRDefault="00664A22">
            <w:pPr>
              <w:tabs>
                <w:tab w:val="left" w:pos="720"/>
                <w:tab w:val="left" w:pos="9630"/>
              </w:tabs>
              <w:ind w:right="8"/>
              <w:rPr>
                <w:rFonts w:ascii="Times New Roman" w:eastAsia="Times New Roman" w:hAnsi="Times New Roman"/>
                <w:i/>
                <w:sz w:val="24"/>
                <w:szCs w:val="24"/>
              </w:rPr>
            </w:pPr>
          </w:p>
        </w:tc>
      </w:tr>
    </w:tbl>
    <w:p w14:paraId="7607FACC" w14:textId="3DDD3607" w:rsidR="00A55AE1" w:rsidRPr="008373B7" w:rsidRDefault="00A55AE1" w:rsidP="00F05AED">
      <w:pPr>
        <w:widowControl w:val="0"/>
        <w:tabs>
          <w:tab w:val="right" w:leader="underscore" w:pos="9071"/>
        </w:tabs>
        <w:jc w:val="right"/>
        <w:rPr>
          <w:rFonts w:asciiTheme="majorHAnsi" w:hAnsiTheme="majorHAnsi" w:cstheme="majorHAnsi"/>
        </w:rPr>
      </w:pPr>
    </w:p>
    <w:sectPr w:rsidR="00A55AE1" w:rsidRPr="008373B7" w:rsidSect="00B604C2">
      <w:headerReference w:type="default" r:id="rId7"/>
      <w:pgSz w:w="11906" w:h="16838"/>
      <w:pgMar w:top="1134"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4C662" w14:textId="77777777" w:rsidR="00B604C2" w:rsidRDefault="00B604C2" w:rsidP="00EB06C1">
      <w:r>
        <w:separator/>
      </w:r>
    </w:p>
  </w:endnote>
  <w:endnote w:type="continuationSeparator" w:id="0">
    <w:p w14:paraId="30C85734" w14:textId="77777777" w:rsidR="00B604C2" w:rsidRDefault="00B604C2" w:rsidP="00EB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CEB09" w14:textId="77777777" w:rsidR="00B604C2" w:rsidRDefault="00B604C2" w:rsidP="00EB06C1">
      <w:r>
        <w:separator/>
      </w:r>
    </w:p>
  </w:footnote>
  <w:footnote w:type="continuationSeparator" w:id="0">
    <w:p w14:paraId="47381948" w14:textId="77777777" w:rsidR="00B604C2" w:rsidRDefault="00B604C2" w:rsidP="00EB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815311"/>
      <w:docPartObj>
        <w:docPartGallery w:val="Page Numbers (Top of Page)"/>
        <w:docPartUnique/>
      </w:docPartObj>
    </w:sdtPr>
    <w:sdtContent>
      <w:p w14:paraId="45527D1D" w14:textId="175486B6" w:rsidR="008F0A85" w:rsidRDefault="008F0A85">
        <w:pPr>
          <w:pStyle w:val="Antrats"/>
          <w:jc w:val="center"/>
        </w:pPr>
        <w:r>
          <w:fldChar w:fldCharType="begin"/>
        </w:r>
        <w:r>
          <w:instrText>PAGE   \* MERGEFORMAT</w:instrText>
        </w:r>
        <w:r>
          <w:fldChar w:fldCharType="separate"/>
        </w:r>
        <w:r>
          <w:t>2</w:t>
        </w:r>
        <w:r>
          <w:fldChar w:fldCharType="end"/>
        </w:r>
      </w:p>
    </w:sdtContent>
  </w:sdt>
  <w:p w14:paraId="7F6A1462" w14:textId="77777777" w:rsidR="008F0A85" w:rsidRDefault="008F0A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6791C"/>
    <w:multiLevelType w:val="hybridMultilevel"/>
    <w:tmpl w:val="905EE462"/>
    <w:lvl w:ilvl="0" w:tplc="D57A33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7E05B96"/>
    <w:multiLevelType w:val="hybridMultilevel"/>
    <w:tmpl w:val="CFC2D4AE"/>
    <w:lvl w:ilvl="0" w:tplc="ABA42CE6">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D4F52"/>
    <w:multiLevelType w:val="multilevel"/>
    <w:tmpl w:val="03426404"/>
    <w:lvl w:ilvl="0">
      <w:start w:val="1"/>
      <w:numFmt w:val="decimal"/>
      <w:lvlText w:val="%1."/>
      <w:lvlJc w:val="left"/>
      <w:pPr>
        <w:ind w:left="2935" w:hanging="360"/>
      </w:pPr>
      <w:rPr>
        <w:rFonts w:hint="default"/>
        <w:b w:val="0"/>
        <w:i w:val="0"/>
      </w:rPr>
    </w:lvl>
    <w:lvl w:ilvl="1">
      <w:start w:val="1"/>
      <w:numFmt w:val="decimal"/>
      <w:isLgl/>
      <w:lvlText w:val="%1.%2."/>
      <w:lvlJc w:val="left"/>
      <w:pPr>
        <w:ind w:left="3077" w:hanging="360"/>
      </w:pPr>
      <w:rPr>
        <w:rFonts w:ascii="Times New Roman" w:hAnsi="Times New Roman" w:cs="Times New Roman" w:hint="default"/>
        <w:i w:val="0"/>
        <w:sz w:val="24"/>
        <w:szCs w:val="24"/>
      </w:rPr>
    </w:lvl>
    <w:lvl w:ilvl="2">
      <w:start w:val="1"/>
      <w:numFmt w:val="decimal"/>
      <w:isLgl/>
      <w:lvlText w:val="%1.%2.%3."/>
      <w:lvlJc w:val="left"/>
      <w:pPr>
        <w:ind w:left="3153" w:hanging="720"/>
      </w:pPr>
      <w:rPr>
        <w:rFonts w:hint="default"/>
        <w:sz w:val="24"/>
      </w:rPr>
    </w:lvl>
    <w:lvl w:ilvl="3">
      <w:start w:val="1"/>
      <w:numFmt w:val="decimal"/>
      <w:isLgl/>
      <w:lvlText w:val="%1.%2.%3.%4."/>
      <w:lvlJc w:val="left"/>
      <w:pPr>
        <w:ind w:left="280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440"/>
      </w:pPr>
      <w:rPr>
        <w:rFonts w:hint="default"/>
      </w:rPr>
    </w:lvl>
    <w:lvl w:ilvl="7">
      <w:start w:val="1"/>
      <w:numFmt w:val="decimal"/>
      <w:isLgl/>
      <w:lvlText w:val="%1.%2.%3.%4.%5.%6.%7.%8."/>
      <w:lvlJc w:val="left"/>
      <w:pPr>
        <w:ind w:left="3524" w:hanging="1440"/>
      </w:pPr>
      <w:rPr>
        <w:rFonts w:hint="default"/>
      </w:rPr>
    </w:lvl>
    <w:lvl w:ilvl="8">
      <w:start w:val="1"/>
      <w:numFmt w:val="decimal"/>
      <w:isLgl/>
      <w:lvlText w:val="%1.%2.%3.%4.%5.%6.%7.%8.%9."/>
      <w:lvlJc w:val="left"/>
      <w:pPr>
        <w:ind w:left="3884" w:hanging="1800"/>
      </w:pPr>
      <w:rPr>
        <w:rFonts w:hint="default"/>
      </w:rPr>
    </w:lvl>
  </w:abstractNum>
  <w:abstractNum w:abstractNumId="7"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8D5F69"/>
    <w:multiLevelType w:val="hybridMultilevel"/>
    <w:tmpl w:val="AB86D1F6"/>
    <w:lvl w:ilvl="0" w:tplc="45F8943E">
      <w:start w:val="4"/>
      <w:numFmt w:val="decimal"/>
      <w:lvlText w:val="%1."/>
      <w:lvlJc w:val="left"/>
      <w:pPr>
        <w:ind w:left="1080" w:hanging="360"/>
      </w:pPr>
      <w:rPr>
        <w:rFonts w:eastAsia="Times New Roman"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6731221">
    <w:abstractNumId w:val="6"/>
  </w:num>
  <w:num w:numId="2" w16cid:durableId="1846246090">
    <w:abstractNumId w:val="1"/>
  </w:num>
  <w:num w:numId="3" w16cid:durableId="367147071">
    <w:abstractNumId w:val="2"/>
  </w:num>
  <w:num w:numId="4" w16cid:durableId="1382482115">
    <w:abstractNumId w:val="8"/>
  </w:num>
  <w:num w:numId="5" w16cid:durableId="1589772482">
    <w:abstractNumId w:val="3"/>
  </w:num>
  <w:num w:numId="6" w16cid:durableId="962922449">
    <w:abstractNumId w:val="9"/>
  </w:num>
  <w:num w:numId="7" w16cid:durableId="2130588746">
    <w:abstractNumId w:val="5"/>
  </w:num>
  <w:num w:numId="8" w16cid:durableId="192497107">
    <w:abstractNumId w:val="10"/>
  </w:num>
  <w:num w:numId="9" w16cid:durableId="78915469">
    <w:abstractNumId w:val="4"/>
  </w:num>
  <w:num w:numId="10" w16cid:durableId="1206135995">
    <w:abstractNumId w:val="0"/>
  </w:num>
  <w:num w:numId="11" w16cid:durableId="872115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3564"/>
    <w:rsid w:val="000806F2"/>
    <w:rsid w:val="00084F8B"/>
    <w:rsid w:val="00090643"/>
    <w:rsid w:val="000A68BF"/>
    <w:rsid w:val="000B30A0"/>
    <w:rsid w:val="000F544F"/>
    <w:rsid w:val="000F640C"/>
    <w:rsid w:val="00121507"/>
    <w:rsid w:val="001321A7"/>
    <w:rsid w:val="0014723D"/>
    <w:rsid w:val="0017353A"/>
    <w:rsid w:val="00192088"/>
    <w:rsid w:val="001934A7"/>
    <w:rsid w:val="001A000A"/>
    <w:rsid w:val="001A7D17"/>
    <w:rsid w:val="001C7FC1"/>
    <w:rsid w:val="001E5EF3"/>
    <w:rsid w:val="001F7BA0"/>
    <w:rsid w:val="0020201D"/>
    <w:rsid w:val="00204870"/>
    <w:rsid w:val="00210897"/>
    <w:rsid w:val="00215773"/>
    <w:rsid w:val="00241EAB"/>
    <w:rsid w:val="002A751E"/>
    <w:rsid w:val="002C3E75"/>
    <w:rsid w:val="002C70CD"/>
    <w:rsid w:val="002D514E"/>
    <w:rsid w:val="00306BA1"/>
    <w:rsid w:val="00311B38"/>
    <w:rsid w:val="003151C6"/>
    <w:rsid w:val="003214CB"/>
    <w:rsid w:val="0032405B"/>
    <w:rsid w:val="00336BD2"/>
    <w:rsid w:val="0034323D"/>
    <w:rsid w:val="003722F5"/>
    <w:rsid w:val="003A6F71"/>
    <w:rsid w:val="003C57AA"/>
    <w:rsid w:val="003C5ECB"/>
    <w:rsid w:val="003F4EC8"/>
    <w:rsid w:val="00417E61"/>
    <w:rsid w:val="00423918"/>
    <w:rsid w:val="0044293F"/>
    <w:rsid w:val="004750CD"/>
    <w:rsid w:val="00492330"/>
    <w:rsid w:val="004A69B5"/>
    <w:rsid w:val="004B761A"/>
    <w:rsid w:val="00512132"/>
    <w:rsid w:val="00522162"/>
    <w:rsid w:val="0054521D"/>
    <w:rsid w:val="005665FB"/>
    <w:rsid w:val="00573D9C"/>
    <w:rsid w:val="00591AC1"/>
    <w:rsid w:val="005B70E0"/>
    <w:rsid w:val="005C3940"/>
    <w:rsid w:val="005F02D2"/>
    <w:rsid w:val="00607EB6"/>
    <w:rsid w:val="006131A0"/>
    <w:rsid w:val="0062780B"/>
    <w:rsid w:val="006319CA"/>
    <w:rsid w:val="006452B3"/>
    <w:rsid w:val="006572A8"/>
    <w:rsid w:val="00664A22"/>
    <w:rsid w:val="00680AC2"/>
    <w:rsid w:val="006B17A0"/>
    <w:rsid w:val="006C15BB"/>
    <w:rsid w:val="0074134B"/>
    <w:rsid w:val="00780533"/>
    <w:rsid w:val="00794499"/>
    <w:rsid w:val="007B55D4"/>
    <w:rsid w:val="007C4D0F"/>
    <w:rsid w:val="007E54A9"/>
    <w:rsid w:val="007E612A"/>
    <w:rsid w:val="00826433"/>
    <w:rsid w:val="00830E9F"/>
    <w:rsid w:val="008373B7"/>
    <w:rsid w:val="00870384"/>
    <w:rsid w:val="00872AC1"/>
    <w:rsid w:val="008D5FBE"/>
    <w:rsid w:val="008F0A85"/>
    <w:rsid w:val="008F73D0"/>
    <w:rsid w:val="00940AD5"/>
    <w:rsid w:val="009430AC"/>
    <w:rsid w:val="00945D4A"/>
    <w:rsid w:val="00951D3B"/>
    <w:rsid w:val="00981977"/>
    <w:rsid w:val="00984B8B"/>
    <w:rsid w:val="009A110D"/>
    <w:rsid w:val="009A3E25"/>
    <w:rsid w:val="009A56A0"/>
    <w:rsid w:val="009A6EFD"/>
    <w:rsid w:val="009B47FF"/>
    <w:rsid w:val="00A21E94"/>
    <w:rsid w:val="00A33218"/>
    <w:rsid w:val="00A4125D"/>
    <w:rsid w:val="00A55AE1"/>
    <w:rsid w:val="00A64337"/>
    <w:rsid w:val="00A752ED"/>
    <w:rsid w:val="00A81B5A"/>
    <w:rsid w:val="00A9590D"/>
    <w:rsid w:val="00AA150C"/>
    <w:rsid w:val="00AA5F07"/>
    <w:rsid w:val="00AB42C5"/>
    <w:rsid w:val="00AC201B"/>
    <w:rsid w:val="00AD1CCF"/>
    <w:rsid w:val="00AD5C0F"/>
    <w:rsid w:val="00AE0EEA"/>
    <w:rsid w:val="00B46A6F"/>
    <w:rsid w:val="00B54C73"/>
    <w:rsid w:val="00B604C2"/>
    <w:rsid w:val="00B70B7B"/>
    <w:rsid w:val="00B77F0F"/>
    <w:rsid w:val="00B93770"/>
    <w:rsid w:val="00C354D9"/>
    <w:rsid w:val="00C36E59"/>
    <w:rsid w:val="00C52656"/>
    <w:rsid w:val="00C632DF"/>
    <w:rsid w:val="00C72C62"/>
    <w:rsid w:val="00C873FB"/>
    <w:rsid w:val="00C97288"/>
    <w:rsid w:val="00CC4545"/>
    <w:rsid w:val="00CD6602"/>
    <w:rsid w:val="00CE183F"/>
    <w:rsid w:val="00D07090"/>
    <w:rsid w:val="00D24783"/>
    <w:rsid w:val="00D84AE3"/>
    <w:rsid w:val="00D94BA3"/>
    <w:rsid w:val="00DA3D3C"/>
    <w:rsid w:val="00DB7F77"/>
    <w:rsid w:val="00DE17B9"/>
    <w:rsid w:val="00DE264A"/>
    <w:rsid w:val="00E167A3"/>
    <w:rsid w:val="00E24F8F"/>
    <w:rsid w:val="00E31C17"/>
    <w:rsid w:val="00E83524"/>
    <w:rsid w:val="00E8624C"/>
    <w:rsid w:val="00EB06C1"/>
    <w:rsid w:val="00EB2D25"/>
    <w:rsid w:val="00EC0FA7"/>
    <w:rsid w:val="00ED274B"/>
    <w:rsid w:val="00EE2409"/>
    <w:rsid w:val="00EE5AEF"/>
    <w:rsid w:val="00F05AED"/>
    <w:rsid w:val="00F2541E"/>
    <w:rsid w:val="00F83023"/>
    <w:rsid w:val="00FC1D5A"/>
    <w:rsid w:val="00FD1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9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E59"/>
    <w:pPr>
      <w:spacing w:after="0" w:line="240" w:lineRule="auto"/>
    </w:pPr>
    <w:rPr>
      <w:rFonts w:ascii="Calibri" w:hAnsi="Calibri" w:cs="Times New Roman"/>
    </w:rPr>
  </w:style>
  <w:style w:type="paragraph" w:styleId="Antrat1">
    <w:name w:val="heading 1"/>
    <w:basedOn w:val="prastasis"/>
    <w:next w:val="prastasis"/>
    <w:link w:val="Antrat1Diagrama"/>
    <w:qFormat/>
    <w:rsid w:val="00F05AED"/>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B46A6F"/>
    <w:pPr>
      <w:ind w:left="720"/>
      <w:contextualSpacing/>
    </w:pPr>
    <w:rPr>
      <w:rFonts w:ascii="Times New Roman" w:eastAsia="Times New Roman" w:hAnsi="Times New Roman"/>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46A6F"/>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B46A6F"/>
  </w:style>
  <w:style w:type="character" w:styleId="Emfaz">
    <w:name w:val="Emphasis"/>
    <w:uiPriority w:val="20"/>
    <w:qFormat/>
    <w:rsid w:val="00B46A6F"/>
    <w:rPr>
      <w:rFonts w:cs="Times New Roman"/>
      <w:i/>
    </w:rPr>
  </w:style>
  <w:style w:type="paragraph" w:styleId="Betarp">
    <w:name w:val="No Spacing"/>
    <w:uiPriority w:val="1"/>
    <w:qFormat/>
    <w:rsid w:val="00FC1D5A"/>
    <w:pPr>
      <w:spacing w:after="0" w:line="240" w:lineRule="auto"/>
    </w:pPr>
  </w:style>
  <w:style w:type="table" w:styleId="Lentelstinklelis">
    <w:name w:val="Table Grid"/>
    <w:basedOn w:val="prastojilentel"/>
    <w:uiPriority w:val="39"/>
    <w:rsid w:val="00F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91AC1"/>
    <w:pPr>
      <w:spacing w:before="100" w:beforeAutospacing="1" w:after="100" w:afterAutospacing="1"/>
    </w:pPr>
    <w:rPr>
      <w:rFonts w:ascii="Arial" w:eastAsia="Times New Roman" w:hAnsi="Arial" w:cs="Arial"/>
      <w:sz w:val="24"/>
      <w:szCs w:val="24"/>
      <w:lang w:val="en-US"/>
    </w:rPr>
  </w:style>
  <w:style w:type="paragraph" w:customStyle="1" w:styleId="prastasis1">
    <w:name w:val="Įprastasis1"/>
    <w:rsid w:val="00591AC1"/>
    <w:pPr>
      <w:widowControl w:val="0"/>
      <w:suppressAutoHyphens/>
      <w:autoSpaceDE w:val="0"/>
      <w:autoSpaceDN w:val="0"/>
      <w:spacing w:after="0" w:line="240" w:lineRule="auto"/>
    </w:pPr>
    <w:rPr>
      <w:rFonts w:ascii="Arial" w:eastAsia="Times New Roman" w:hAnsi="Arial" w:cs="Arial"/>
      <w:sz w:val="20"/>
      <w:szCs w:val="20"/>
      <w:lang w:val="en-US"/>
    </w:rPr>
  </w:style>
  <w:style w:type="table" w:customStyle="1" w:styleId="TableNormal1">
    <w:name w:val="Table Normal1"/>
    <w:uiPriority w:val="99"/>
    <w:semiHidden/>
    <w:rsid w:val="00591AC1"/>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customStyle="1" w:styleId="Pagrindinistekstas1">
    <w:name w:val="Pagrindinis tekstas1"/>
    <w:uiPriority w:val="99"/>
    <w:rsid w:val="00E31C17"/>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basedOn w:val="Numatytasispastraiposriftas"/>
    <w:link w:val="Antrat1"/>
    <w:rsid w:val="00F05AED"/>
    <w:rPr>
      <w:rFonts w:asciiTheme="majorHAnsi" w:eastAsiaTheme="majorEastAsia" w:hAnsiTheme="majorHAnsi" w:cstheme="majorBidi"/>
      <w:b/>
      <w:bCs/>
      <w:caps/>
      <w:spacing w:val="4"/>
      <w:sz w:val="28"/>
      <w:szCs w:val="28"/>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F05AED"/>
    <w:rPr>
      <w:sz w:val="24"/>
      <w:szCs w:val="24"/>
      <w:lang w:val="en-US" w:bidi="en-US"/>
    </w:rPr>
  </w:style>
  <w:style w:type="character" w:styleId="Komentaronuoroda">
    <w:name w:val="annotation reference"/>
    <w:basedOn w:val="Numatytasispastraiposriftas"/>
    <w:uiPriority w:val="99"/>
    <w:semiHidden/>
    <w:unhideWhenUsed/>
    <w:rsid w:val="009B47FF"/>
    <w:rPr>
      <w:sz w:val="16"/>
      <w:szCs w:val="16"/>
    </w:rPr>
  </w:style>
  <w:style w:type="paragraph" w:styleId="Komentarotekstas">
    <w:name w:val="annotation text"/>
    <w:basedOn w:val="prastasis"/>
    <w:link w:val="KomentarotekstasDiagrama"/>
    <w:uiPriority w:val="99"/>
    <w:unhideWhenUsed/>
    <w:rsid w:val="009B47FF"/>
    <w:rPr>
      <w:sz w:val="20"/>
      <w:szCs w:val="20"/>
    </w:rPr>
  </w:style>
  <w:style w:type="character" w:customStyle="1" w:styleId="KomentarotekstasDiagrama">
    <w:name w:val="Komentaro tekstas Diagrama"/>
    <w:basedOn w:val="Numatytasispastraiposriftas"/>
    <w:link w:val="Komentarotekstas"/>
    <w:uiPriority w:val="99"/>
    <w:rsid w:val="009B47FF"/>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7FF"/>
    <w:rPr>
      <w:b/>
      <w:bCs/>
    </w:rPr>
  </w:style>
  <w:style w:type="character" w:customStyle="1" w:styleId="KomentarotemaDiagrama">
    <w:name w:val="Komentaro tema Diagrama"/>
    <w:basedOn w:val="KomentarotekstasDiagrama"/>
    <w:link w:val="Komentarotema"/>
    <w:uiPriority w:val="99"/>
    <w:semiHidden/>
    <w:rsid w:val="009B47FF"/>
    <w:rPr>
      <w:rFonts w:ascii="Calibri" w:hAnsi="Calibri" w:cs="Times New Roman"/>
      <w:b/>
      <w:bCs/>
      <w:sz w:val="20"/>
      <w:szCs w:val="20"/>
    </w:rPr>
  </w:style>
  <w:style w:type="paragraph" w:styleId="Debesliotekstas">
    <w:name w:val="Balloon Text"/>
    <w:basedOn w:val="prastasis"/>
    <w:link w:val="DebesliotekstasDiagrama"/>
    <w:uiPriority w:val="99"/>
    <w:semiHidden/>
    <w:unhideWhenUsed/>
    <w:rsid w:val="009B4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7FF"/>
    <w:rPr>
      <w:rFonts w:ascii="Segoe UI" w:hAnsi="Segoe UI" w:cs="Segoe UI"/>
      <w:sz w:val="18"/>
      <w:szCs w:val="18"/>
    </w:rPr>
  </w:style>
  <w:style w:type="paragraph" w:styleId="Pataisymai">
    <w:name w:val="Revision"/>
    <w:hidden/>
    <w:uiPriority w:val="99"/>
    <w:semiHidden/>
    <w:rsid w:val="00DB7F77"/>
    <w:pPr>
      <w:spacing w:after="0" w:line="240" w:lineRule="auto"/>
    </w:pPr>
    <w:rPr>
      <w:rFonts w:ascii="Calibri" w:hAnsi="Calibri" w:cs="Times New Roman"/>
    </w:rPr>
  </w:style>
  <w:style w:type="paragraph" w:styleId="Antrats">
    <w:name w:val="header"/>
    <w:basedOn w:val="prastasis"/>
    <w:link w:val="AntratsDiagrama"/>
    <w:uiPriority w:val="99"/>
    <w:unhideWhenUsed/>
    <w:rsid w:val="00EB06C1"/>
    <w:pPr>
      <w:tabs>
        <w:tab w:val="center" w:pos="4513"/>
        <w:tab w:val="right" w:pos="9026"/>
      </w:tabs>
    </w:pPr>
  </w:style>
  <w:style w:type="character" w:customStyle="1" w:styleId="AntratsDiagrama">
    <w:name w:val="Antraštės Diagrama"/>
    <w:basedOn w:val="Numatytasispastraiposriftas"/>
    <w:link w:val="Antrats"/>
    <w:uiPriority w:val="99"/>
    <w:rsid w:val="00EB06C1"/>
    <w:rPr>
      <w:rFonts w:ascii="Calibri" w:hAnsi="Calibri" w:cs="Times New Roman"/>
    </w:rPr>
  </w:style>
  <w:style w:type="paragraph" w:styleId="Porat">
    <w:name w:val="footer"/>
    <w:basedOn w:val="prastasis"/>
    <w:link w:val="PoratDiagrama"/>
    <w:uiPriority w:val="99"/>
    <w:unhideWhenUsed/>
    <w:rsid w:val="00EB06C1"/>
    <w:pPr>
      <w:tabs>
        <w:tab w:val="center" w:pos="4513"/>
        <w:tab w:val="right" w:pos="9026"/>
      </w:tabs>
    </w:pPr>
  </w:style>
  <w:style w:type="character" w:customStyle="1" w:styleId="PoratDiagrama">
    <w:name w:val="Poraštė Diagrama"/>
    <w:basedOn w:val="Numatytasispastraiposriftas"/>
    <w:link w:val="Porat"/>
    <w:uiPriority w:val="99"/>
    <w:rsid w:val="00EB06C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453729">
      <w:bodyDiv w:val="1"/>
      <w:marLeft w:val="0"/>
      <w:marRight w:val="0"/>
      <w:marTop w:val="0"/>
      <w:marBottom w:val="0"/>
      <w:divBdr>
        <w:top w:val="none" w:sz="0" w:space="0" w:color="auto"/>
        <w:left w:val="none" w:sz="0" w:space="0" w:color="auto"/>
        <w:bottom w:val="none" w:sz="0" w:space="0" w:color="auto"/>
        <w:right w:val="none" w:sz="0" w:space="0" w:color="auto"/>
      </w:divBdr>
    </w:div>
    <w:div w:id="12326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4336</Words>
  <Characters>2473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2024-05-02T12:44:00Z</dcterms:created>
  <dcterms:modified xsi:type="dcterms:W3CDTF">2024-05-02T12:45:00Z</dcterms:modified>
</cp:coreProperties>
</file>