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B49C2" w14:textId="41B2C519" w:rsidR="005B4055" w:rsidRPr="00BF634D" w:rsidRDefault="0041091A" w:rsidP="00BE41C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F634D">
        <w:rPr>
          <w:rFonts w:ascii="Times New Roman" w:hAnsi="Times New Roman" w:cs="Times New Roman"/>
          <w:b/>
          <w:bCs/>
          <w:sz w:val="24"/>
          <w:szCs w:val="24"/>
          <w:lang w:val="lt-LT"/>
        </w:rPr>
        <w:t>SU</w:t>
      </w:r>
      <w:r w:rsidR="005B4055" w:rsidRPr="00BF634D">
        <w:rPr>
          <w:rFonts w:ascii="Times New Roman" w:hAnsi="Times New Roman" w:cs="Times New Roman"/>
          <w:b/>
          <w:bCs/>
          <w:sz w:val="24"/>
          <w:szCs w:val="24"/>
          <w:lang w:val="lt-LT"/>
        </w:rPr>
        <w:t>SITARIMO</w:t>
      </w:r>
      <w:r w:rsidRPr="00BF634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5B4055" w:rsidRPr="00BF634D">
        <w:rPr>
          <w:rFonts w:ascii="Times New Roman" w:hAnsi="Times New Roman" w:cs="Times New Roman"/>
          <w:b/>
          <w:bCs/>
          <w:sz w:val="24"/>
          <w:szCs w:val="24"/>
          <w:lang w:val="lt-LT"/>
        </w:rPr>
        <w:t>FORMA</w:t>
      </w:r>
    </w:p>
    <w:p w14:paraId="35341AA4" w14:textId="611E5589" w:rsidR="005B4055" w:rsidRPr="00BF634D" w:rsidRDefault="005B4055" w:rsidP="00507D89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F634D">
        <w:rPr>
          <w:rFonts w:ascii="Times New Roman" w:hAnsi="Times New Roman" w:cs="Times New Roman"/>
          <w:b/>
          <w:bCs/>
          <w:sz w:val="24"/>
          <w:szCs w:val="24"/>
          <w:lang w:val="lt-LT"/>
        </w:rPr>
        <w:t>SUSITARIMAS</w:t>
      </w:r>
      <w:r w:rsidR="00BE41C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7CCA7D35" w14:textId="77777777" w:rsidR="00B76693" w:rsidRPr="00BF634D" w:rsidRDefault="00B76693" w:rsidP="002756CB">
      <w:pPr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BF634D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BF634D" w:rsidRDefault="005B4055" w:rsidP="005B4055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F6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Susitarimo</w:t>
            </w:r>
            <w:r w:rsidR="00AC0305" w:rsidRPr="00BF6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4DAFAE67" w:rsidR="005B4055" w:rsidRPr="00BF634D" w:rsidRDefault="00BF634D" w:rsidP="005B405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F634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2024-04-1</w:t>
            </w:r>
            <w:r w:rsidR="002A26D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BF634D" w:rsidRDefault="005B4055" w:rsidP="005B4055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F6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Susitarimo</w:t>
            </w:r>
            <w:r w:rsidR="00AC0305" w:rsidRPr="00BF6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42A7EEE0" w:rsidR="005B4055" w:rsidRPr="00BF634D" w:rsidRDefault="00BE41C9" w:rsidP="005B405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Nr. </w:t>
            </w:r>
            <w:r w:rsidR="00D535F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</w:tr>
      <w:tr w:rsidR="005B4055" w:rsidRPr="00BF634D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BF634D" w:rsidRDefault="00AF5132" w:rsidP="00AF513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bookmarkStart w:id="0" w:name="_Hlk78272221"/>
            <w:r w:rsidRPr="00BF6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Sutarties </w:t>
            </w:r>
            <w:r w:rsidR="005B4055" w:rsidRPr="00BF6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3CCBD17" w:rsidR="005B4055" w:rsidRPr="00BF634D" w:rsidRDefault="00D535F1" w:rsidP="00FD567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53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Sveikatingumo tako Juodkrantėje Nr. 2 (kategorija E) Neringos sav., kapitalinio remonto rangos darbai</w:t>
            </w:r>
          </w:p>
        </w:tc>
      </w:tr>
      <w:tr w:rsidR="005B4055" w:rsidRPr="00BF634D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BF634D" w:rsidRDefault="005B4055" w:rsidP="00FD567A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F6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Sutarties </w:t>
            </w:r>
            <w:r w:rsidR="00AF5132" w:rsidRPr="00BF6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0CFBF61C" w:rsidR="005B4055" w:rsidRPr="00BF634D" w:rsidRDefault="00BF634D" w:rsidP="00FD567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F634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2023-</w:t>
            </w:r>
            <w:r w:rsidR="00D535F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</w:t>
            </w:r>
            <w:r w:rsidRPr="00BF634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  <w:r w:rsidR="00D535F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03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BF634D" w:rsidRDefault="005B4055" w:rsidP="00FD567A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F6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Sutarties </w:t>
            </w:r>
            <w:r w:rsidR="00AF5132" w:rsidRPr="00BF6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56A8E74C" w:rsidR="005B4055" w:rsidRPr="00BF634D" w:rsidRDefault="00673B4C" w:rsidP="00FD567A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Nr. </w:t>
            </w:r>
            <w:r w:rsidR="00BF634D" w:rsidRPr="00BF634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V31-</w:t>
            </w:r>
            <w:r w:rsidR="00D535F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222</w:t>
            </w:r>
          </w:p>
        </w:tc>
      </w:tr>
      <w:bookmarkEnd w:id="0"/>
      <w:tr w:rsidR="005B4055" w:rsidRPr="00BF634D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BF634D" w:rsidRDefault="005B4055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F6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273EC09A" w:rsidR="005B4055" w:rsidRPr="00BF634D" w:rsidRDefault="00BF634D" w:rsidP="00FD567A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BF63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Neringos savivaldybės administracija</w:t>
            </w:r>
          </w:p>
        </w:tc>
      </w:tr>
      <w:tr w:rsidR="005B4055" w:rsidRPr="00BF634D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BF634D" w:rsidRDefault="005B4055" w:rsidP="00FD567A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F6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6ACD9FE0" w:rsidR="005B4055" w:rsidRPr="00BF634D" w:rsidRDefault="00BF634D" w:rsidP="00FD567A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BF63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UAB „</w:t>
            </w:r>
            <w:r w:rsidR="00D535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VVARFF</w:t>
            </w:r>
            <w:r w:rsidRPr="00BF63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“</w:t>
            </w:r>
          </w:p>
        </w:tc>
      </w:tr>
      <w:tr w:rsidR="00CB42CD" w:rsidRPr="00BF634D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BF634D" w:rsidRDefault="00CB42CD" w:rsidP="00CB42CD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F6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D267A3D" w14:textId="682C44C2" w:rsidR="006554CB" w:rsidRPr="00BF634D" w:rsidRDefault="00BF634D" w:rsidP="00CB42CD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63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2023 m. </w:t>
            </w:r>
            <w:r w:rsidR="00D535F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spalio</w:t>
            </w:r>
            <w:r w:rsidRPr="00BF63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535F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BF63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  <w:r w:rsidR="00D535F1" w:rsidRPr="00D53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Sveikatingumo tako Juodkrantėje Nr. 2 (kategorija E) Neringos sav., kapitalinio remonto rangos darb</w:t>
            </w:r>
            <w:r w:rsidR="00D53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ų sutarties</w:t>
            </w:r>
            <w:r w:rsidRPr="00BF63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Nr. V31-2</w:t>
            </w:r>
            <w:r w:rsidR="00D535F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</w:t>
            </w:r>
            <w:r w:rsidRPr="00BF63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(toliau – Sutartis) Bendrųjų sąlygų </w:t>
            </w:r>
            <w:r w:rsidR="005624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25.1 ir </w:t>
            </w:r>
            <w:r w:rsidRPr="00BF63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25.2. punkta</w:t>
            </w:r>
            <w:r w:rsidR="005624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BF63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</w:p>
          <w:p w14:paraId="266440DD" w14:textId="6C209B9F" w:rsidR="006554CB" w:rsidRDefault="00BF634D" w:rsidP="006554CB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554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2024 m. </w:t>
            </w:r>
            <w:r w:rsidR="006554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balandžio 4 d. UAB „VVARFF“ raštas Nr. VF-24-061 „</w:t>
            </w:r>
            <w:r w:rsidR="006554CB" w:rsidRPr="006554C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 w:eastAsia="ar-SA"/>
              </w:rPr>
              <w:t xml:space="preserve"> </w:t>
            </w:r>
            <w:r w:rsidR="006554CB" w:rsidRPr="006554C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Dėl ESO darbų ir apšvietimo įrengimo „Sveikatingumo tako Juodkrantėje Nr. 2 (kategorija </w:t>
            </w:r>
            <w:r w:rsidR="006554CB" w:rsidRPr="006554C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br/>
              <w:t>E) Neringos sav., kapitalinio remonto rangos darbai“ Nr. V31-222(2023-10-03)“</w:t>
            </w:r>
            <w:r w:rsidR="006554C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  <w:p w14:paraId="56A71369" w14:textId="4F61C439" w:rsidR="00BF634D" w:rsidRPr="006554CB" w:rsidRDefault="006554CB" w:rsidP="006554C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554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2024 m.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balandžio 4 d. UAB „VVARFF“ raštas Nr. VF-24-062 „</w:t>
            </w:r>
            <w:r w:rsidRPr="006554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apšvietimo įžeminimo „Sveikatingumo tako Juodkrantėje Nr. 2 (kategorija E) Neringos sav., kapitalinio remonto rangos darbai“ Nr. V31-222(2023-10-03)“.</w:t>
            </w:r>
          </w:p>
        </w:tc>
      </w:tr>
      <w:tr w:rsidR="005B4055" w:rsidRPr="00BF634D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BF634D" w:rsidRDefault="005B4055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F6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Susitarimo turinys</w:t>
            </w:r>
            <w:r w:rsidR="00CB42CD" w:rsidRPr="00BF6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BF634D" w:rsidRDefault="00CB42CD" w:rsidP="001B49E6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BF63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Šalys susitaria:</w:t>
            </w:r>
          </w:p>
          <w:p w14:paraId="411B631E" w14:textId="48CCF34F" w:rsidR="00BF634D" w:rsidRPr="00BF634D" w:rsidRDefault="00BF634D" w:rsidP="00BF634D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63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Papildomai įsigyti </w:t>
            </w:r>
            <w:r w:rsidR="005624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apšvietimo įrengimo, elektros kabelių linijos iškėlimo ir elektros kabelinės linijos apsaugojimo</w:t>
            </w:r>
            <w:r w:rsidRPr="00BF63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darbus (toliau – Papildomi darbai). Papildomų darbų kaina – </w:t>
            </w:r>
            <w:r w:rsidR="005624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35 464,43</w:t>
            </w:r>
            <w:r w:rsidRPr="00BF63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Eur su PVM (</w:t>
            </w:r>
            <w:r w:rsidR="00562469">
              <w:t xml:space="preserve"> </w:t>
            </w:r>
            <w:r w:rsidR="00562469" w:rsidRPr="005624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trisdešimt penki tūkstančiai keturi šimtai šešiasdešimt keturi eurai, 43 ct</w:t>
            </w:r>
            <w:r w:rsidRPr="00BF63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iš kurių PVM sudaro </w:t>
            </w:r>
            <w:r w:rsidR="005624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6 754,68</w:t>
            </w:r>
            <w:r w:rsidRPr="00BF63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Eur (</w:t>
            </w:r>
            <w:r w:rsidR="00562469" w:rsidRPr="005624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šeši tūkstančiai vienas šimtas penkiasdešimt keturi eurai, 98 ct</w:t>
            </w:r>
            <w:r w:rsidRPr="00BF63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). Papildomi darbai sudaro </w:t>
            </w:r>
            <w:r w:rsidR="005624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4,86</w:t>
            </w:r>
            <w:r w:rsidRPr="00BF63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% visos bendros sutarties kainos </w:t>
            </w:r>
            <w:r w:rsidR="005624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730 259,39</w:t>
            </w:r>
            <w:r w:rsidRPr="00BF63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Eur su PVM (</w:t>
            </w:r>
            <w:r w:rsidR="00562469" w:rsidRPr="005624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septyni šimtai trisdešimt tūkstančiai du šimtai penkiasdešimt devyni eurai, 39 ct</w:t>
            </w:r>
            <w:r w:rsidRPr="00BF63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5624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004568F0" w14:textId="582C1316" w:rsidR="00CB42CD" w:rsidRPr="00BF634D" w:rsidRDefault="00BF634D" w:rsidP="00BF634D">
            <w:pPr>
              <w:numPr>
                <w:ilvl w:val="0"/>
                <w:numId w:val="9"/>
              </w:numPr>
              <w:rPr>
                <w:b/>
                <w:szCs w:val="24"/>
                <w:lang w:val="lt-LT"/>
              </w:rPr>
            </w:pPr>
            <w:r w:rsidRPr="00BF63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Atsisakyti </w:t>
            </w:r>
            <w:r w:rsidR="00FA69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elektros kabelių linijos iškėlimo ir elektros kabelinės linijos apsaugojimo</w:t>
            </w:r>
            <w:r w:rsidRPr="00BF63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darbų (toliau – Nevykdomi darbai). Nevykdomų darbų kaina </w:t>
            </w:r>
            <w:r w:rsidR="00FA69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8 307,81 </w:t>
            </w:r>
            <w:r w:rsidRPr="00BF63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 su PVM (</w:t>
            </w:r>
            <w:r w:rsidR="00FA6909" w:rsidRPr="00FA69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aštuoni tūkstančiai trys šimtai septyni eurai, 81 ct</w:t>
            </w:r>
            <w:r w:rsidRPr="00BF63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), iš kurių PVM sudaro </w:t>
            </w:r>
            <w:r w:rsidR="00FA69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1 441,85</w:t>
            </w:r>
            <w:r w:rsidRPr="00BF63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Eur (</w:t>
            </w:r>
            <w:r w:rsidR="00FA6909" w:rsidRPr="00FA69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tūkstantis keturi šimtai keturiasdešimt vienas euras, 85 ct</w:t>
            </w:r>
            <w:r w:rsidRPr="00BF63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FA69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5B4055" w:rsidRPr="00BF634D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BF634D" w:rsidRDefault="005B4055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F6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kaina</w:t>
            </w:r>
            <w:r w:rsidR="00CB42CD" w:rsidRPr="00BF6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7743932F" w:rsidR="005B4055" w:rsidRPr="00E84109" w:rsidRDefault="00562469" w:rsidP="005B4055">
            <w:pPr>
              <w:spacing w:before="40" w:after="40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757 416,01</w:t>
            </w:r>
            <w:r w:rsidR="00CB42CD" w:rsidRPr="00BF63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E</w:t>
            </w:r>
            <w:r w:rsidR="00BF63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ur</w:t>
            </w:r>
            <w:r w:rsidR="001B49E6" w:rsidRPr="00BF63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BF63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su PVM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(</w:t>
            </w:r>
            <w:r w:rsidRPr="00562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septyni šimtai penkiasdešimt septyni tūkstančiai keturi šimtai šešiolika eurų, 01 ct</w:t>
            </w:r>
            <w:r w:rsidR="00BF63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), iš kurių PVM sudaro </w:t>
            </w:r>
            <w:r w:rsidRPr="00562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131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 </w:t>
            </w:r>
            <w:r w:rsidRPr="00562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452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,</w:t>
            </w:r>
            <w:r w:rsidRPr="00562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37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(</w:t>
            </w:r>
            <w:r w:rsidRPr="00562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vienas šimtas trisdešimt vienas tūkstančiai keturi šimtai penkiasdešimt du eurai, 37 ct</w:t>
            </w:r>
            <w:r w:rsidR="00BF63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).</w:t>
            </w:r>
          </w:p>
        </w:tc>
      </w:tr>
      <w:tr w:rsidR="005B4055" w:rsidRPr="00BF634D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BF634D" w:rsidRDefault="008F5165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F6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Darbų </w:t>
            </w:r>
            <w:r w:rsidR="00CB42CD" w:rsidRPr="00BF6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604C4F9E" w:rsidR="005B4055" w:rsidRPr="00BF634D" w:rsidRDefault="00562469" w:rsidP="005B4055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10</w:t>
            </w:r>
            <w:r w:rsidR="00BF63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mėn.</w:t>
            </w:r>
          </w:p>
        </w:tc>
      </w:tr>
      <w:tr w:rsidR="005B4055" w:rsidRPr="00BF634D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BF634D" w:rsidRDefault="00CB42CD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F6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D4104AC" w14:textId="7661033B" w:rsidR="005B4055" w:rsidRDefault="00BE41C9" w:rsidP="005B4055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Priedas Nr. 1 </w:t>
            </w:r>
            <w:r w:rsidR="00E84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UAB VVARFF raštas Nr. VF-24-061</w:t>
            </w:r>
          </w:p>
          <w:p w14:paraId="64B73FE4" w14:textId="2A8AC994" w:rsidR="00BE41C9" w:rsidRPr="00BF634D" w:rsidRDefault="00BE41C9" w:rsidP="00E84109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Priedas Nr. 2 </w:t>
            </w:r>
            <w:r w:rsidR="00E84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UAB VVARFF raštas Nr. VF-24-062</w:t>
            </w:r>
          </w:p>
        </w:tc>
      </w:tr>
    </w:tbl>
    <w:tbl>
      <w:tblPr>
        <w:tblW w:w="4999" w:type="pct"/>
        <w:tblInd w:w="-108" w:type="dxa"/>
        <w:tblLook w:val="04A0" w:firstRow="1" w:lastRow="0" w:firstColumn="1" w:lastColumn="0" w:noHBand="0" w:noVBand="1"/>
      </w:tblPr>
      <w:tblGrid>
        <w:gridCol w:w="5142"/>
        <w:gridCol w:w="5060"/>
      </w:tblGrid>
      <w:tr w:rsidR="00BE41C9" w:rsidRPr="00E80AFE" w14:paraId="0BF1206C" w14:textId="77777777" w:rsidTr="00BE41C9">
        <w:tc>
          <w:tcPr>
            <w:tcW w:w="2520" w:type="pct"/>
            <w:shd w:val="clear" w:color="auto" w:fill="auto"/>
          </w:tcPr>
          <w:p w14:paraId="0DB2F333" w14:textId="77777777" w:rsidR="00BE41C9" w:rsidRDefault="00BE41C9" w:rsidP="00E6719C">
            <w:pPr>
              <w:pStyle w:val="Pagrindiniotekstotrauka"/>
              <w:tabs>
                <w:tab w:val="left" w:pos="360"/>
              </w:tabs>
              <w:ind w:firstLine="0"/>
              <w:jc w:val="left"/>
              <w:rPr>
                <w:b/>
                <w:bCs/>
                <w:sz w:val="22"/>
                <w:szCs w:val="22"/>
                <w:lang w:val="lt-LT"/>
              </w:rPr>
            </w:pPr>
          </w:p>
          <w:p w14:paraId="4B0863FA" w14:textId="0E3E78F4" w:rsidR="00BE41C9" w:rsidRPr="00E80AFE" w:rsidRDefault="00BE41C9" w:rsidP="00E6719C">
            <w:pPr>
              <w:pStyle w:val="Pagrindiniotekstotrauka"/>
              <w:tabs>
                <w:tab w:val="left" w:pos="360"/>
              </w:tabs>
              <w:ind w:firstLine="0"/>
              <w:jc w:val="left"/>
              <w:rPr>
                <w:b/>
                <w:bCs/>
                <w:szCs w:val="22"/>
                <w:lang w:val="lt-LT"/>
              </w:rPr>
            </w:pPr>
            <w:r w:rsidRPr="00E80AFE">
              <w:rPr>
                <w:b/>
                <w:bCs/>
                <w:sz w:val="22"/>
                <w:szCs w:val="22"/>
                <w:lang w:val="lt-LT"/>
              </w:rPr>
              <w:t>Užsakovo vardu:</w:t>
            </w:r>
          </w:p>
          <w:p w14:paraId="1BF05D8A" w14:textId="77777777" w:rsidR="00BE41C9" w:rsidRPr="00E80AFE" w:rsidRDefault="00BE41C9" w:rsidP="00E6719C">
            <w:pPr>
              <w:pStyle w:val="Pagrindiniotekstotrauka"/>
              <w:tabs>
                <w:tab w:val="left" w:pos="360"/>
              </w:tabs>
              <w:ind w:firstLine="0"/>
              <w:jc w:val="left"/>
              <w:rPr>
                <w:rFonts w:eastAsia="Calibri"/>
                <w:b/>
                <w:bCs/>
                <w:szCs w:val="22"/>
                <w:lang w:val="lt-LT"/>
              </w:rPr>
            </w:pPr>
            <w:r w:rsidRPr="00E80AFE">
              <w:rPr>
                <w:rFonts w:eastAsia="Calibri"/>
                <w:b/>
                <w:bCs/>
                <w:sz w:val="22"/>
                <w:szCs w:val="22"/>
                <w:lang w:val="lt-LT"/>
              </w:rPr>
              <w:t>Neringos savivaldybės administracija</w:t>
            </w:r>
          </w:p>
          <w:p w14:paraId="6F414A4D" w14:textId="77777777" w:rsidR="00BE41C9" w:rsidRPr="00E80AFE" w:rsidRDefault="00BE41C9" w:rsidP="00E6719C">
            <w:pPr>
              <w:pStyle w:val="Pagrindiniotekstotrauka"/>
              <w:tabs>
                <w:tab w:val="left" w:pos="360"/>
              </w:tabs>
              <w:ind w:firstLine="0"/>
              <w:jc w:val="left"/>
              <w:rPr>
                <w:b/>
                <w:szCs w:val="22"/>
                <w:lang w:val="lt-LT"/>
              </w:rPr>
            </w:pPr>
          </w:p>
          <w:p w14:paraId="36CC5DA4" w14:textId="77777777" w:rsidR="00BE41C9" w:rsidRPr="00E80AFE" w:rsidRDefault="00BE41C9" w:rsidP="00E6719C">
            <w:pPr>
              <w:pStyle w:val="Pagrindiniotekstotrauka"/>
              <w:tabs>
                <w:tab w:val="left" w:pos="360"/>
              </w:tabs>
              <w:ind w:firstLine="0"/>
              <w:jc w:val="left"/>
              <w:rPr>
                <w:szCs w:val="22"/>
                <w:lang w:val="lt-LT"/>
              </w:rPr>
            </w:pPr>
            <w:r w:rsidRPr="00E80AFE">
              <w:rPr>
                <w:sz w:val="22"/>
                <w:szCs w:val="22"/>
                <w:lang w:val="lt-LT"/>
              </w:rPr>
              <w:t>___________________________________</w:t>
            </w:r>
          </w:p>
          <w:p w14:paraId="5931252F" w14:textId="77777777" w:rsidR="00BE41C9" w:rsidRPr="00E80AFE" w:rsidRDefault="00BE41C9" w:rsidP="00E6719C">
            <w:pPr>
              <w:pStyle w:val="Pagrindiniotekstotrauka"/>
              <w:tabs>
                <w:tab w:val="left" w:pos="360"/>
              </w:tabs>
              <w:ind w:firstLine="0"/>
              <w:jc w:val="left"/>
              <w:rPr>
                <w:bCs/>
                <w:szCs w:val="22"/>
                <w:lang w:val="lt-LT"/>
              </w:rPr>
            </w:pPr>
            <w:r w:rsidRPr="00E80AFE">
              <w:rPr>
                <w:sz w:val="22"/>
                <w:szCs w:val="22"/>
                <w:lang w:val="lt-LT"/>
              </w:rPr>
              <w:t>Administracijos direktorius Egidijus Šakalys</w:t>
            </w:r>
          </w:p>
          <w:p w14:paraId="4D6C564A" w14:textId="77777777" w:rsidR="00BE41C9" w:rsidRPr="00E80AFE" w:rsidRDefault="00BE41C9" w:rsidP="00E6719C">
            <w:pPr>
              <w:pStyle w:val="Pagrindiniotekstotrauka"/>
              <w:tabs>
                <w:tab w:val="left" w:pos="360"/>
              </w:tabs>
              <w:spacing w:before="240"/>
              <w:ind w:firstLine="0"/>
              <w:jc w:val="left"/>
              <w:rPr>
                <w:bCs/>
                <w:szCs w:val="22"/>
                <w:lang w:val="lt-LT"/>
              </w:rPr>
            </w:pPr>
            <w:r w:rsidRPr="00E80AFE">
              <w:rPr>
                <w:bCs/>
                <w:sz w:val="22"/>
                <w:szCs w:val="22"/>
                <w:lang w:val="lt-LT"/>
              </w:rPr>
              <w:t>Pasirašymo data 2024 m. ____________ d.</w:t>
            </w:r>
          </w:p>
        </w:tc>
        <w:tc>
          <w:tcPr>
            <w:tcW w:w="2480" w:type="pct"/>
            <w:shd w:val="clear" w:color="auto" w:fill="auto"/>
          </w:tcPr>
          <w:p w14:paraId="20DEECC1" w14:textId="77777777" w:rsidR="00BE41C9" w:rsidRDefault="00BE41C9" w:rsidP="00E6719C">
            <w:pPr>
              <w:pStyle w:val="Pagrindiniotekstotrauka"/>
              <w:tabs>
                <w:tab w:val="left" w:pos="360"/>
              </w:tabs>
              <w:ind w:firstLine="525"/>
              <w:jc w:val="left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</w:p>
          <w:p w14:paraId="50372308" w14:textId="252894BD" w:rsidR="00BE41C9" w:rsidRPr="00E80AFE" w:rsidRDefault="00BE41C9" w:rsidP="00E6719C">
            <w:pPr>
              <w:pStyle w:val="Pagrindiniotekstotrauka"/>
              <w:tabs>
                <w:tab w:val="left" w:pos="360"/>
              </w:tabs>
              <w:ind w:firstLine="525"/>
              <w:jc w:val="left"/>
              <w:rPr>
                <w:rFonts w:eastAsia="Calibri"/>
                <w:b/>
                <w:bCs/>
                <w:szCs w:val="22"/>
                <w:lang w:val="lt-LT"/>
              </w:rPr>
            </w:pPr>
            <w:r w:rsidRPr="00E80AFE">
              <w:rPr>
                <w:rFonts w:eastAsia="Calibri"/>
                <w:b/>
                <w:bCs/>
                <w:sz w:val="22"/>
                <w:szCs w:val="22"/>
                <w:lang w:val="lt-LT"/>
              </w:rPr>
              <w:t>Rangovo vardu:</w:t>
            </w:r>
          </w:p>
          <w:p w14:paraId="6E47D50D" w14:textId="19D10E9C" w:rsidR="00BE41C9" w:rsidRPr="00E80AFE" w:rsidRDefault="00BE41C9" w:rsidP="00E6719C">
            <w:pPr>
              <w:pStyle w:val="Pagrindiniotekstotrauka"/>
              <w:tabs>
                <w:tab w:val="left" w:pos="384"/>
              </w:tabs>
              <w:ind w:left="384" w:firstLine="141"/>
              <w:jc w:val="left"/>
              <w:rPr>
                <w:rFonts w:eastAsia="Calibri"/>
                <w:b/>
                <w:bCs/>
                <w:szCs w:val="22"/>
                <w:lang w:val="lt-LT"/>
              </w:rPr>
            </w:pPr>
            <w:r w:rsidRPr="00E80AFE">
              <w:rPr>
                <w:rFonts w:eastAsia="Calibri"/>
                <w:b/>
                <w:bCs/>
                <w:sz w:val="22"/>
                <w:szCs w:val="22"/>
                <w:lang w:val="lt-LT"/>
              </w:rPr>
              <w:t>UAB „</w:t>
            </w:r>
            <w:r w:rsidR="00E84109">
              <w:rPr>
                <w:rFonts w:eastAsia="Calibri"/>
                <w:b/>
                <w:bCs/>
                <w:sz w:val="22"/>
                <w:szCs w:val="22"/>
                <w:lang w:val="lt-LT"/>
              </w:rPr>
              <w:t>VVARFF</w:t>
            </w:r>
            <w:r w:rsidRPr="00E80AFE">
              <w:rPr>
                <w:rFonts w:eastAsia="Calibri"/>
                <w:b/>
                <w:bCs/>
                <w:sz w:val="22"/>
                <w:szCs w:val="22"/>
                <w:lang w:val="lt-LT"/>
              </w:rPr>
              <w:t>“</w:t>
            </w:r>
          </w:p>
          <w:p w14:paraId="54C54A2F" w14:textId="77777777" w:rsidR="00BE41C9" w:rsidRPr="00E80AFE" w:rsidRDefault="00BE41C9" w:rsidP="00E6719C">
            <w:pPr>
              <w:pStyle w:val="Pagrindiniotekstotrauka"/>
              <w:tabs>
                <w:tab w:val="left" w:pos="360"/>
              </w:tabs>
              <w:ind w:firstLine="0"/>
              <w:jc w:val="left"/>
              <w:rPr>
                <w:rFonts w:eastAsia="Calibri"/>
                <w:b/>
                <w:bCs/>
                <w:szCs w:val="22"/>
                <w:lang w:val="lt-LT"/>
              </w:rPr>
            </w:pPr>
          </w:p>
          <w:p w14:paraId="2FBBCDA8" w14:textId="77777777" w:rsidR="00BE41C9" w:rsidRPr="00E80AFE" w:rsidRDefault="00BE41C9" w:rsidP="00E6719C">
            <w:pPr>
              <w:pStyle w:val="Pagrindiniotekstotrauka"/>
              <w:tabs>
                <w:tab w:val="left" w:pos="360"/>
              </w:tabs>
              <w:ind w:firstLine="525"/>
              <w:jc w:val="left"/>
              <w:rPr>
                <w:szCs w:val="22"/>
                <w:lang w:val="lt-LT"/>
              </w:rPr>
            </w:pPr>
            <w:r w:rsidRPr="00E80AFE">
              <w:rPr>
                <w:sz w:val="22"/>
                <w:szCs w:val="22"/>
                <w:lang w:val="lt-LT"/>
              </w:rPr>
              <w:t>_____________________________________</w:t>
            </w:r>
          </w:p>
          <w:p w14:paraId="52CD850A" w14:textId="0B34F081" w:rsidR="00BE41C9" w:rsidRPr="00E80AFE" w:rsidRDefault="00BE41C9" w:rsidP="00E6719C">
            <w:pPr>
              <w:pStyle w:val="Pagrindiniotekstotrauka"/>
              <w:tabs>
                <w:tab w:val="left" w:pos="360"/>
              </w:tabs>
              <w:ind w:firstLine="525"/>
              <w:jc w:val="left"/>
              <w:rPr>
                <w:szCs w:val="22"/>
                <w:lang w:val="lt-LT"/>
              </w:rPr>
            </w:pPr>
            <w:r w:rsidRPr="00E80AFE">
              <w:rPr>
                <w:sz w:val="22"/>
                <w:szCs w:val="22"/>
                <w:lang w:val="lt-LT"/>
              </w:rPr>
              <w:t xml:space="preserve">Direktorius </w:t>
            </w:r>
            <w:r w:rsidR="00E84109">
              <w:rPr>
                <w:sz w:val="22"/>
                <w:szCs w:val="22"/>
                <w:lang w:val="lt-LT"/>
              </w:rPr>
              <w:t>Vilmantas Bučius</w:t>
            </w:r>
          </w:p>
          <w:p w14:paraId="3175B6C3" w14:textId="77777777" w:rsidR="00BE41C9" w:rsidRPr="00E80AFE" w:rsidRDefault="00BE41C9" w:rsidP="00E6719C">
            <w:pPr>
              <w:pStyle w:val="Pagrindiniotekstotrauka"/>
              <w:tabs>
                <w:tab w:val="left" w:pos="360"/>
              </w:tabs>
              <w:spacing w:before="240"/>
              <w:ind w:firstLine="525"/>
              <w:jc w:val="left"/>
              <w:rPr>
                <w:bCs/>
                <w:szCs w:val="22"/>
                <w:lang w:val="lt-LT"/>
              </w:rPr>
            </w:pPr>
            <w:r w:rsidRPr="00E80AFE">
              <w:rPr>
                <w:bCs/>
                <w:sz w:val="22"/>
                <w:szCs w:val="22"/>
                <w:lang w:val="lt-LT"/>
              </w:rPr>
              <w:t>Pasirašymo data 2024 m. ____________ d.</w:t>
            </w:r>
          </w:p>
        </w:tc>
      </w:tr>
    </w:tbl>
    <w:p w14:paraId="6D36EF42" w14:textId="6870D0D5" w:rsidR="00AC0305" w:rsidRPr="00BF634D" w:rsidRDefault="00AC0305" w:rsidP="00707E36">
      <w:pPr>
        <w:spacing w:before="40" w:after="40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sectPr w:rsidR="00AC0305" w:rsidRPr="00BF634D" w:rsidSect="00762965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5E918" w14:textId="77777777" w:rsidR="00762965" w:rsidRDefault="00762965" w:rsidP="009A684C">
      <w:r>
        <w:separator/>
      </w:r>
    </w:p>
    <w:p w14:paraId="578BF145" w14:textId="77777777" w:rsidR="00762965" w:rsidRDefault="00762965"/>
  </w:endnote>
  <w:endnote w:type="continuationSeparator" w:id="0">
    <w:p w14:paraId="405B4106" w14:textId="77777777" w:rsidR="00762965" w:rsidRDefault="00762965" w:rsidP="009A684C">
      <w:r>
        <w:continuationSeparator/>
      </w:r>
    </w:p>
    <w:p w14:paraId="07DA51C9" w14:textId="77777777" w:rsidR="00762965" w:rsidRDefault="007629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6464E" w14:textId="77777777" w:rsidR="00762965" w:rsidRDefault="00762965" w:rsidP="009A684C">
      <w:r>
        <w:separator/>
      </w:r>
    </w:p>
    <w:p w14:paraId="3AE3E704" w14:textId="77777777" w:rsidR="00762965" w:rsidRDefault="00762965"/>
  </w:footnote>
  <w:footnote w:type="continuationSeparator" w:id="0">
    <w:p w14:paraId="46A1E83E" w14:textId="77777777" w:rsidR="00762965" w:rsidRDefault="00762965" w:rsidP="009A684C">
      <w:r>
        <w:continuationSeparator/>
      </w:r>
    </w:p>
    <w:p w14:paraId="4C577E0C" w14:textId="77777777" w:rsidR="00762965" w:rsidRDefault="007629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836D0"/>
    <w:multiLevelType w:val="hybridMultilevel"/>
    <w:tmpl w:val="A120F4BE"/>
    <w:lvl w:ilvl="0" w:tplc="C8D41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95531"/>
    <w:multiLevelType w:val="hybridMultilevel"/>
    <w:tmpl w:val="7F3A432C"/>
    <w:lvl w:ilvl="0" w:tplc="70F4A3E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1921853">
    <w:abstractNumId w:val="3"/>
  </w:num>
  <w:num w:numId="2" w16cid:durableId="526605136">
    <w:abstractNumId w:val="6"/>
  </w:num>
  <w:num w:numId="3" w16cid:durableId="1561943763">
    <w:abstractNumId w:val="1"/>
  </w:num>
  <w:num w:numId="4" w16cid:durableId="1105998982">
    <w:abstractNumId w:val="9"/>
  </w:num>
  <w:num w:numId="5" w16cid:durableId="1782409987">
    <w:abstractNumId w:val="0"/>
  </w:num>
  <w:num w:numId="6" w16cid:durableId="379060409">
    <w:abstractNumId w:val="8"/>
  </w:num>
  <w:num w:numId="7" w16cid:durableId="932206579">
    <w:abstractNumId w:val="4"/>
  </w:num>
  <w:num w:numId="8" w16cid:durableId="908030866">
    <w:abstractNumId w:val="2"/>
  </w:num>
  <w:num w:numId="9" w16cid:durableId="959334488">
    <w:abstractNumId w:val="7"/>
  </w:num>
  <w:num w:numId="10" w16cid:durableId="1165309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26D3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6A3C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6246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554CB"/>
    <w:rsid w:val="00673B4C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2965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276D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BE41C9"/>
    <w:rsid w:val="00BF634D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535F1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109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A6909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  <w:style w:type="paragraph" w:styleId="Pagrindiniotekstotrauka">
    <w:name w:val="Body Text Indent"/>
    <w:basedOn w:val="prastasis"/>
    <w:link w:val="PagrindiniotekstotraukaDiagrama"/>
    <w:unhideWhenUsed/>
    <w:rsid w:val="00BE41C9"/>
    <w:pPr>
      <w:ind w:firstLine="360"/>
    </w:pPr>
    <w:rPr>
      <w:rFonts w:ascii="Times New Roman" w:eastAsia="Times New Roman" w:hAnsi="Times New Roman" w:cs="Times New Roman"/>
      <w:sz w:val="24"/>
      <w:lang w:val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E41C9"/>
    <w:rPr>
      <w:rFonts w:ascii="Times New Roman" w:eastAsia="Times New Roman" w:hAnsi="Times New Roman" w:cs="Times New Roman"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8C884-BA83-4AC9-8DC1-DB3B3DFCE4A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1672</Words>
  <Characters>954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Simonas Sakevičius</cp:lastModifiedBy>
  <cp:revision>12</cp:revision>
  <cp:lastPrinted>2024-04-10T08:24:00Z</cp:lastPrinted>
  <dcterms:created xsi:type="dcterms:W3CDTF">2021-11-23T17:29:00Z</dcterms:created>
  <dcterms:modified xsi:type="dcterms:W3CDTF">2024-04-18T10:02:00Z</dcterms:modified>
</cp:coreProperties>
</file>