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PVIS-766290279-190</_dlc_DocId>
    <_dlc_DocIdUrl xmlns="58896280-883f-49e1-8f2c-86b01e3ff616">
      <Url>https://projektai.intranet.litgrid.eu/PWA/110-10 kV Rudaminos TP 110 kV skirstyklos rekonstravimas/_layouts/15/DocIdRedir.aspx?ID=PVIS-766290279-190</Url>
      <Description>PVIS-766290279-190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962A5F06-044D-4BC4-B794-E1E669360FA3}"/>
</file>

<file path=customXml/itemProps3.xml><?xml version="1.0" encoding="utf-8"?>
<ds:datastoreItem xmlns:ds="http://schemas.openxmlformats.org/officeDocument/2006/customXml" ds:itemID="{746E4C6A-BA95-4ED5-AC8E-0864AF62A7CA}"/>
</file>

<file path=customXml/itemProps4.xml><?xml version="1.0" encoding="utf-8"?>
<ds:datastoreItem xmlns:ds="http://schemas.openxmlformats.org/officeDocument/2006/customXml" ds:itemID="{70CE2D6A-0108-40D9-9828-8FAE3C1B80FF}"/>
</file>

<file path=customXml/itemProps5.xml><?xml version="1.0" encoding="utf-8"?>
<ds:datastoreItem xmlns:ds="http://schemas.openxmlformats.org/officeDocument/2006/customXml" ds:itemID="{052E5F36-7425-46C7-A4EE-1151A093F5AD}"/>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0x01010066872F3CC8F7D84995438B893169A080020091ABE487959DC9408140094D7B2D777C</vt:lpwstr>
  </property>
  <property fmtid="{D5CDD505-2E9C-101B-9397-08002B2CF9AE}" pid="10" name="_dlc_DocIdItemGuid">
    <vt:lpwstr>e16c0f2a-b5ce-4493-b5d9-a97b575c5f78</vt:lpwstr>
  </property>
</Properties>
</file>