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PVIS-766290279-189</_dlc_DocId>
    <_dlc_DocIdUrl xmlns="58896280-883f-49e1-8f2c-86b01e3ff616">
      <Url>https://projektai.intranet.litgrid.eu/PWA/110-10 kV Rudaminos TP 110 kV skirstyklos rekonstravimas/_layouts/15/DocIdRedir.aspx?ID=PVIS-766290279-189</Url>
      <Description>PVIS-766290279-189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33CF730E-D10E-422A-B6D3-0680CFA79FB5}"/>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d3a683b4-facf-438a-8d5f-e4c10a2fedc8</vt:lpwstr>
  </property>
  <property fmtid="{D5CDD505-2E9C-101B-9397-08002B2CF9AE}" pid="3" name="ContentTypeId">
    <vt:lpwstr>0x01010066872F3CC8F7D84995438B893169A080020091ABE487959DC9408140094D7B2D777C</vt:lpwstr>
  </property>
</Properties>
</file>