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r>
              <w:rPr>
                <w:rFonts w:ascii="Arial" w:hAnsi="Arial" w:cs="Arial"/>
                <w:sz w:val="18"/>
                <w:szCs w:val="18"/>
              </w:rPr>
              <w:t xml:space="preserve"> relay</w:t>
            </w:r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Relės tipo žymėjimas ir sąrankos kodas pagal gamintojo sistemą/katalogą/ Relay type marking and setup code according manufacturer‘s system/catalog: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Elektromechaninių relių charakteristikos ir konstrukcija pagal tipą/ Electromechanical relay’s characteristics and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 tarpinė relė RAA grandinių ir funkcijų valdymui/ Intermediate bistable relay for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1545650">
    <w:abstractNumId w:val="2"/>
  </w:num>
  <w:num w:numId="2" w16cid:durableId="499583557">
    <w:abstractNumId w:val="11"/>
  </w:num>
  <w:num w:numId="3" w16cid:durableId="1097991586">
    <w:abstractNumId w:val="1"/>
  </w:num>
  <w:num w:numId="4" w16cid:durableId="1921676627">
    <w:abstractNumId w:val="8"/>
  </w:num>
  <w:num w:numId="5" w16cid:durableId="866257183">
    <w:abstractNumId w:val="7"/>
  </w:num>
  <w:num w:numId="6" w16cid:durableId="775367268">
    <w:abstractNumId w:val="5"/>
  </w:num>
  <w:num w:numId="7" w16cid:durableId="305089866">
    <w:abstractNumId w:val="4"/>
  </w:num>
  <w:num w:numId="8" w16cid:durableId="485442390">
    <w:abstractNumId w:val="0"/>
  </w:num>
  <w:num w:numId="9" w16cid:durableId="2043168408">
    <w:abstractNumId w:val="10"/>
  </w:num>
  <w:num w:numId="10" w16cid:durableId="1136724780">
    <w:abstractNumId w:val="9"/>
  </w:num>
  <w:num w:numId="11" w16cid:durableId="1182163436">
    <w:abstractNumId w:val="3"/>
  </w:num>
  <w:num w:numId="12" w16cid:durableId="170501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AE2DF2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rekonstravimas/_layouts/15/DocIdRedir.aspx?ID=PVIS-766290279-221</Url>
      <Description>PVIS-766290279-221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B2237-F280-4E60-ABD3-831AFA222640}"/>
</file>

<file path=customXml/itemProps3.xml><?xml version="1.0" encoding="utf-8"?>
<ds:datastoreItem xmlns:ds="http://schemas.openxmlformats.org/officeDocument/2006/customXml" ds:itemID="{C8C9B655-6293-4001-AA27-75A223581FAC}"/>
</file>

<file path=customXml/itemProps4.xml><?xml version="1.0" encoding="utf-8"?>
<ds:datastoreItem xmlns:ds="http://schemas.openxmlformats.org/officeDocument/2006/customXml" ds:itemID="{0CE3FF7F-313E-4F94-9980-F386F7295466}"/>
</file>

<file path=customXml/itemProps5.xml><?xml version="1.0" encoding="utf-8"?>
<ds:datastoreItem xmlns:ds="http://schemas.openxmlformats.org/officeDocument/2006/customXml" ds:itemID="{F14F7482-5FAE-410B-9B62-6F7B26F48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2023-01-31T07:17:00Z</dcterms:created>
  <dcterms:modified xsi:type="dcterms:W3CDTF">2023-01-31T07:17:00Z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2023-01-31T07:17:20Z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01cd2941-5630-4102-b4cf-fc447503dac3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e0e2375e-ef9d-40e3-a043-5f0b0fe9a116</vt:lpwstr>
  </property>
</Properties>
</file>