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https://projektai.intranet.litgrid.eu/PWA/110-10%20kV%20Rudaminos%20TP%20110%20kV%20skirstyklos%20rekonstravimas/_layouts/15/DocIdRedir.aspx?ID=PVIS-766290279-352</Url>
      <Description>PVIS-766290279-352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PVIS-766290279-352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232CF-9F13-4FF7-BDD2-4129EA2F7D2D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3DF65B-036F-4BD2-9E50-D4DA80817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c2328392-f30c-40f0-acb8-827a3f641ca5</vt:lpwstr>
  </property>
</Properties>
</file>