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2541C" w14:textId="77777777" w:rsidR="000A2B7F" w:rsidRDefault="000A2B7F" w:rsidP="000A2B7F">
      <w:pPr>
        <w:jc w:val="right"/>
        <w:rPr>
          <w:rFonts w:ascii="Times New Roman" w:hAnsi="Times New Roman"/>
          <w:bCs/>
          <w:color w:val="000000"/>
        </w:rPr>
      </w:pPr>
      <w:r w:rsidRPr="000A2B7F">
        <w:rPr>
          <w:rFonts w:ascii="Times New Roman" w:hAnsi="Times New Roman"/>
          <w:bCs/>
          <w:color w:val="000000"/>
        </w:rPr>
        <w:t>Neskelbiamo apklausos</w:t>
      </w:r>
    </w:p>
    <w:p w14:paraId="21E23ECB" w14:textId="0EB195A2" w:rsidR="000A2B7F" w:rsidRPr="000A2B7F" w:rsidRDefault="000A2B7F" w:rsidP="000A2B7F">
      <w:pPr>
        <w:jc w:val="right"/>
        <w:rPr>
          <w:rFonts w:ascii="Times New Roman" w:hAnsi="Times New Roman"/>
          <w:bCs/>
          <w:color w:val="000000"/>
        </w:rPr>
      </w:pPr>
      <w:r w:rsidRPr="000A2B7F">
        <w:rPr>
          <w:rFonts w:ascii="Times New Roman" w:hAnsi="Times New Roman"/>
          <w:bCs/>
          <w:color w:val="000000"/>
        </w:rPr>
        <w:t>2 priedas</w:t>
      </w:r>
    </w:p>
    <w:p w14:paraId="019D99EF" w14:textId="150953D8" w:rsidR="0069578D" w:rsidRDefault="00DB2415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TECHNINĖS SPECIFIKACIJA. KAINŲ LENTELĖ</w:t>
      </w:r>
    </w:p>
    <w:p w14:paraId="6956F657" w14:textId="77777777" w:rsidR="00E5189D" w:rsidRDefault="00E5189D">
      <w:pPr>
        <w:jc w:val="center"/>
        <w:rPr>
          <w:rFonts w:ascii="Times New Roman" w:hAnsi="Times New Roman"/>
          <w:b/>
          <w:color w:val="000000"/>
        </w:rPr>
      </w:pPr>
    </w:p>
    <w:p w14:paraId="16272571" w14:textId="6EB3FCF3" w:rsidR="0069578D" w:rsidRDefault="0082039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DIAGNOSTI</w:t>
      </w:r>
      <w:r w:rsidR="00D82844">
        <w:rPr>
          <w:rFonts w:ascii="Times New Roman" w:hAnsi="Times New Roman"/>
          <w:b/>
          <w:color w:val="000000"/>
        </w:rPr>
        <w:t>NIAI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REAGENTAI IR </w:t>
      </w:r>
      <w:r w:rsidR="00E5189D">
        <w:rPr>
          <w:rFonts w:ascii="Times New Roman" w:hAnsi="Times New Roman"/>
          <w:b/>
          <w:bCs/>
          <w:color w:val="000000"/>
        </w:rPr>
        <w:t xml:space="preserve">PAPILDOMOS </w:t>
      </w:r>
      <w:r>
        <w:rPr>
          <w:rFonts w:ascii="Times New Roman" w:hAnsi="Times New Roman"/>
          <w:b/>
          <w:bCs/>
        </w:rPr>
        <w:t>PRIEMONĖS JUOSTELINIAM ŠLAPIMO ANALIZATORIUI</w:t>
      </w:r>
    </w:p>
    <w:p w14:paraId="76D41BB1" w14:textId="77777777" w:rsidR="0069578D" w:rsidRDefault="0069578D">
      <w:pPr>
        <w:jc w:val="center"/>
        <w:rPr>
          <w:rFonts w:ascii="Times New Roman" w:hAnsi="Times New Roman"/>
          <w:b/>
          <w:bCs/>
        </w:rPr>
      </w:pPr>
    </w:p>
    <w:p w14:paraId="5F2FDF36" w14:textId="71003CE7" w:rsidR="0069578D" w:rsidRDefault="00820390" w:rsidP="002127B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ANALIZATORIUS PATEIKIAMA PANAUDAI. KIEKIS – 1 VNT.</w:t>
      </w:r>
    </w:p>
    <w:p w14:paraId="4A93095C" w14:textId="3F572302" w:rsidR="0069578D" w:rsidRDefault="00820390">
      <w:pPr>
        <w:jc w:val="center"/>
        <w:rPr>
          <w:rFonts w:ascii="Times New Roman" w:hAnsi="Times New Roman"/>
          <w:b/>
          <w:bCs/>
          <w:color w:val="00000A"/>
          <w:lang w:val="en-US" w:eastAsia="en-US"/>
        </w:rPr>
      </w:pPr>
      <w:r>
        <w:rPr>
          <w:rFonts w:ascii="Times New Roman" w:hAnsi="Times New Roman"/>
          <w:b/>
          <w:bCs/>
          <w:color w:val="00000A"/>
          <w:lang w:val="en-US" w:eastAsia="en-US"/>
        </w:rPr>
        <w:t>(</w:t>
      </w:r>
      <w:proofErr w:type="spellStart"/>
      <w:r w:rsidR="008414A4" w:rsidRPr="008414A4">
        <w:rPr>
          <w:rFonts w:ascii="Times New Roman" w:hAnsi="Times New Roman"/>
          <w:b/>
          <w:bCs/>
          <w:color w:val="00000A"/>
          <w:u w:val="single"/>
          <w:lang w:val="en-US" w:eastAsia="en-US"/>
        </w:rPr>
        <w:t>Urilyzer</w:t>
      </w:r>
      <w:proofErr w:type="spellEnd"/>
      <w:r w:rsidR="008414A4" w:rsidRPr="008414A4">
        <w:rPr>
          <w:rFonts w:ascii="Times New Roman" w:hAnsi="Times New Roman"/>
          <w:b/>
          <w:bCs/>
          <w:color w:val="00000A"/>
          <w:u w:val="single"/>
          <w:lang w:val="en-US" w:eastAsia="en-US"/>
        </w:rPr>
        <w:t xml:space="preserve"> 100 PRO, </w:t>
      </w:r>
      <w:proofErr w:type="spellStart"/>
      <w:r w:rsidR="008414A4" w:rsidRPr="008414A4">
        <w:rPr>
          <w:rFonts w:ascii="Times New Roman" w:hAnsi="Times New Roman"/>
          <w:b/>
          <w:bCs/>
          <w:color w:val="00000A"/>
          <w:u w:val="single"/>
          <w:lang w:val="en-US" w:eastAsia="en-US"/>
        </w:rPr>
        <w:t>Analyticon</w:t>
      </w:r>
      <w:proofErr w:type="spellEnd"/>
      <w:r>
        <w:rPr>
          <w:rFonts w:ascii="Times New Roman" w:hAnsi="Times New Roman"/>
          <w:b/>
          <w:bCs/>
          <w:color w:val="00000A"/>
          <w:lang w:val="en-US" w:eastAsia="en-US"/>
        </w:rPr>
        <w:t>)</w:t>
      </w:r>
    </w:p>
    <w:p w14:paraId="05DAFA19" w14:textId="77777777" w:rsidR="0069578D" w:rsidRDefault="00820390">
      <w:pPr>
        <w:jc w:val="center"/>
        <w:rPr>
          <w:rFonts w:ascii="Times New Roman" w:hAnsi="Times New Roman"/>
          <w:bCs/>
          <w:color w:val="00000A"/>
          <w:lang w:val="en-US" w:eastAsia="en-US"/>
        </w:rPr>
      </w:pPr>
      <w:proofErr w:type="spellStart"/>
      <w:r>
        <w:rPr>
          <w:rFonts w:ascii="Times New Roman" w:hAnsi="Times New Roman"/>
          <w:bCs/>
          <w:color w:val="00000A"/>
          <w:lang w:val="en-US" w:eastAsia="en-US"/>
        </w:rPr>
        <w:t>Analizatoriaus</w:t>
      </w:r>
      <w:proofErr w:type="spellEnd"/>
      <w:r>
        <w:rPr>
          <w:rFonts w:ascii="Times New Roman" w:hAnsi="Times New Roman"/>
          <w:bCs/>
          <w:color w:val="00000A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Cs/>
          <w:color w:val="00000A"/>
          <w:lang w:val="en-US" w:eastAsia="en-US"/>
        </w:rPr>
        <w:t>pavadinimas</w:t>
      </w:r>
      <w:proofErr w:type="spellEnd"/>
    </w:p>
    <w:p w14:paraId="3CB9453C" w14:textId="77777777" w:rsidR="0069578D" w:rsidRDefault="0069578D">
      <w:pPr>
        <w:rPr>
          <w:rFonts w:ascii="Times New Roman" w:hAnsi="Times New Roman"/>
          <w:b/>
          <w:bCs/>
          <w:color w:val="000000"/>
          <w:lang w:val="en-US" w:eastAsia="en-US"/>
        </w:rPr>
      </w:pPr>
    </w:p>
    <w:tbl>
      <w:tblPr>
        <w:tblW w:w="15585" w:type="dxa"/>
        <w:tblInd w:w="-422" w:type="dxa"/>
        <w:tblLayout w:type="fixed"/>
        <w:tblLook w:val="04A0" w:firstRow="1" w:lastRow="0" w:firstColumn="1" w:lastColumn="0" w:noHBand="0" w:noVBand="1"/>
      </w:tblPr>
      <w:tblGrid>
        <w:gridCol w:w="995"/>
        <w:gridCol w:w="1832"/>
        <w:gridCol w:w="1276"/>
        <w:gridCol w:w="1134"/>
        <w:gridCol w:w="1417"/>
        <w:gridCol w:w="1701"/>
        <w:gridCol w:w="1418"/>
        <w:gridCol w:w="1417"/>
        <w:gridCol w:w="1276"/>
        <w:gridCol w:w="1134"/>
        <w:gridCol w:w="1985"/>
      </w:tblGrid>
      <w:tr w:rsidR="0069578D" w14:paraId="5007C00A" w14:textId="77777777" w:rsidTr="003A46AF">
        <w:trPr>
          <w:trHeight w:val="193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1D275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Eil. Nr</w:t>
            </w:r>
            <w:r w:rsidRPr="008414A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AD2B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71C39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Kokybiniai ir techniniai reikalavimai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262C4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Preliminarus tyrimų skaičius per 24 mėn.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3CB8D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bCs/>
                <w:sz w:val="20"/>
                <w:szCs w:val="20"/>
              </w:rPr>
              <w:t>Reikalavimų atitikimas (būtina nurodyti tikslią nuorodą dokumentacijoje)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4AB9B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Reagentų ir priemonių kiekis (ml./ vnt.) nurodytam tyrimų skaičiui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80272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Siūloma pakuotė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29E89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Siūlomos pakuotės kaina Eur  be PVM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8E6C7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Suma EUR be PVM 24 mėn.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A479E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Suma EUR su PVM 24 mėn.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64BE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Gamintojas, komercinis prekės pavadinimas</w:t>
            </w:r>
          </w:p>
        </w:tc>
      </w:tr>
      <w:tr w:rsidR="0069578D" w14:paraId="5AB6F643" w14:textId="77777777" w:rsidTr="003A46AF">
        <w:trPr>
          <w:trHeight w:val="42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F1281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5B4A8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06A0C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201B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98C2B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17BB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206B3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C97B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96652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54B1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02A3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69578D" w14:paraId="546F477A" w14:textId="77777777" w:rsidTr="003A46AF">
        <w:trPr>
          <w:trHeight w:val="48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5A62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2269D" w14:textId="77777777" w:rsidR="0069578D" w:rsidRPr="008414A4" w:rsidRDefault="0082039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Diagnostinės juostelės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013AD" w14:textId="77777777" w:rsidR="0069578D" w:rsidRPr="008414A4" w:rsidRDefault="0069578D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A7FF" w14:textId="77777777" w:rsidR="0069578D" w:rsidRPr="008414A4" w:rsidRDefault="00820390" w:rsidP="00DF06B6">
            <w:pPr>
              <w:widowControl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Cs/>
                <w:sz w:val="20"/>
                <w:szCs w:val="20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C9470" w14:textId="77777777" w:rsidR="0069578D" w:rsidRPr="008414A4" w:rsidRDefault="0069578D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76C5F" w14:textId="5DD04254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23,33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550A0" w14:textId="5BA5C3A6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FB58" w14:textId="34804C07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15,50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1240D" w14:textId="47672639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361,62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0F2B1" w14:textId="6C8D15ED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379,70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6B0" w14:textId="71FB8F78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Analyticon, 94150 Combi-Screen 11SYS PLUS (N150 )</w:t>
            </w:r>
          </w:p>
        </w:tc>
      </w:tr>
      <w:tr w:rsidR="0069578D" w14:paraId="28EF0D29" w14:textId="77777777" w:rsidTr="003A46AF">
        <w:trPr>
          <w:trHeight w:val="76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5EF7B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12B90" w14:textId="77777777" w:rsidR="0069578D" w:rsidRPr="008414A4" w:rsidRDefault="0082039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Kontrolinė medžiaga (žinomos normalios, patologinės reikšmės)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0D9AD" w14:textId="2637785E" w:rsidR="0069578D" w:rsidRPr="008414A4" w:rsidRDefault="007508EC">
            <w:pPr>
              <w:widowControl w:val="0"/>
              <w:snapToGrid w:val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7508EC">
              <w:rPr>
                <w:rFonts w:ascii="Times New Roman" w:hAnsi="Times New Roman"/>
                <w:sz w:val="20"/>
                <w:szCs w:val="20"/>
              </w:rPr>
              <w:t>atidaryta stabili 75 dienas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B9BB0" w14:textId="77777777" w:rsidR="0069578D" w:rsidRPr="008414A4" w:rsidRDefault="00820390" w:rsidP="00DF06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Cs/>
                <w:sz w:val="20"/>
                <w:szCs w:val="20"/>
              </w:rPr>
              <w:t>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08C12" w14:textId="77777777" w:rsidR="0069578D" w:rsidRPr="008414A4" w:rsidRDefault="0069578D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A8646" w14:textId="5D889789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1</w:t>
            </w:r>
            <w:r w:rsidR="007508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E0F76" w14:textId="519402B9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2x15ml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E827" w14:textId="42D4492F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DE22D" w14:textId="564580F8" w:rsidR="0069578D" w:rsidRPr="008414A4" w:rsidRDefault="007508EC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</w:t>
            </w:r>
            <w:r w:rsidR="008414A4" w:rsidRPr="008414A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D987" w14:textId="399F9176" w:rsidR="0069578D" w:rsidRPr="008414A4" w:rsidRDefault="007508EC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46CC" w14:textId="77777777" w:rsidR="008414A4" w:rsidRPr="008414A4" w:rsidRDefault="008414A4" w:rsidP="008414A4">
            <w:pPr>
              <w:jc w:val="center"/>
              <w:rPr>
                <w:color w:val="000000"/>
                <w:sz w:val="20"/>
                <w:szCs w:val="20"/>
              </w:rPr>
            </w:pPr>
            <w:r w:rsidRPr="008414A4">
              <w:rPr>
                <w:color w:val="000000"/>
                <w:sz w:val="20"/>
                <w:szCs w:val="20"/>
              </w:rPr>
              <w:t>Analyticon, 93010 Combi-Screen DIP CHECK  (2x15ml)</w:t>
            </w:r>
          </w:p>
          <w:p w14:paraId="5CF7C936" w14:textId="77777777" w:rsidR="0069578D" w:rsidRPr="008414A4" w:rsidRDefault="0069578D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69578D" w14:paraId="0310C8BC" w14:textId="77777777" w:rsidTr="003A46AF">
        <w:trPr>
          <w:trHeight w:val="764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 w14:paraId="75D8B0FD" w14:textId="77777777" w:rsidR="0069578D" w:rsidRPr="008414A4" w:rsidRDefault="00820390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14:paraId="150AC49C" w14:textId="77777777" w:rsidR="0069578D" w:rsidRPr="008414A4" w:rsidRDefault="0082039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Juostelės kontrolėms atlikti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256153" w14:textId="77777777" w:rsidR="0069578D" w:rsidRPr="008414A4" w:rsidRDefault="0069578D">
            <w:pPr>
              <w:widowControl w:val="0"/>
              <w:snapToGrid w:val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138007" w14:textId="77777777" w:rsidR="0069578D" w:rsidRPr="008414A4" w:rsidRDefault="00820390" w:rsidP="00DF06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Cs/>
                <w:sz w:val="20"/>
                <w:szCs w:val="20"/>
              </w:rPr>
              <w:t>730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233BF9" w14:textId="77777777" w:rsidR="0069578D" w:rsidRPr="008414A4" w:rsidRDefault="0069578D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7C09879" w14:textId="492DC7CD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4,86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2A62BB4" w14:textId="30E98725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BE778BF" w14:textId="0586E170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15,50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1027DA" w14:textId="7CA84E87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75,33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D5C8C2" w14:textId="4797CB96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79,10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B057" w14:textId="1E5CD470" w:rsidR="0069578D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Analyticon, 94150 Combi-Screen 11SYS PLUS (N150 )</w:t>
            </w:r>
          </w:p>
        </w:tc>
      </w:tr>
      <w:tr w:rsidR="008414A4" w14:paraId="2025299B" w14:textId="77777777" w:rsidTr="003A46AF">
        <w:trPr>
          <w:trHeight w:val="764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 w14:paraId="76794C58" w14:textId="4CB9D9FA" w:rsidR="008414A4" w:rsidRPr="008414A4" w:rsidRDefault="008414A4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14:paraId="2672B6BE" w14:textId="66C474FD" w:rsidR="008414A4" w:rsidRPr="008414A4" w:rsidRDefault="008414A4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sz w:val="20"/>
                <w:szCs w:val="20"/>
              </w:rPr>
              <w:t>popierius terminis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96AB9" w14:textId="5D67A2C0" w:rsidR="008414A4" w:rsidRPr="008414A4" w:rsidRDefault="003A46AF">
            <w:pPr>
              <w:widowControl w:val="0"/>
              <w:snapToGrid w:val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3A46AF">
              <w:rPr>
                <w:rFonts w:ascii="Times New Roman" w:hAnsi="Times New Roman"/>
                <w:sz w:val="20"/>
                <w:szCs w:val="20"/>
              </w:rPr>
              <w:t>tyrimams ir kontrolėms atspausdinti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4DFEA90" w14:textId="79272B34" w:rsidR="008414A4" w:rsidRPr="008414A4" w:rsidRDefault="007508EC" w:rsidP="00DF06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D36685C" w14:textId="77777777" w:rsidR="008414A4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89E9C79" w14:textId="77777777" w:rsidR="008414A4" w:rsidRDefault="008414A4" w:rsidP="008414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  <w:p w14:paraId="0B4E674B" w14:textId="77777777" w:rsidR="008414A4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9DD61DD" w14:textId="05B92ECE" w:rsidR="008414A4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rul.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D004F47" w14:textId="20433A51" w:rsidR="008414A4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803DE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C38456" w14:textId="1BED41CA" w:rsidR="008414A4" w:rsidRDefault="00803DE6" w:rsidP="008414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  <w:p w14:paraId="2FEE112A" w14:textId="77777777" w:rsidR="008414A4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153ED7" w14:textId="4DCFBCA8" w:rsidR="008414A4" w:rsidRPr="008414A4" w:rsidRDefault="00803DE6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14,52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9BFD" w14:textId="1F47335E" w:rsidR="008414A4" w:rsidRPr="008414A4" w:rsidRDefault="008414A4">
            <w:pPr>
              <w:widowControl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Popierius terminis</w:t>
            </w:r>
          </w:p>
        </w:tc>
      </w:tr>
      <w:tr w:rsidR="0069578D" w14:paraId="06050A5C" w14:textId="77777777" w:rsidTr="008414A4">
        <w:trPr>
          <w:trHeight w:val="320"/>
        </w:trPr>
        <w:tc>
          <w:tcPr>
            <w:tcW w:w="1119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18095" w14:textId="221B5F07" w:rsidR="0069578D" w:rsidRPr="008414A4" w:rsidRDefault="00187BF9">
            <w:pPr>
              <w:widowControl w:val="0"/>
              <w:ind w:left="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14A4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Pirkimo dalies bendra suma Eur:</w:t>
            </w:r>
          </w:p>
          <w:p w14:paraId="0CDE9506" w14:textId="77777777" w:rsidR="0069578D" w:rsidRPr="008414A4" w:rsidRDefault="0069578D">
            <w:pPr>
              <w:widowControl w:val="0"/>
              <w:ind w:left="284"/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7B6D5" w14:textId="28707D2F" w:rsidR="0069578D" w:rsidRPr="008414A4" w:rsidRDefault="00820390">
            <w:pPr>
              <w:widowControl w:val="0"/>
              <w:rPr>
                <w:rFonts w:ascii="Times New Roman" w:hAnsi="Times New Roman"/>
                <w:b/>
                <w:iCs/>
                <w:sz w:val="20"/>
                <w:szCs w:val="20"/>
                <w:lang w:val="en-US" w:eastAsia="lt-LT"/>
              </w:rPr>
            </w:pPr>
            <w:r w:rsidRPr="008414A4">
              <w:rPr>
                <w:rFonts w:ascii="Times New Roman" w:hAnsi="Times New Roman"/>
                <w:b/>
                <w:iCs/>
                <w:sz w:val="20"/>
                <w:szCs w:val="20"/>
                <w:lang w:val="en-US" w:eastAsia="lt-LT"/>
              </w:rPr>
              <w:t>Be PVM</w:t>
            </w:r>
            <w:r w:rsidR="008414A4">
              <w:rPr>
                <w:rFonts w:ascii="Times New Roman" w:hAnsi="Times New Roman"/>
                <w:b/>
                <w:iCs/>
                <w:sz w:val="20"/>
                <w:szCs w:val="20"/>
                <w:lang w:val="en-US" w:eastAsia="lt-LT"/>
              </w:rPr>
              <w:t xml:space="preserve">   </w:t>
            </w:r>
            <w:r w:rsidR="007508EC">
              <w:rPr>
                <w:rFonts w:ascii="Times New Roman" w:hAnsi="Times New Roman"/>
                <w:b/>
                <w:iCs/>
                <w:sz w:val="20"/>
                <w:szCs w:val="20"/>
                <w:lang w:val="en-US" w:eastAsia="lt-LT"/>
              </w:rPr>
              <w:t>1072,95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F74D" w14:textId="77777777" w:rsidR="0069578D" w:rsidRPr="008414A4" w:rsidRDefault="0069578D">
            <w:pPr>
              <w:widowControl w:val="0"/>
              <w:snapToGrid w:val="0"/>
              <w:rPr>
                <w:rFonts w:ascii="Times New Roman" w:hAnsi="Times New Roman"/>
                <w:b/>
                <w:iCs/>
                <w:sz w:val="20"/>
                <w:szCs w:val="20"/>
                <w:lang w:val="en-US" w:eastAsia="lt-LT"/>
              </w:rPr>
            </w:pPr>
          </w:p>
        </w:tc>
      </w:tr>
      <w:tr w:rsidR="0069578D" w14:paraId="4A627AC6" w14:textId="77777777" w:rsidTr="008414A4">
        <w:trPr>
          <w:trHeight w:val="220"/>
        </w:trPr>
        <w:tc>
          <w:tcPr>
            <w:tcW w:w="1119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B268B" w14:textId="77777777" w:rsidR="0069578D" w:rsidRPr="008414A4" w:rsidRDefault="0069578D">
            <w:pPr>
              <w:widowControl w:val="0"/>
              <w:snapToGrid w:val="0"/>
              <w:ind w:left="284"/>
              <w:rPr>
                <w:rFonts w:ascii="Times New Roman" w:hAnsi="Times New Roman"/>
                <w:b/>
                <w:iCs/>
                <w:sz w:val="20"/>
                <w:szCs w:val="20"/>
                <w:lang w:val="en-US"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26209" w14:textId="3A567121" w:rsidR="0069578D" w:rsidRPr="008414A4" w:rsidRDefault="00820390">
            <w:pPr>
              <w:widowControl w:val="0"/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</w:pPr>
            <w:r w:rsidRPr="008414A4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Su PVM</w:t>
            </w:r>
            <w:r w:rsidR="008414A4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 xml:space="preserve">   1</w:t>
            </w:r>
            <w:r w:rsidR="007508EC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128</w:t>
            </w:r>
            <w:r w:rsidR="008414A4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,</w:t>
            </w:r>
            <w:r w:rsidR="007508EC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5</w:t>
            </w:r>
            <w:r w:rsidR="00803DE6">
              <w:rPr>
                <w:rFonts w:ascii="Times New Roman" w:hAnsi="Times New Roman"/>
                <w:b/>
                <w:i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CE4F" w14:textId="77777777" w:rsidR="0069578D" w:rsidRPr="008414A4" w:rsidRDefault="0069578D">
            <w:pPr>
              <w:widowControl w:val="0"/>
              <w:snapToGrid w:val="0"/>
              <w:rPr>
                <w:rFonts w:ascii="Times New Roman" w:hAnsi="Times New Roman"/>
                <w:b/>
                <w:iCs/>
                <w:sz w:val="20"/>
                <w:szCs w:val="20"/>
                <w:lang w:val="en-US" w:eastAsia="lt-LT"/>
              </w:rPr>
            </w:pPr>
          </w:p>
        </w:tc>
      </w:tr>
    </w:tbl>
    <w:p w14:paraId="3F0CE21C" w14:textId="77777777" w:rsidR="0069578D" w:rsidRDefault="0069578D">
      <w:pPr>
        <w:rPr>
          <w:rFonts w:ascii="Times New Roman" w:hAnsi="Times New Roman"/>
        </w:rPr>
      </w:pPr>
    </w:p>
    <w:p w14:paraId="5DD8CD1D" w14:textId="77777777" w:rsidR="00596AD0" w:rsidRDefault="00596AD0">
      <w:pPr>
        <w:jc w:val="both"/>
        <w:rPr>
          <w:rFonts w:ascii="Times New Roman" w:hAnsi="Times New Roman"/>
        </w:rPr>
      </w:pPr>
    </w:p>
    <w:p w14:paraId="6C4B2064" w14:textId="1F460FCC" w:rsidR="0069578D" w:rsidRDefault="008203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PASTABOS:</w:t>
      </w:r>
    </w:p>
    <w:p w14:paraId="19267C77" w14:textId="77777777" w:rsidR="0069578D" w:rsidRDefault="008203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Tiekėjas privalo įvertinti ir nurodyti (įrašyti) visas reikiamas sudedamąsias dalis konkrečiam šioje specifikacijoje nurodytam tyrimui atlikti. Tiekėjas privalo pateikti reikalingą reagentų, 2-jų lygių kokybės kontrolės, papildomų priemonių kiekį, numatomą šioje specifikacijoje nurodytam tyrimų kiekiui.</w:t>
      </w:r>
    </w:p>
    <w:p w14:paraId="74819680" w14:textId="77777777" w:rsidR="0069578D" w:rsidRDefault="008203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color w:val="333333"/>
        </w:rPr>
        <w:t xml:space="preserve">Tiekėjas turi tiekti prekes, atitinkančias Europos Parlamento ir Tarybos reglamento (ES) 2017/746 dėl </w:t>
      </w:r>
      <w:r>
        <w:rPr>
          <w:rFonts w:ascii="Times New Roman" w:hAnsi="Times New Roman"/>
          <w:i/>
          <w:color w:val="333333"/>
        </w:rPr>
        <w:t xml:space="preserve">in vitro </w:t>
      </w:r>
      <w:r>
        <w:rPr>
          <w:rFonts w:ascii="Times New Roman" w:hAnsi="Times New Roman"/>
          <w:color w:val="333333"/>
        </w:rPr>
        <w:t xml:space="preserve">medicinos priemonių ir/arba Europos Parlamento ir Tarybos direktyvos 98/79 EB dėl </w:t>
      </w:r>
      <w:r>
        <w:rPr>
          <w:rFonts w:ascii="Times New Roman" w:hAnsi="Times New Roman"/>
          <w:i/>
          <w:color w:val="333333"/>
        </w:rPr>
        <w:t xml:space="preserve">in vitro </w:t>
      </w:r>
      <w:r>
        <w:rPr>
          <w:rFonts w:ascii="Times New Roman" w:hAnsi="Times New Roman"/>
          <w:color w:val="333333"/>
        </w:rPr>
        <w:t xml:space="preserve">diagnostikos medicinos prietaisų (nuo 2022 m. gegužės 26 d. - Europos Parlamento ir Tarybos reglamento (ES) 2017/746 dėl </w:t>
      </w:r>
      <w:r>
        <w:rPr>
          <w:rFonts w:ascii="Times New Roman" w:hAnsi="Times New Roman"/>
          <w:i/>
          <w:color w:val="333333"/>
        </w:rPr>
        <w:t xml:space="preserve">in vitro </w:t>
      </w:r>
      <w:r>
        <w:rPr>
          <w:rFonts w:ascii="Times New Roman" w:hAnsi="Times New Roman"/>
          <w:color w:val="333333"/>
        </w:rPr>
        <w:t>diagnostikos medicinos priemonių) reikalavimus ir ženklinti CE ženklu. Pateikiamas CE sertifikatas arba EB atitikties deklaracija.</w:t>
      </w:r>
    </w:p>
    <w:p w14:paraId="2A77B253" w14:textId="77777777" w:rsidR="0069578D" w:rsidRDefault="008203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3. Visos siūlomos prekės </w:t>
      </w:r>
      <w:r>
        <w:rPr>
          <w:rFonts w:ascii="Times New Roman" w:hAnsi="Times New Roman"/>
        </w:rPr>
        <w:t xml:space="preserve">(reagentai, matavimo laikmenos, kontrolinė medžiaga) </w:t>
      </w:r>
      <w:r>
        <w:rPr>
          <w:rFonts w:ascii="Times New Roman" w:hAnsi="Times New Roman"/>
          <w:lang w:val="pt-BR"/>
        </w:rPr>
        <w:t xml:space="preserve">turi būti prietaiso gamintojo </w:t>
      </w:r>
      <w:r>
        <w:rPr>
          <w:rFonts w:ascii="Times New Roman" w:hAnsi="Times New Roman"/>
        </w:rPr>
        <w:t>arba analizatoriaus gamintojo adaptuoti ir validuoti (reikalavimas grindžiamas LR Sveikatos apsaugos ministro įsakymu "Dėl medicinos priemonių naudojimo tvarkos aprašo patvirtinimo" (2010 m. gegužės 3 d. Nr. V-383, V skyrius 37.1.4 punktas).</w:t>
      </w:r>
      <w:r>
        <w:rPr>
          <w:rFonts w:ascii="Times New Roman" w:hAnsi="Times New Roman"/>
          <w:lang w:val="pt-BR"/>
        </w:rPr>
        <w:t xml:space="preserve"> </w:t>
      </w:r>
      <w:r w:rsidRPr="008414A4">
        <w:rPr>
          <w:rFonts w:ascii="Times New Roman" w:hAnsi="Times New Roman"/>
          <w:lang w:val="pt-BR"/>
        </w:rPr>
        <w:t>Reagentai, kontrolinės medžiagos turi būti su brūkšniniais kodais, skirtais analizatoriui.</w:t>
      </w:r>
    </w:p>
    <w:p w14:paraId="4D00DD83" w14:textId="77777777" w:rsidR="0069578D" w:rsidRDefault="00820390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4. Prekių galiojimo terminas ne trumpesnis kaip 6 mėnesiai nuo pristatymo dienos.</w:t>
      </w:r>
    </w:p>
    <w:p w14:paraId="353ECFBE" w14:textId="77777777" w:rsidR="0069578D" w:rsidRDefault="008203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Būtina nurodyti visą spektrą papildomų priemonių, užtikrinančių kokybišką konkretaus nurodyto tyrimo atlikimą bei tikslius jų komercinius pavadinimus, gamintoją, katalogo Nr., net ir tuo atveju, jei prekė pateikiama nemokamai.</w:t>
      </w:r>
    </w:p>
    <w:p w14:paraId="45B48E1B" w14:textId="77777777" w:rsidR="0069578D" w:rsidRDefault="0082039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Analizatorius turi būti pajungtas į LIS sistemą.</w:t>
      </w:r>
    </w:p>
    <w:p w14:paraId="3ABC72BB" w14:textId="77777777" w:rsidR="0069578D" w:rsidRDefault="008203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7. Būtina pateikti prietaisų naudotojo vadovą, tyrimams naudojamų medžiagų aprašus ir</w:t>
      </w:r>
      <w:r>
        <w:rPr>
          <w:rFonts w:ascii="Times New Roman" w:hAnsi="Times New Roman"/>
        </w:rPr>
        <w:t xml:space="preserve"> metodikas (originalo ir lietuvių kalba), konkrečiai nurodyti reagentų ir analizatorių reikalavimų atitikimus, tiksliai pažymint atitikimo vietą gamintojo dokumentacijoje.</w:t>
      </w:r>
    </w:p>
    <w:p w14:paraId="6A8A505D" w14:textId="77777777" w:rsidR="0069578D" w:rsidRDefault="00820390">
      <w:pPr>
        <w:rPr>
          <w:rFonts w:ascii="Times New Roman" w:hAnsi="Times New Roman"/>
        </w:rPr>
      </w:pPr>
      <w:r>
        <w:rPr>
          <w:rFonts w:ascii="Times New Roman" w:hAnsi="Times New Roman"/>
        </w:rPr>
        <w:t>8.Tiekėjas turi turėti sertifikuotą specialistą, galintį konsultuoti bet kuriuo paros metu.</w:t>
      </w:r>
    </w:p>
    <w:p w14:paraId="5739F738" w14:textId="77777777" w:rsidR="0069578D" w:rsidRDefault="00820390">
      <w:pPr>
        <w:rPr>
          <w:rFonts w:ascii="Times New Roman" w:hAnsi="Times New Roman"/>
        </w:rPr>
      </w:pPr>
      <w:r>
        <w:rPr>
          <w:rFonts w:ascii="Times New Roman" w:hAnsi="Times New Roman"/>
        </w:rPr>
        <w:t>9.Tiekėjas privalo atlikti analizatorių techninę priežiūra ir remontą.</w:t>
      </w:r>
    </w:p>
    <w:p w14:paraId="65CE0DB6" w14:textId="77777777" w:rsidR="0069578D" w:rsidRDefault="0069578D">
      <w:pPr>
        <w:rPr>
          <w:rFonts w:ascii="Times New Roman" w:hAnsi="Times New Roman"/>
        </w:rPr>
      </w:pPr>
    </w:p>
    <w:p w14:paraId="2CF0EE50" w14:textId="77777777" w:rsidR="0069578D" w:rsidRDefault="0082039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KOKYBINIAI IR TECHNINIAI REIKALAVIMAI</w:t>
      </w:r>
      <w:r>
        <w:rPr>
          <w:rFonts w:ascii="Times New Roman" w:eastAsia="Arial Unicode MS;Yu Gothic" w:hAnsi="Times New Roman"/>
          <w:b/>
          <w:lang w:val="pt-BR"/>
        </w:rPr>
        <w:t xml:space="preserve"> REIKALAVIMAI </w:t>
      </w:r>
      <w:r>
        <w:rPr>
          <w:rFonts w:ascii="Times New Roman" w:hAnsi="Times New Roman"/>
          <w:b/>
          <w:bCs/>
          <w:caps/>
          <w:spacing w:val="5"/>
        </w:rPr>
        <w:t>Juostelinio ŠLAPIMO ANALIZATORIAUS</w:t>
      </w:r>
    </w:p>
    <w:p w14:paraId="31F33BD2" w14:textId="77777777" w:rsidR="0069578D" w:rsidRDefault="0069578D">
      <w:pPr>
        <w:jc w:val="center"/>
        <w:rPr>
          <w:rFonts w:ascii="Times New Roman" w:hAnsi="Times New Roman"/>
          <w:b/>
        </w:rPr>
      </w:pPr>
    </w:p>
    <w:tbl>
      <w:tblPr>
        <w:tblW w:w="15150" w:type="dxa"/>
        <w:tblInd w:w="-403" w:type="dxa"/>
        <w:tblLayout w:type="fixed"/>
        <w:tblLook w:val="04A0" w:firstRow="1" w:lastRow="0" w:firstColumn="1" w:lastColumn="0" w:noHBand="0" w:noVBand="1"/>
      </w:tblPr>
      <w:tblGrid>
        <w:gridCol w:w="1008"/>
        <w:gridCol w:w="4963"/>
        <w:gridCol w:w="3874"/>
        <w:gridCol w:w="5305"/>
      </w:tblGrid>
      <w:tr w:rsidR="0069578D" w14:paraId="39023431" w14:textId="77777777">
        <w:trPr>
          <w:trHeight w:val="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AA913" w14:textId="77777777" w:rsidR="0069578D" w:rsidRDefault="00820390">
            <w:pPr>
              <w:widowControl w:val="0"/>
              <w:jc w:val="center"/>
              <w:rPr>
                <w:rFonts w:ascii="Times New Roman" w:eastAsia="Arial Unicode MS;Yu Gothic" w:hAnsi="Times New Roman"/>
                <w:b/>
                <w:bCs/>
              </w:rPr>
            </w:pPr>
            <w:bookmarkStart w:id="0" w:name="_Hlk461006704_Copy_1"/>
            <w:bookmarkEnd w:id="0"/>
            <w:r>
              <w:rPr>
                <w:rFonts w:ascii="Times New Roman" w:eastAsia="Arial Unicode MS;Yu Gothic" w:hAnsi="Times New Roman"/>
                <w:b/>
                <w:bCs/>
              </w:rPr>
              <w:t>Eil. Nr.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52A2C" w14:textId="77777777" w:rsidR="0069578D" w:rsidRDefault="00820390">
            <w:pPr>
              <w:widowControl w:val="0"/>
              <w:jc w:val="center"/>
              <w:rPr>
                <w:rFonts w:ascii="Times New Roman" w:eastAsia="Arial Unicode MS;Yu Gothic" w:hAnsi="Times New Roman"/>
                <w:b/>
                <w:bCs/>
              </w:rPr>
            </w:pPr>
            <w:r>
              <w:rPr>
                <w:rFonts w:ascii="Times New Roman" w:eastAsia="Arial Unicode MS;Yu Gothic" w:hAnsi="Times New Roman"/>
                <w:b/>
                <w:bCs/>
              </w:rPr>
              <w:t>Parametrai (specifikacija)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FC5E2" w14:textId="77777777" w:rsidR="0069578D" w:rsidRDefault="00820390">
            <w:pPr>
              <w:widowControl w:val="0"/>
              <w:jc w:val="center"/>
              <w:rPr>
                <w:rFonts w:ascii="Times New Roman" w:eastAsia="Arial Unicode MS;Yu Gothic" w:hAnsi="Times New Roman"/>
                <w:b/>
                <w:bCs/>
              </w:rPr>
            </w:pPr>
            <w:r>
              <w:rPr>
                <w:rFonts w:ascii="Times New Roman" w:eastAsia="Arial Unicode MS;Yu Gothic" w:hAnsi="Times New Roman"/>
                <w:b/>
                <w:bCs/>
              </w:rPr>
              <w:t>Parametro reikšmė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3829" w14:textId="77777777" w:rsidR="0069578D" w:rsidRDefault="00820390">
            <w:pPr>
              <w:widowControl w:val="0"/>
              <w:jc w:val="center"/>
              <w:rPr>
                <w:rFonts w:ascii="Times New Roman" w:eastAsia="SimSun;宋体" w:hAnsi="Times New Roman"/>
                <w:b/>
                <w:lang w:eastAsia="ar-SA"/>
              </w:rPr>
            </w:pPr>
            <w:r>
              <w:rPr>
                <w:rFonts w:ascii="Times New Roman" w:eastAsia="SimSun;宋体" w:hAnsi="Times New Roman"/>
                <w:b/>
                <w:lang w:eastAsia="ar-SA"/>
              </w:rPr>
              <w:t>Siūlomos įrangos parametrai su nuoroda į gaminio dokumentaciją.</w:t>
            </w:r>
          </w:p>
        </w:tc>
      </w:tr>
      <w:tr w:rsidR="0069578D" w14:paraId="2BD9D52F" w14:textId="77777777">
        <w:trPr>
          <w:trHeight w:val="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91797" w14:textId="77777777" w:rsidR="0069578D" w:rsidRDefault="00820390">
            <w:pPr>
              <w:widowControl w:val="0"/>
              <w:jc w:val="center"/>
              <w:rPr>
                <w:rFonts w:ascii="Times New Roman" w:eastAsia="Arial Unicode MS;Yu Gothic" w:hAnsi="Times New Roman"/>
                <w:b/>
                <w:bCs/>
              </w:rPr>
            </w:pPr>
            <w:r>
              <w:rPr>
                <w:rFonts w:ascii="Times New Roman" w:eastAsia="Arial Unicode MS;Yu Gothic" w:hAnsi="Times New Roman"/>
                <w:b/>
                <w:bCs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AC2E4" w14:textId="77777777" w:rsidR="0069578D" w:rsidRDefault="00820390">
            <w:pPr>
              <w:widowControl w:val="0"/>
              <w:jc w:val="center"/>
              <w:rPr>
                <w:rFonts w:ascii="Times New Roman" w:eastAsia="Arial Unicode MS;Yu Gothic" w:hAnsi="Times New Roman"/>
                <w:b/>
                <w:bCs/>
              </w:rPr>
            </w:pPr>
            <w:r>
              <w:rPr>
                <w:rFonts w:ascii="Times New Roman" w:eastAsia="Arial Unicode MS;Yu Gothic" w:hAnsi="Times New Roman"/>
                <w:b/>
                <w:bCs/>
              </w:rPr>
              <w:t>2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35FCC" w14:textId="77777777" w:rsidR="0069578D" w:rsidRDefault="00820390">
            <w:pPr>
              <w:widowControl w:val="0"/>
              <w:jc w:val="center"/>
              <w:rPr>
                <w:rFonts w:ascii="Times New Roman" w:eastAsia="Arial Unicode MS;Yu Gothic" w:hAnsi="Times New Roman"/>
                <w:b/>
                <w:bCs/>
              </w:rPr>
            </w:pPr>
            <w:r>
              <w:rPr>
                <w:rFonts w:ascii="Times New Roman" w:eastAsia="Arial Unicode MS;Yu Gothic" w:hAnsi="Times New Roman"/>
                <w:b/>
                <w:bCs/>
              </w:rPr>
              <w:t>3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ED14" w14:textId="77777777" w:rsidR="0069578D" w:rsidRDefault="00820390">
            <w:pPr>
              <w:widowControl w:val="0"/>
              <w:jc w:val="center"/>
              <w:rPr>
                <w:rFonts w:ascii="Times New Roman" w:eastAsia="SimSun;宋体" w:hAnsi="Times New Roman"/>
                <w:b/>
                <w:lang w:eastAsia="ar-SA"/>
              </w:rPr>
            </w:pPr>
            <w:r>
              <w:rPr>
                <w:rFonts w:ascii="Times New Roman" w:eastAsia="SimSun;宋体" w:hAnsi="Times New Roman"/>
                <w:b/>
                <w:lang w:eastAsia="ar-SA"/>
              </w:rPr>
              <w:t>4</w:t>
            </w:r>
          </w:p>
        </w:tc>
      </w:tr>
      <w:tr w:rsidR="00DF06B6" w14:paraId="379A385D" w14:textId="77777777">
        <w:trPr>
          <w:trHeight w:val="1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D43967" w14:textId="77777777" w:rsidR="00DF06B6" w:rsidRDefault="00DF06B6" w:rsidP="00DF06B6">
            <w:pPr>
              <w:pStyle w:val="NoSpacing"/>
              <w:widowControl w:val="0"/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EAB0049" w14:textId="77777777" w:rsidR="00DF06B6" w:rsidRDefault="00DF06B6" w:rsidP="00DF06B6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Analizatoriaus sparta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1369828" w14:textId="77777777" w:rsidR="00DF06B6" w:rsidRDefault="00DF06B6" w:rsidP="00DF06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lang w:val="pt-BR" w:eastAsia="lt-LT"/>
              </w:rPr>
              <w:t>Iki 120 tyrim</w:t>
            </w:r>
            <w:r>
              <w:rPr>
                <w:rFonts w:ascii="Times New Roman" w:hAnsi="Times New Roman"/>
                <w:bCs/>
                <w:color w:val="000000"/>
                <w:lang w:eastAsia="lt-LT"/>
              </w:rPr>
              <w:t>ų/val.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223A597" w14:textId="77777777" w:rsidR="00DF06B6" w:rsidRDefault="00DF06B6" w:rsidP="00DF06B6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85CB7">
              <w:rPr>
                <w:bCs/>
                <w:color w:val="000000"/>
                <w:sz w:val="22"/>
                <w:szCs w:val="22"/>
                <w:lang w:val="pt-BR" w:eastAsia="lt-LT"/>
              </w:rPr>
              <w:t>Iki 120 tyrim</w:t>
            </w:r>
            <w:r w:rsidRPr="00485CB7">
              <w:rPr>
                <w:bCs/>
                <w:color w:val="000000"/>
                <w:sz w:val="22"/>
                <w:szCs w:val="22"/>
                <w:lang w:eastAsia="lt-LT"/>
              </w:rPr>
              <w:t>ų/val.</w:t>
            </w:r>
          </w:p>
          <w:p w14:paraId="1C944F99" w14:textId="77777777" w:rsidR="00DF06B6" w:rsidRDefault="00DF06B6" w:rsidP="00DF06B6">
            <w:pPr>
              <w:snapToGrid w:val="0"/>
              <w:jc w:val="center"/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F2192E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Brošiūra_1.</w:t>
            </w:r>
          </w:p>
          <w:p w14:paraId="367813BE" w14:textId="77777777" w:rsidR="00DF06B6" w:rsidRDefault="00DF06B6" w:rsidP="00DF06B6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lang w:val="pt-BR" w:eastAsia="lt-LT"/>
              </w:rPr>
            </w:pPr>
          </w:p>
        </w:tc>
      </w:tr>
      <w:tr w:rsidR="00DF06B6" w14:paraId="62DA9879" w14:textId="77777777">
        <w:trPr>
          <w:trHeight w:val="1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271278B" w14:textId="77777777" w:rsidR="00DF06B6" w:rsidRDefault="00DF06B6" w:rsidP="00DF06B6">
            <w:pPr>
              <w:pStyle w:val="NoSpacing"/>
              <w:widowControl w:val="0"/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A06DE95" w14:textId="77777777" w:rsidR="00DF06B6" w:rsidRDefault="00DF06B6" w:rsidP="00DF06B6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Matavimo principas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495C0DD" w14:textId="2190A280" w:rsidR="00DF06B6" w:rsidRDefault="00DF06B6" w:rsidP="00DF06B6">
            <w:pPr>
              <w:widowControl w:val="0"/>
              <w:rPr>
                <w:rFonts w:ascii="Times New Roman" w:hAnsi="Times New Roman"/>
                <w:bCs/>
                <w:color w:val="000000"/>
                <w:lang w:val="pt-BR" w:eastAsia="lt-LT"/>
              </w:rPr>
            </w:pPr>
            <w:r>
              <w:rPr>
                <w:rFonts w:ascii="Times New Roman" w:hAnsi="Times New Roman"/>
                <w:bCs/>
                <w:color w:val="000000"/>
                <w:lang w:val="pt-BR" w:eastAsia="lt-LT"/>
              </w:rPr>
              <w:t>LED matavimo technologija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0BE6DD6" w14:textId="77777777" w:rsidR="00DF06B6" w:rsidRDefault="00DF06B6" w:rsidP="00DF06B6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pt-BR" w:eastAsia="lt-LT"/>
              </w:rPr>
            </w:pPr>
            <w:r w:rsidRPr="00485CB7">
              <w:rPr>
                <w:bCs/>
                <w:color w:val="000000"/>
                <w:sz w:val="22"/>
                <w:szCs w:val="22"/>
                <w:lang w:val="pt-BR" w:eastAsia="lt-LT"/>
              </w:rPr>
              <w:t>LED matavimo rechnologija</w:t>
            </w:r>
          </w:p>
          <w:p w14:paraId="248868A3" w14:textId="77777777" w:rsidR="00DF06B6" w:rsidRDefault="00DF06B6" w:rsidP="00DF06B6">
            <w:pPr>
              <w:snapToGrid w:val="0"/>
              <w:jc w:val="center"/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F2192E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Brošiūra_</w:t>
            </w:r>
            <w:r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2</w:t>
            </w:r>
            <w:r w:rsidRPr="00F2192E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.</w:t>
            </w:r>
          </w:p>
          <w:p w14:paraId="2022EA0B" w14:textId="77777777" w:rsidR="00DF06B6" w:rsidRDefault="00DF06B6" w:rsidP="00DF06B6">
            <w:pPr>
              <w:snapToGrid w:val="0"/>
              <w:jc w:val="center"/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</w:pPr>
          </w:p>
          <w:p w14:paraId="7014A3BE" w14:textId="77777777" w:rsidR="00DF06B6" w:rsidRDefault="00DF06B6" w:rsidP="00DF06B6">
            <w:pPr>
              <w:widowControl w:val="0"/>
              <w:snapToGrid w:val="0"/>
              <w:rPr>
                <w:rFonts w:ascii="Times New Roman" w:hAnsi="Times New Roman"/>
                <w:b/>
                <w:bCs/>
                <w:color w:val="000000"/>
                <w:lang w:val="pt-BR" w:eastAsia="lt-LT"/>
              </w:rPr>
            </w:pPr>
          </w:p>
        </w:tc>
      </w:tr>
      <w:tr w:rsidR="00DF06B6" w14:paraId="3FD83BC0" w14:textId="77777777">
        <w:trPr>
          <w:trHeight w:val="1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7183BE3" w14:textId="77777777" w:rsidR="00DF06B6" w:rsidRDefault="00DF06B6" w:rsidP="00DF06B6">
            <w:pPr>
              <w:pStyle w:val="NoSpacing"/>
              <w:widowControl w:val="0"/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7BE5CD0" w14:textId="77777777" w:rsidR="00DF06B6" w:rsidRDefault="00DF06B6" w:rsidP="00DF06B6">
            <w:pPr>
              <w:widowControl w:val="0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Atsparumas askorbo  rūgščiai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CFB8063" w14:textId="77777777" w:rsidR="00DF06B6" w:rsidRDefault="00DF06B6" w:rsidP="00DF06B6">
            <w:pPr>
              <w:widowControl w:val="0"/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Cs/>
                <w:color w:val="000000"/>
                <w:lang w:val="pt-BR"/>
              </w:rPr>
              <w:t>Būtina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6796925" w14:textId="77777777" w:rsidR="00DF06B6" w:rsidRDefault="00DF06B6" w:rsidP="00DF06B6">
            <w:pPr>
              <w:snapToGrid w:val="0"/>
              <w:jc w:val="center"/>
              <w:rPr>
                <w:bCs/>
                <w:color w:val="000000"/>
                <w:sz w:val="22"/>
                <w:lang w:val="pt-BR" w:eastAsia="lt-LT"/>
              </w:rPr>
            </w:pPr>
            <w:r>
              <w:rPr>
                <w:bCs/>
                <w:color w:val="000000"/>
                <w:sz w:val="22"/>
                <w:lang w:val="pt-BR" w:eastAsia="lt-LT"/>
              </w:rPr>
              <w:t xml:space="preserve">Combi-Screen </w:t>
            </w:r>
            <w:r w:rsidRPr="00641C00">
              <w:rPr>
                <w:bCs/>
                <w:color w:val="000000"/>
                <w:sz w:val="22"/>
                <w:lang w:val="pt-BR" w:eastAsia="lt-LT"/>
              </w:rPr>
              <w:t>Juostelių aprašymas</w:t>
            </w:r>
          </w:p>
          <w:p w14:paraId="2AC39B07" w14:textId="77777777" w:rsidR="00DF06B6" w:rsidRDefault="00DF06B6" w:rsidP="00DF06B6">
            <w:pPr>
              <w:snapToGrid w:val="0"/>
              <w:jc w:val="center"/>
              <w:rPr>
                <w:bCs/>
                <w:color w:val="000000"/>
                <w:sz w:val="22"/>
                <w:lang w:val="pt-BR" w:eastAsia="lt-LT"/>
              </w:rPr>
            </w:pPr>
            <w:r>
              <w:rPr>
                <w:bCs/>
                <w:color w:val="000000"/>
                <w:sz w:val="22"/>
                <w:lang w:val="pt-BR" w:eastAsia="lt-LT"/>
              </w:rPr>
              <w:t>Analyticon deklaracja dėl askorbo rūgšties.</w:t>
            </w:r>
          </w:p>
          <w:p w14:paraId="3779344D" w14:textId="77777777" w:rsidR="00DF06B6" w:rsidRDefault="00DF06B6" w:rsidP="00DF06B6">
            <w:pPr>
              <w:widowControl w:val="0"/>
              <w:snapToGrid w:val="0"/>
              <w:rPr>
                <w:rFonts w:ascii="Times New Roman" w:hAnsi="Times New Roman"/>
                <w:bCs/>
                <w:color w:val="000000"/>
                <w:lang w:val="pt-BR" w:eastAsia="lt-LT"/>
              </w:rPr>
            </w:pPr>
          </w:p>
        </w:tc>
      </w:tr>
      <w:tr w:rsidR="00DF06B6" w14:paraId="6465FC93" w14:textId="77777777">
        <w:trPr>
          <w:trHeight w:val="1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578FD0E" w14:textId="77777777" w:rsidR="00DF06B6" w:rsidRDefault="00DF06B6" w:rsidP="00DF06B6">
            <w:pPr>
              <w:pStyle w:val="NoSpacing"/>
              <w:widowControl w:val="0"/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D90E6C9" w14:textId="77777777" w:rsidR="00DF06B6" w:rsidRDefault="00DF06B6" w:rsidP="00DF06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Ekranas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AF2B204" w14:textId="77777777" w:rsidR="00DF06B6" w:rsidRDefault="00DF06B6" w:rsidP="00DF06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Spalvotas lietimui jautrus ekranas, integruotas terminis spausdintuvas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D1F310A" w14:textId="77777777" w:rsidR="00DF06B6" w:rsidRPr="00F2192E" w:rsidRDefault="00DF06B6" w:rsidP="00DF06B6">
            <w:pPr>
              <w:pStyle w:val="NoSpacing"/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2192E">
              <w:rPr>
                <w:sz w:val="22"/>
                <w:szCs w:val="22"/>
                <w:lang w:val="lt-LT"/>
              </w:rPr>
              <w:t>Spalvotas lietimui jautrus ekranas, integruotas terminis spausdintuvas</w:t>
            </w:r>
          </w:p>
          <w:p w14:paraId="20A909C7" w14:textId="77777777" w:rsidR="00DF06B6" w:rsidRDefault="00DF06B6" w:rsidP="00DF06B6">
            <w:pPr>
              <w:pStyle w:val="NoSpacing"/>
              <w:snapToGrid w:val="0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F2192E"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  <w:t>Brošiūra_4</w:t>
            </w:r>
          </w:p>
          <w:p w14:paraId="7BA42D2C" w14:textId="77777777" w:rsidR="00DF06B6" w:rsidRDefault="00DF06B6" w:rsidP="00DF06B6">
            <w:pPr>
              <w:pStyle w:val="NoSpacing"/>
              <w:widowControl w:val="0"/>
              <w:snapToGrid w:val="0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F06B6" w14:paraId="4ED40F97" w14:textId="77777777">
        <w:trPr>
          <w:trHeight w:val="1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7977C87" w14:textId="77777777" w:rsidR="00DF06B6" w:rsidRDefault="00DF06B6" w:rsidP="00DF06B6">
            <w:pPr>
              <w:pStyle w:val="NoSpacing"/>
              <w:widowControl w:val="0"/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9911AD0" w14:textId="77777777" w:rsidR="00DF06B6" w:rsidRDefault="00DF06B6" w:rsidP="00DF06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Duomenų valdymas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EBE7A3F" w14:textId="77777777" w:rsidR="00DF06B6" w:rsidRDefault="00DF06B6" w:rsidP="00DF06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Išmanusis, automatinis spausdinimas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FE8D32A" w14:textId="77777777" w:rsidR="00DF06B6" w:rsidRDefault="00DF06B6" w:rsidP="00DF06B6">
            <w:pPr>
              <w:pStyle w:val="NoSpacing"/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F2192E">
              <w:rPr>
                <w:sz w:val="22"/>
                <w:szCs w:val="22"/>
                <w:lang w:val="lt-LT"/>
              </w:rPr>
              <w:t>Išmanusis, automatinis</w:t>
            </w:r>
            <w:r w:rsidRPr="00485CB7">
              <w:rPr>
                <w:sz w:val="22"/>
                <w:szCs w:val="22"/>
              </w:rPr>
              <w:t xml:space="preserve"> </w:t>
            </w:r>
            <w:r w:rsidRPr="00F2192E">
              <w:rPr>
                <w:sz w:val="22"/>
                <w:szCs w:val="22"/>
                <w:lang w:val="lt-LT"/>
              </w:rPr>
              <w:t>spausdinimas</w:t>
            </w:r>
          </w:p>
          <w:p w14:paraId="71F9AAC0" w14:textId="77777777" w:rsidR="00DF06B6" w:rsidRDefault="00DF06B6" w:rsidP="00DF06B6">
            <w:pPr>
              <w:pStyle w:val="NoSpacing"/>
              <w:snapToGrid w:val="0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F2192E"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  <w:t>Brošiūra_</w:t>
            </w:r>
            <w:r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  <w:t>5</w:t>
            </w:r>
          </w:p>
          <w:p w14:paraId="4C64B72D" w14:textId="77777777" w:rsidR="00DF06B6" w:rsidRDefault="00DF06B6" w:rsidP="00DF06B6">
            <w:pPr>
              <w:pStyle w:val="NoSpacing"/>
              <w:widowControl w:val="0"/>
              <w:snapToGrid w:val="0"/>
              <w:rPr>
                <w:sz w:val="24"/>
                <w:szCs w:val="24"/>
                <w:lang w:val="lt-LT" w:eastAsia="lt-LT"/>
              </w:rPr>
            </w:pPr>
          </w:p>
        </w:tc>
      </w:tr>
      <w:tr w:rsidR="00DF06B6" w14:paraId="3D3C6CEF" w14:textId="77777777">
        <w:trPr>
          <w:trHeight w:val="1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866F051" w14:textId="77777777" w:rsidR="00DF06B6" w:rsidRDefault="00DF06B6" w:rsidP="00DF06B6">
            <w:pPr>
              <w:pStyle w:val="NoSpacing"/>
              <w:widowControl w:val="0"/>
              <w:tabs>
                <w:tab w:val="left" w:pos="330"/>
              </w:tabs>
              <w:snapToGrid w:val="0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6.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01E32CF" w14:textId="77777777" w:rsidR="00DF06B6" w:rsidRDefault="00DF06B6" w:rsidP="00DF06B6">
            <w:pPr>
              <w:widowControl w:val="0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Nurodoma ar rekomenduojama miroskopinė analizė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19011CF" w14:textId="77777777" w:rsidR="00DF06B6" w:rsidRDefault="00DF06B6" w:rsidP="00DF06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1218864F" w14:textId="77777777" w:rsidR="00DF06B6" w:rsidRPr="00D67215" w:rsidRDefault="00DF06B6" w:rsidP="00DF06B6">
            <w:pPr>
              <w:pStyle w:val="NoSpacing"/>
              <w:snapToGrid w:val="0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D67215">
              <w:rPr>
                <w:sz w:val="22"/>
                <w:szCs w:val="22"/>
                <w:lang w:val="lt-LT" w:eastAsia="lt-LT"/>
              </w:rPr>
              <w:t>Nurodoma ar rekomenduojama miroskopinė analizė</w:t>
            </w:r>
          </w:p>
          <w:p w14:paraId="51E5303B" w14:textId="77777777" w:rsidR="00DF06B6" w:rsidRDefault="00DF06B6" w:rsidP="00DF06B6">
            <w:pPr>
              <w:pStyle w:val="NoSpacing"/>
              <w:snapToGrid w:val="0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F2192E"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  <w:t>Brošiūra_</w:t>
            </w:r>
            <w:r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  <w:t>6</w:t>
            </w:r>
          </w:p>
          <w:p w14:paraId="0F07E72D" w14:textId="77777777" w:rsidR="00DF06B6" w:rsidRDefault="00DF06B6" w:rsidP="00DF06B6">
            <w:pPr>
              <w:pStyle w:val="NoSpacing"/>
              <w:widowControl w:val="0"/>
              <w:snapToGrid w:val="0"/>
              <w:rPr>
                <w:sz w:val="24"/>
                <w:szCs w:val="24"/>
                <w:lang w:val="lt-LT" w:eastAsia="lt-LT"/>
              </w:rPr>
            </w:pPr>
          </w:p>
        </w:tc>
      </w:tr>
      <w:tr w:rsidR="00DF06B6" w14:paraId="15CF346C" w14:textId="77777777">
        <w:trPr>
          <w:trHeight w:val="1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22BEC05" w14:textId="77777777" w:rsidR="00DF06B6" w:rsidRDefault="00DF06B6" w:rsidP="00DF06B6">
            <w:pPr>
              <w:pStyle w:val="NoSpacing"/>
              <w:widowControl w:val="0"/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A0A6038" w14:textId="77777777" w:rsidR="00DF06B6" w:rsidRDefault="00DF06B6" w:rsidP="00DF06B6">
            <w:pPr>
              <w:widowControl w:val="0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Atmintis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7B1A2D77" w14:textId="77777777" w:rsidR="00DF06B6" w:rsidRDefault="00DF06B6" w:rsidP="00DF06B6">
            <w:pPr>
              <w:widowContro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Tyrimų rezultatai: iki 3000 rezultatų; Kokybės kontrolė: iki 1000 rezultatų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607835BA" w14:textId="77777777" w:rsidR="00DF06B6" w:rsidRPr="00D67215" w:rsidRDefault="00DF06B6" w:rsidP="00DF06B6">
            <w:pPr>
              <w:pStyle w:val="NoSpacing"/>
              <w:snapToGrid w:val="0"/>
              <w:jc w:val="center"/>
              <w:rPr>
                <w:bCs/>
                <w:sz w:val="22"/>
                <w:szCs w:val="22"/>
                <w:lang w:val="lt-LT"/>
              </w:rPr>
            </w:pPr>
            <w:r w:rsidRPr="00D67215">
              <w:rPr>
                <w:bCs/>
                <w:sz w:val="22"/>
                <w:szCs w:val="22"/>
                <w:lang w:val="lt-LT"/>
              </w:rPr>
              <w:t>3000 rezultatų</w:t>
            </w:r>
          </w:p>
          <w:p w14:paraId="7EB208CB" w14:textId="77777777" w:rsidR="00DF06B6" w:rsidRPr="00D67215" w:rsidRDefault="00DF06B6" w:rsidP="00DF06B6">
            <w:pPr>
              <w:pStyle w:val="NoSpacing"/>
              <w:snapToGrid w:val="0"/>
              <w:jc w:val="center"/>
              <w:rPr>
                <w:bCs/>
                <w:sz w:val="22"/>
                <w:szCs w:val="22"/>
                <w:lang w:val="lt-LT"/>
              </w:rPr>
            </w:pPr>
            <w:r w:rsidRPr="00D67215">
              <w:rPr>
                <w:bCs/>
                <w:sz w:val="22"/>
                <w:szCs w:val="22"/>
                <w:lang w:val="lt-LT"/>
              </w:rPr>
              <w:t>Kokybės kontrolė 1000 rezultatų</w:t>
            </w:r>
          </w:p>
          <w:p w14:paraId="0F0846FD" w14:textId="77777777" w:rsidR="00DF06B6" w:rsidRDefault="00DF06B6" w:rsidP="00DF06B6">
            <w:pPr>
              <w:pStyle w:val="NoSpacing"/>
              <w:snapToGrid w:val="0"/>
              <w:jc w:val="center"/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F2192E"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  <w:t>Brošiūra</w:t>
            </w:r>
            <w:r>
              <w:rPr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  <w:t>_7</w:t>
            </w:r>
          </w:p>
          <w:p w14:paraId="364F2870" w14:textId="77777777" w:rsidR="00DF06B6" w:rsidRDefault="00DF06B6" w:rsidP="00DF06B6">
            <w:pPr>
              <w:pStyle w:val="NoSpacing"/>
              <w:widowControl w:val="0"/>
              <w:snapToGrid w:val="0"/>
              <w:rPr>
                <w:bCs/>
                <w:sz w:val="24"/>
                <w:szCs w:val="24"/>
                <w:lang w:val="lt-LT" w:eastAsia="lt-LT"/>
              </w:rPr>
            </w:pPr>
          </w:p>
        </w:tc>
      </w:tr>
      <w:tr w:rsidR="00DF06B6" w14:paraId="34DDF7A3" w14:textId="77777777">
        <w:trPr>
          <w:trHeight w:val="1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91ABDA5" w14:textId="77777777" w:rsidR="00DF06B6" w:rsidRDefault="00DF06B6" w:rsidP="00DF06B6">
            <w:pPr>
              <w:pStyle w:val="NoSpacing"/>
              <w:widowControl w:val="0"/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1EA3571" w14:textId="77777777" w:rsidR="00DF06B6" w:rsidRDefault="00DF06B6" w:rsidP="00DF06B6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Barkodų spausdintuvas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3110E301" w14:textId="77777777" w:rsidR="00DF06B6" w:rsidRDefault="00DF06B6" w:rsidP="00DF06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B981979" w14:textId="77777777" w:rsidR="00DF06B6" w:rsidRPr="00D67215" w:rsidRDefault="00DF06B6" w:rsidP="00DF06B6">
            <w:pPr>
              <w:snapToGrid w:val="0"/>
              <w:jc w:val="center"/>
              <w:rPr>
                <w:bCs/>
                <w:sz w:val="22"/>
                <w:lang w:eastAsia="lt-LT"/>
              </w:rPr>
            </w:pPr>
            <w:r w:rsidRPr="00D67215">
              <w:rPr>
                <w:bCs/>
                <w:sz w:val="22"/>
                <w:lang w:eastAsia="lt-LT"/>
              </w:rPr>
              <w:t>Brūkšninių kodų skaitytuvas</w:t>
            </w:r>
          </w:p>
          <w:p w14:paraId="25160E53" w14:textId="77777777" w:rsidR="00DF06B6" w:rsidRPr="00D67215" w:rsidRDefault="00DF06B6" w:rsidP="00DF06B6">
            <w:pPr>
              <w:snapToGrid w:val="0"/>
              <w:jc w:val="center"/>
              <w:rPr>
                <w:bCs/>
                <w:sz w:val="22"/>
                <w:lang w:eastAsia="lt-LT"/>
              </w:rPr>
            </w:pPr>
            <w:r w:rsidRPr="00D67215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Brošiūra_</w:t>
            </w:r>
            <w:r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8</w:t>
            </w:r>
          </w:p>
          <w:p w14:paraId="6FE1649E" w14:textId="77777777" w:rsidR="00DF06B6" w:rsidRDefault="00DF06B6" w:rsidP="00DF06B6">
            <w:pPr>
              <w:widowControl w:val="0"/>
              <w:snapToGrid w:val="0"/>
              <w:rPr>
                <w:rFonts w:ascii="Times New Roman" w:hAnsi="Times New Roman"/>
                <w:bCs/>
                <w:lang w:eastAsia="lt-LT"/>
              </w:rPr>
            </w:pPr>
          </w:p>
        </w:tc>
      </w:tr>
      <w:tr w:rsidR="00DF06B6" w14:paraId="62D5018E" w14:textId="77777777">
        <w:trPr>
          <w:trHeight w:val="1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271F3F8" w14:textId="77777777" w:rsidR="00DF06B6" w:rsidRDefault="00DF06B6" w:rsidP="00DF06B6">
            <w:pPr>
              <w:pStyle w:val="NoSpacing"/>
              <w:widowControl w:val="0"/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8A93D13" w14:textId="77777777" w:rsidR="00DF06B6" w:rsidRDefault="00DF06B6" w:rsidP="00DF06B6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Galimybė jungti analizatorių į LIS</w:t>
            </w:r>
          </w:p>
          <w:p w14:paraId="7F98BC6B" w14:textId="77777777" w:rsidR="00DF06B6" w:rsidRDefault="00DF06B6" w:rsidP="00DF06B6">
            <w:pPr>
              <w:widowControl w:val="0"/>
              <w:rPr>
                <w:rFonts w:ascii="Times New Roman" w:hAnsi="Times New Roman"/>
                <w:bCs/>
                <w:color w:val="000000"/>
                <w:lang w:eastAsia="lt-LT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21814FC1" w14:textId="77777777" w:rsidR="00DF06B6" w:rsidRDefault="00DF06B6" w:rsidP="00DF06B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5A30580C" w14:textId="77777777" w:rsidR="00DF06B6" w:rsidRPr="00485CB7" w:rsidRDefault="00DF06B6" w:rsidP="00DF06B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Yra g</w:t>
            </w:r>
            <w:r w:rsidRPr="00485CB7">
              <w:rPr>
                <w:color w:val="000000"/>
                <w:sz w:val="22"/>
                <w:szCs w:val="22"/>
              </w:rPr>
              <w:t>alimybė jungti analizatorių į HIS/LIS</w:t>
            </w:r>
          </w:p>
          <w:p w14:paraId="0BAEB2A8" w14:textId="77777777" w:rsidR="00DF06B6" w:rsidRPr="00D67215" w:rsidRDefault="00DF06B6" w:rsidP="00DF06B6">
            <w:pPr>
              <w:snapToGrid w:val="0"/>
              <w:jc w:val="center"/>
              <w:rPr>
                <w:bCs/>
                <w:sz w:val="22"/>
                <w:lang w:eastAsia="lt-LT"/>
              </w:rPr>
            </w:pPr>
            <w:r w:rsidRPr="00D67215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Brošiūra_</w:t>
            </w:r>
            <w:r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9</w:t>
            </w:r>
          </w:p>
          <w:p w14:paraId="78DD74C1" w14:textId="77777777" w:rsidR="00DF06B6" w:rsidRDefault="00DF06B6" w:rsidP="00DF06B6">
            <w:pPr>
              <w:widowControl w:val="0"/>
              <w:snapToGrid w:val="0"/>
              <w:rPr>
                <w:rFonts w:ascii="Times New Roman" w:hAnsi="Times New Roman"/>
                <w:bCs/>
                <w:lang w:eastAsia="lt-LT"/>
              </w:rPr>
            </w:pPr>
          </w:p>
        </w:tc>
      </w:tr>
    </w:tbl>
    <w:p w14:paraId="20A97EBA" w14:textId="77777777" w:rsidR="0069578D" w:rsidRDefault="0069578D" w:rsidP="00E5189D">
      <w:pPr>
        <w:rPr>
          <w:rFonts w:ascii="Times New Roman" w:hAnsi="Times New Roman"/>
        </w:rPr>
      </w:pPr>
    </w:p>
    <w:sectPr w:rsidR="0069578D">
      <w:pgSz w:w="16838" w:h="11906" w:orient="landscape"/>
      <w:pgMar w:top="1134" w:right="1134" w:bottom="1134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;Yu Gothic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8D"/>
    <w:rsid w:val="000A2B7F"/>
    <w:rsid w:val="00187BF9"/>
    <w:rsid w:val="002127BB"/>
    <w:rsid w:val="00292DE7"/>
    <w:rsid w:val="003A46AF"/>
    <w:rsid w:val="00596AD0"/>
    <w:rsid w:val="0069578D"/>
    <w:rsid w:val="007508EC"/>
    <w:rsid w:val="00803DE6"/>
    <w:rsid w:val="00820390"/>
    <w:rsid w:val="008414A4"/>
    <w:rsid w:val="00C426B2"/>
    <w:rsid w:val="00D82844"/>
    <w:rsid w:val="00DB2415"/>
    <w:rsid w:val="00DF06B6"/>
    <w:rsid w:val="00E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1C8A"/>
  <w15:docId w15:val="{EE752DF2-EEC0-43A6-991A-DE089073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customStyle="1" w:styleId="Rodykl">
    <w:name w:val="Rodyklė"/>
    <w:basedOn w:val="Normal"/>
    <w:qFormat/>
    <w:pPr>
      <w:suppressLineNumbers/>
    </w:pPr>
  </w:style>
  <w:style w:type="paragraph" w:styleId="NoSpacing">
    <w:name w:val="No Spacing"/>
    <w:qFormat/>
    <w:rPr>
      <w:rFonts w:ascii="Times New Roman" w:eastAsia="Times New Roman" w:hAnsi="Times New Roman" w:cs="Times New Roman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4DB5F-6018-4753-BAC8-392EBC7F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Viešieji pirkimai</dc:creator>
  <dc:description/>
  <cp:lastModifiedBy>Sonata Balašaitienė</cp:lastModifiedBy>
  <cp:revision>6</cp:revision>
  <dcterms:created xsi:type="dcterms:W3CDTF">2024-05-02T06:35:00Z</dcterms:created>
  <dcterms:modified xsi:type="dcterms:W3CDTF">2024-05-07T06:36:00Z</dcterms:modified>
  <dc:language>lt-LT</dc:language>
</cp:coreProperties>
</file>