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48D0" w14:textId="649F9B10" w:rsidR="0078115F" w:rsidRPr="0078115F" w:rsidRDefault="0078115F" w:rsidP="0078115F">
      <w:pPr>
        <w:tabs>
          <w:tab w:val="left" w:pos="8137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4ED2F5BC" w14:textId="00203C18" w:rsidR="0078115F" w:rsidRPr="0078115F" w:rsidRDefault="00F36132" w:rsidP="0078115F">
      <w:pPr>
        <w:ind w:left="36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Techninės specifikacijos </w:t>
      </w:r>
      <w:r w:rsidR="0078115F" w:rsidRPr="0078115F">
        <w:rPr>
          <w:rFonts w:ascii="Arial" w:hAnsi="Arial" w:cs="Arial"/>
          <w:sz w:val="20"/>
          <w:szCs w:val="20"/>
        </w:rPr>
        <w:t>3 priedas</w:t>
      </w:r>
    </w:p>
    <w:p w14:paraId="0E2A0531" w14:textId="04D4BC9E" w:rsidR="0078115F" w:rsidRPr="0078115F" w:rsidRDefault="0078115F" w:rsidP="0078115F">
      <w:pPr>
        <w:jc w:val="center"/>
        <w:rPr>
          <w:rFonts w:ascii="Arial" w:hAnsi="Arial" w:cs="Arial"/>
          <w:b/>
          <w:sz w:val="20"/>
          <w:szCs w:val="20"/>
        </w:rPr>
      </w:pPr>
      <w:r w:rsidRPr="0078115F">
        <w:rPr>
          <w:rFonts w:ascii="Arial" w:hAnsi="Arial" w:cs="Arial"/>
          <w:b/>
          <w:sz w:val="20"/>
          <w:szCs w:val="20"/>
        </w:rPr>
        <w:t xml:space="preserve">VEIKLOS RODIKLIAI (KPI) IR </w:t>
      </w:r>
      <w:r w:rsidR="003200AD">
        <w:rPr>
          <w:rFonts w:ascii="Arial" w:hAnsi="Arial" w:cs="Arial"/>
          <w:b/>
          <w:sz w:val="20"/>
          <w:szCs w:val="20"/>
        </w:rPr>
        <w:t xml:space="preserve">JŲ </w:t>
      </w:r>
      <w:r w:rsidRPr="0078115F">
        <w:rPr>
          <w:rFonts w:ascii="Arial" w:hAnsi="Arial" w:cs="Arial"/>
          <w:b/>
          <w:sz w:val="20"/>
          <w:szCs w:val="20"/>
        </w:rPr>
        <w:t>PAŽEIDIMO IŠTAISYMO LAIKAS</w:t>
      </w:r>
    </w:p>
    <w:tbl>
      <w:tblPr>
        <w:tblW w:w="10774" w:type="dxa"/>
        <w:tblInd w:w="-719" w:type="dxa"/>
        <w:tblLook w:val="04A0" w:firstRow="1" w:lastRow="0" w:firstColumn="1" w:lastColumn="0" w:noHBand="0" w:noVBand="1"/>
      </w:tblPr>
      <w:tblGrid>
        <w:gridCol w:w="993"/>
        <w:gridCol w:w="2410"/>
        <w:gridCol w:w="2976"/>
        <w:gridCol w:w="2694"/>
        <w:gridCol w:w="1701"/>
      </w:tblGrid>
      <w:tr w:rsidR="0078115F" w:rsidRPr="0078115F" w14:paraId="5019F6DA" w14:textId="77777777" w:rsidTr="007836F6">
        <w:trPr>
          <w:trHeight w:val="201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7D15DEBF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Rodiklio Nr.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4B0F3D32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Rodiklis*</w:t>
            </w:r>
          </w:p>
        </w:tc>
        <w:tc>
          <w:tcPr>
            <w:tcW w:w="297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2AB9217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Paslaugų lygio aprašymas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B10378D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Matavimas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82FE2BB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Pažeidimo ištaisymo laikas</w:t>
            </w:r>
          </w:p>
        </w:tc>
      </w:tr>
      <w:tr w:rsidR="0078115F" w:rsidRPr="0078115F" w14:paraId="6502068E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F1FD7A6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53A0B599" w14:textId="2C335BEE" w:rsidR="0078115F" w:rsidRPr="0078115F" w:rsidRDefault="003200AD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Paslaugų teikimo pažeidimas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5763948F" w14:textId="0DFA0E9F" w:rsidR="0078115F" w:rsidRPr="0078115F" w:rsidRDefault="003200AD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hAnsi="Arial" w:cs="Arial"/>
                <w:bCs/>
                <w:sz w:val="18"/>
                <w:szCs w:val="18"/>
              </w:rPr>
              <w:t xml:space="preserve">įskaitant bet neapsiribojant šiais pažeidimais – nešvarumų nustatymas ir (ar) sutartų paslaugų, veiksmų, užduočių, reikalavimų, procesų dalies trūkumas, dalinis įvykdymas arba neįvykdymas, kitoks paslaugų suteikimas / nesuteikimas ne pagal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78115F">
              <w:rPr>
                <w:rFonts w:ascii="Arial" w:hAnsi="Arial" w:cs="Arial"/>
                <w:bCs/>
                <w:sz w:val="18"/>
                <w:szCs w:val="18"/>
              </w:rPr>
              <w:t xml:space="preserve">echninės specifikacijos ir kituose pirkimo dokumentuose bei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8115F">
              <w:rPr>
                <w:rFonts w:ascii="Arial" w:hAnsi="Arial" w:cs="Arial"/>
                <w:bCs/>
                <w:sz w:val="18"/>
                <w:szCs w:val="18"/>
              </w:rPr>
              <w:t>utartyje nustatytus reikalavimus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224713F5" w14:textId="3CE15A44" w:rsidR="0078115F" w:rsidRPr="0078115F" w:rsidRDefault="003200AD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Dėl pažeidimo p</w:t>
            </w:r>
            <w:r w:rsidR="001749D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ateikta pretenzija</w:t>
            </w:r>
            <w:r w:rsidR="00522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(</w:t>
            </w:r>
            <w:r w:rsidR="006A2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pateikta </w:t>
            </w:r>
            <w:r w:rsidR="00522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tiek el. paštu, tiek per sistemą)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1BD567F6" w14:textId="5BD96B70" w:rsidR="0078115F" w:rsidRPr="0078115F" w:rsidRDefault="0078115F" w:rsidP="00781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4 darbo val. 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nuo pretenzijos pateikimo 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arba per PO nurodytą kitą laiką**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pretenzijos pateikimo </w:t>
            </w:r>
          </w:p>
        </w:tc>
      </w:tr>
      <w:tr w:rsidR="0078115F" w:rsidRPr="0078115F" w14:paraId="5D73766D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19C26CA6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52CEE7D5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Darbuotojų identifikavimas ir uniforma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66A0B3D0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Darbuotojų apranga ir ID kortelės atitinka nustatytus reikalavimus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3E1F1FCF" w14:textId="6FAE0D6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Vizualus patikrinimas,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4B141B98" w14:textId="78F84ED3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0F1A77BB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31931621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72C4C45B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Higienos ir valymo priemonės bei inventorius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01ADC522" w14:textId="658B9055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Higienos ir valymo priemonių ir inventoriaus neturi trūkti, turi atitikti dokumentų reikalavimus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02705663" w14:textId="03451A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Vizualus patikrinimas, pristatymo dokumentai,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reikalavimai, gedimų skaičius, faktinis apsilankymas objekte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2AAECDD0" w14:textId="20F9B5BD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24 val. 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nuo informavimo apie neatitikimą</w:t>
            </w:r>
          </w:p>
        </w:tc>
      </w:tr>
      <w:tr w:rsidR="0078115F" w:rsidRPr="0078115F" w14:paraId="7C24CA00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5700499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356D15E2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Atliktų savikontrolės auditų kiekis (patalpos)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34ED50B3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© STAND 9100 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0F3DB574" w14:textId="0D14F444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Mėnesinė ataskaita, savikontrolės auditų kopijos,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4D66CF1F" w14:textId="5E4A64CF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48 val.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411BD56D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2A6657DD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3345887C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Atliktų savikontrolės auditų kiekis (teritorija)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0D91D6AA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© STAND 9100 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2EE4F487" w14:textId="77EB8E8C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Mėnesinė ataskaita, savikontrolės auditų kopijos,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20859E6F" w14:textId="111AACDB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48 val. 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6B58A416" w14:textId="77777777" w:rsidTr="007836F6">
        <w:trPr>
          <w:trHeight w:val="808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63D78CEA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5F45D070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Savikontrolės auditų metu nustatytas minimalus objekto priimtinas kokybės lygis (PKL) - patalpos</w:t>
            </w:r>
          </w:p>
        </w:tc>
        <w:tc>
          <w:tcPr>
            <w:tcW w:w="2976" w:type="dxa"/>
            <w:tcBorders>
              <w:top w:val="nil"/>
              <w:left w:val="nil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145A33F4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Pagal Techninės specifikacijos 1 priedą „Duomenys ir kiekiai“, 4 priedą „Techninė specifikacija pagal standartą“ ir standartą © STAND 9100 ™ </w:t>
            </w:r>
          </w:p>
        </w:tc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6387D441" w14:textId="22C88A63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Mėnesinė ataskaita, savikontrolės auditų kopijos,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6CE6BFCA" w14:textId="2EA74EED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15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211A43B0" w14:textId="77777777" w:rsidTr="007836F6">
        <w:trPr>
          <w:trHeight w:val="808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429BDC00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7053B727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Savikontrolės auditų metu nustatytas minimalus objekto priimtinas kokybės lygis (PKL) - teritorija</w:t>
            </w:r>
          </w:p>
        </w:tc>
        <w:tc>
          <w:tcPr>
            <w:tcW w:w="2976" w:type="dxa"/>
            <w:tcBorders>
              <w:top w:val="nil"/>
              <w:left w:val="nil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56A63420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Techninės specifikacijos 1 priedą „Duomenys ir kiekiai“, 4 priedą „Techninė specifikacija pagal standartą“ ir standartą © STAND 9100 ™</w:t>
            </w:r>
          </w:p>
        </w:tc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412A8B43" w14:textId="0271B423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Mėnesinė ataskaita, savikontrolės auditų kopijos,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182D68CD" w14:textId="004C5DD5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15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49DC2B69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7A367CB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22D19AB5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Vidinių auditų metu nustatytas minimalus priimtinas kokybės lygis (PKL) - patalpos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5E28E1ED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Techninės specifikacijos 1 priedą „Duomenys ir kiekiai“, 4 priedą „Techninė specifikacija pagal standartą“ ir standartą © STAND 9100 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61702892" w14:textId="5F1850B8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PO pateikta ataskaita ir nustatytas techninis paslaugos kokybės lygis,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26D16353" w14:textId="17196965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15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0BC19492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1E7A4732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5409F9CB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Vidinių auditų metu nustatytas minimalus priimtinas kokybės lygis (PKL) - teritorija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1DC0B62B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Techninės specifikacijos 1 priedą „Duomenys ir kiekiai“, 4 priedą „Techninė specifikacija pagal standartą“ ir standartą © STAND 9100 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051945CC" w14:textId="42DD90EA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PO pateikta ataskaita ir nustatytas techninis paslaugos kokybės lygis,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35976319" w14:textId="51F91B7E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15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3B4C5FDF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</w:tcPr>
          <w:p w14:paraId="1C6D5A64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A316E65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Ataskaitos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564D7C8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Techninės specifikacijos 4 priedą „Techninė specifikacija pagal standartą“ ir standartą © STAND 9100 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48B6EB3F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Ataskaitos turinys, atitinkantis standarto © STAND 9100 ™ reikalavimus, pateikimo data, atitinkanti Techninės specifikacijos 4 priedą „Techninė specifikacija pagal standartą“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2C6BB6B1" w14:textId="14ECE67B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24 h.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1C09AB91" w14:textId="77777777" w:rsidTr="007836F6">
        <w:trPr>
          <w:trHeight w:val="201"/>
        </w:trPr>
        <w:tc>
          <w:tcPr>
            <w:tcW w:w="9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</w:tcPr>
          <w:p w14:paraId="7C06B0FF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27C10F50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Visos paslaugos pradedamos teikti ir suteikiamos Pirkėjo nurodytu laiku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34754076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Paslaugos turi būti teikiamos Pirkėjo nurodytu laiku (t. y. dienomis ir valandomis)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1136C4E3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Techninės specifikacijos reikalavimai, darbuotojų pasirašymo registrai, faktinis apsilankymas objekte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7D2C0005" w14:textId="153D8905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 val.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</w:t>
            </w:r>
            <w:r w:rsidR="005C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pažeidimą</w:t>
            </w:r>
          </w:p>
        </w:tc>
      </w:tr>
    </w:tbl>
    <w:p w14:paraId="3A0794F2" w14:textId="0DA13F90" w:rsidR="0078115F" w:rsidRPr="0078115F" w:rsidRDefault="0078115F" w:rsidP="0078115F">
      <w:pPr>
        <w:tabs>
          <w:tab w:val="left" w:pos="567"/>
          <w:tab w:val="left" w:pos="851"/>
        </w:tabs>
        <w:spacing w:line="240" w:lineRule="auto"/>
        <w:ind w:left="-567" w:right="-285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115F">
        <w:rPr>
          <w:rFonts w:ascii="Arial" w:hAnsi="Arial" w:cs="Arial"/>
          <w:bCs/>
          <w:sz w:val="18"/>
          <w:szCs w:val="18"/>
        </w:rPr>
        <w:t xml:space="preserve">* Rodiklių taikymo metodika: kai nustatomas pažeidimas/ neatitikimas savo turiniu atitinkantis vieną lentelės „Raktiniai veiklos rodikliai (KPI) ir pažeidimo ištaisymo laikas“ 2-11 p. nurodytų rodiklių – taikomos šio rodiklio pažeidimo ištaisymo laikas, o pažeidimo nepašalinus, sankcijos nurodytos Sutarties specialios dalies </w:t>
      </w:r>
      <w:r w:rsidRPr="0078115F">
        <w:rPr>
          <w:rFonts w:ascii="Arial" w:hAnsi="Arial" w:cs="Arial"/>
          <w:sz w:val="18"/>
          <w:szCs w:val="18"/>
        </w:rPr>
        <w:t>3 dalyje „Paslaugų kokybė“.</w:t>
      </w:r>
      <w:r w:rsidR="001749D8">
        <w:rPr>
          <w:rFonts w:ascii="Arial" w:hAnsi="Arial" w:cs="Arial"/>
          <w:sz w:val="18"/>
          <w:szCs w:val="18"/>
        </w:rPr>
        <w:t xml:space="preserve"> Šių rodiklių laikymasis yra esminė sutarties sąlygą.</w:t>
      </w:r>
    </w:p>
    <w:p w14:paraId="4FE9D564" w14:textId="4018050F" w:rsidR="0078115F" w:rsidRPr="0078115F" w:rsidRDefault="0078115F" w:rsidP="0078115F">
      <w:pPr>
        <w:tabs>
          <w:tab w:val="left" w:pos="567"/>
          <w:tab w:val="left" w:pos="851"/>
        </w:tabs>
        <w:spacing w:line="240" w:lineRule="auto"/>
        <w:ind w:left="-567" w:right="-285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115F">
        <w:rPr>
          <w:rFonts w:ascii="Arial" w:hAnsi="Arial" w:cs="Arial"/>
          <w:bCs/>
          <w:sz w:val="18"/>
          <w:szCs w:val="18"/>
        </w:rPr>
        <w:lastRenderedPageBreak/>
        <w:t xml:space="preserve">Kai nustatomas pažeidimas / neatitikimas, taikomos </w:t>
      </w:r>
      <w:r w:rsidR="001749D8">
        <w:rPr>
          <w:rFonts w:ascii="Arial" w:hAnsi="Arial" w:cs="Arial"/>
          <w:bCs/>
          <w:sz w:val="18"/>
          <w:szCs w:val="18"/>
        </w:rPr>
        <w:t xml:space="preserve">konkretaus </w:t>
      </w:r>
      <w:r w:rsidR="003200AD">
        <w:rPr>
          <w:rFonts w:ascii="Arial" w:hAnsi="Arial" w:cs="Arial"/>
          <w:bCs/>
          <w:sz w:val="18"/>
          <w:szCs w:val="18"/>
        </w:rPr>
        <w:t xml:space="preserve">lentelėje nurodyto </w:t>
      </w:r>
      <w:r w:rsidRPr="0078115F">
        <w:rPr>
          <w:rFonts w:ascii="Arial" w:hAnsi="Arial" w:cs="Arial"/>
          <w:bCs/>
          <w:sz w:val="18"/>
          <w:szCs w:val="18"/>
        </w:rPr>
        <w:t xml:space="preserve">rodiklio pažeidimo ištaisymo laikas, o pažeidimo nepašalinus, sankcijos nurodytos Sutarties specialios dalies </w:t>
      </w:r>
      <w:r w:rsidRPr="0078115F">
        <w:rPr>
          <w:rFonts w:ascii="Arial" w:hAnsi="Arial" w:cs="Arial"/>
          <w:sz w:val="18"/>
          <w:szCs w:val="18"/>
        </w:rPr>
        <w:t>3 dalyje „Paslaugų kokybė“.</w:t>
      </w:r>
    </w:p>
    <w:p w14:paraId="58AC301F" w14:textId="58AA9498" w:rsidR="0078115F" w:rsidRPr="0078115F" w:rsidRDefault="0078115F" w:rsidP="0078115F">
      <w:pPr>
        <w:tabs>
          <w:tab w:val="left" w:pos="567"/>
          <w:tab w:val="left" w:pos="851"/>
        </w:tabs>
        <w:spacing w:line="240" w:lineRule="auto"/>
        <w:ind w:left="-567" w:right="-285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115F">
        <w:rPr>
          <w:rFonts w:ascii="Arial" w:hAnsi="Arial" w:cs="Arial"/>
          <w:bCs/>
          <w:sz w:val="18"/>
          <w:szCs w:val="18"/>
        </w:rPr>
        <w:t xml:space="preserve">** </w:t>
      </w:r>
      <w:r w:rsidR="001749D8">
        <w:rPr>
          <w:rFonts w:ascii="Arial" w:hAnsi="Arial" w:cs="Arial"/>
          <w:bCs/>
          <w:sz w:val="18"/>
          <w:szCs w:val="18"/>
        </w:rPr>
        <w:t>Pirkėjas</w:t>
      </w:r>
      <w:r w:rsidRPr="0078115F">
        <w:rPr>
          <w:rFonts w:ascii="Arial" w:hAnsi="Arial" w:cs="Arial"/>
          <w:bCs/>
          <w:sz w:val="18"/>
          <w:szCs w:val="18"/>
        </w:rPr>
        <w:t xml:space="preserve"> gali pratęsti pretenzijo</w:t>
      </w:r>
      <w:r w:rsidR="003200AD">
        <w:rPr>
          <w:rFonts w:ascii="Arial" w:hAnsi="Arial" w:cs="Arial"/>
          <w:bCs/>
          <w:sz w:val="18"/>
          <w:szCs w:val="18"/>
        </w:rPr>
        <w:t>je nurodytų pažeidimų</w:t>
      </w:r>
      <w:r w:rsidRPr="0078115F">
        <w:rPr>
          <w:rFonts w:ascii="Arial" w:hAnsi="Arial" w:cs="Arial"/>
          <w:bCs/>
          <w:sz w:val="18"/>
          <w:szCs w:val="18"/>
        </w:rPr>
        <w:t xml:space="preserve"> pašalinimo laiką, jeigu per 4 </w:t>
      </w:r>
      <w:r w:rsidR="005A3C18">
        <w:rPr>
          <w:rFonts w:ascii="Arial" w:hAnsi="Arial" w:cs="Arial"/>
          <w:bCs/>
          <w:sz w:val="18"/>
          <w:szCs w:val="18"/>
        </w:rPr>
        <w:t xml:space="preserve">darbo </w:t>
      </w:r>
      <w:r w:rsidRPr="0078115F">
        <w:rPr>
          <w:rFonts w:ascii="Arial" w:hAnsi="Arial" w:cs="Arial"/>
          <w:bCs/>
          <w:sz w:val="18"/>
          <w:szCs w:val="18"/>
        </w:rPr>
        <w:t xml:space="preserve">val. Teikėjui objektyviai neįmanoma pašalinti </w:t>
      </w:r>
      <w:r w:rsidR="003200AD">
        <w:rPr>
          <w:rFonts w:ascii="Arial" w:hAnsi="Arial" w:cs="Arial"/>
          <w:bCs/>
          <w:sz w:val="18"/>
          <w:szCs w:val="18"/>
        </w:rPr>
        <w:t>pažeidimo</w:t>
      </w:r>
      <w:r w:rsidRPr="0078115F">
        <w:rPr>
          <w:rFonts w:ascii="Arial" w:hAnsi="Arial" w:cs="Arial"/>
          <w:bCs/>
          <w:sz w:val="18"/>
          <w:szCs w:val="18"/>
        </w:rPr>
        <w:t xml:space="preserve"> dėl patalpų</w:t>
      </w:r>
      <w:r w:rsidR="003200AD">
        <w:rPr>
          <w:rFonts w:ascii="Arial" w:hAnsi="Arial" w:cs="Arial"/>
          <w:bCs/>
          <w:sz w:val="18"/>
          <w:szCs w:val="18"/>
        </w:rPr>
        <w:t>, kuriose nustatytas pažeidimas</w:t>
      </w:r>
      <w:r w:rsidRPr="0078115F">
        <w:rPr>
          <w:rFonts w:ascii="Arial" w:hAnsi="Arial" w:cs="Arial"/>
          <w:bCs/>
          <w:sz w:val="18"/>
          <w:szCs w:val="18"/>
        </w:rPr>
        <w:t xml:space="preserve"> apkrautumo ar intensyvaus lankytojų skaičiaus). Tiekėjo darbuotojų trūkumas ir (ar) sirgimas ir (ar) neatvykimas į darbą</w:t>
      </w:r>
      <w:r w:rsidR="003200AD">
        <w:rPr>
          <w:rFonts w:ascii="Arial" w:hAnsi="Arial" w:cs="Arial"/>
          <w:bCs/>
          <w:sz w:val="18"/>
          <w:szCs w:val="18"/>
        </w:rPr>
        <w:t>, įrango, kurią naudoja paslaugoms teikti gedimai ir visos kitos priežastys</w:t>
      </w:r>
      <w:r w:rsidRPr="0078115F">
        <w:rPr>
          <w:rFonts w:ascii="Arial" w:hAnsi="Arial" w:cs="Arial"/>
          <w:bCs/>
          <w:sz w:val="18"/>
          <w:szCs w:val="18"/>
        </w:rPr>
        <w:t xml:space="preserve"> nėra laikomas objektyvia priežastimi</w:t>
      </w:r>
      <w:r w:rsidR="003200AD">
        <w:rPr>
          <w:rFonts w:ascii="Arial" w:hAnsi="Arial" w:cs="Arial"/>
          <w:bCs/>
          <w:sz w:val="18"/>
          <w:szCs w:val="18"/>
        </w:rPr>
        <w:t xml:space="preserve"> dėl, kurios Pirkėjas pratęstų pažeidimo šalinimo terminą</w:t>
      </w:r>
      <w:r w:rsidRPr="0078115F">
        <w:rPr>
          <w:rFonts w:ascii="Arial" w:hAnsi="Arial" w:cs="Arial"/>
          <w:bCs/>
          <w:sz w:val="18"/>
          <w:szCs w:val="18"/>
        </w:rPr>
        <w:t>. Pretenzijo</w:t>
      </w:r>
      <w:r w:rsidR="003200AD">
        <w:rPr>
          <w:rFonts w:ascii="Arial" w:hAnsi="Arial" w:cs="Arial"/>
          <w:bCs/>
          <w:sz w:val="18"/>
          <w:szCs w:val="18"/>
        </w:rPr>
        <w:t>je nurodyto</w:t>
      </w:r>
      <w:r w:rsidRPr="0078115F">
        <w:rPr>
          <w:rFonts w:ascii="Arial" w:hAnsi="Arial" w:cs="Arial"/>
          <w:bCs/>
          <w:sz w:val="18"/>
          <w:szCs w:val="18"/>
        </w:rPr>
        <w:t xml:space="preserve"> </w:t>
      </w:r>
      <w:r w:rsidR="003200AD">
        <w:rPr>
          <w:rFonts w:ascii="Arial" w:hAnsi="Arial" w:cs="Arial"/>
          <w:bCs/>
          <w:sz w:val="18"/>
          <w:szCs w:val="18"/>
        </w:rPr>
        <w:t>pažeidimo</w:t>
      </w:r>
      <w:r w:rsidRPr="0078115F">
        <w:rPr>
          <w:rFonts w:ascii="Arial" w:hAnsi="Arial" w:cs="Arial"/>
          <w:bCs/>
          <w:sz w:val="18"/>
          <w:szCs w:val="18"/>
        </w:rPr>
        <w:t xml:space="preserve"> laikotarpį galima pratęsti tik</w:t>
      </w:r>
      <w:r w:rsidR="003200AD">
        <w:rPr>
          <w:rFonts w:ascii="Arial" w:hAnsi="Arial" w:cs="Arial"/>
          <w:bCs/>
          <w:sz w:val="18"/>
          <w:szCs w:val="18"/>
        </w:rPr>
        <w:t xml:space="preserve"> esant šiame punkte nurodytoms objektyvioms aplinkybės ir tik</w:t>
      </w:r>
      <w:r w:rsidRPr="0078115F">
        <w:rPr>
          <w:rFonts w:ascii="Arial" w:hAnsi="Arial" w:cs="Arial"/>
          <w:bCs/>
          <w:sz w:val="18"/>
          <w:szCs w:val="18"/>
        </w:rPr>
        <w:t xml:space="preserve"> tuo atveju, jeigu pretenzija nėra susijusi su saugia darbo aplinka ir nekelia rizikos aplinkai ir žmonių sveikatai.</w:t>
      </w:r>
    </w:p>
    <w:p w14:paraId="4090223F" w14:textId="77777777" w:rsidR="0078115F" w:rsidRDefault="0078115F" w:rsidP="0078115F">
      <w:pPr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7FB56D5" w14:textId="77777777" w:rsidR="002808E5" w:rsidRPr="002808E5" w:rsidRDefault="002808E5" w:rsidP="002808E5">
      <w:pPr>
        <w:rPr>
          <w:rFonts w:ascii="Arial" w:hAnsi="Arial" w:cs="Arial"/>
          <w:sz w:val="16"/>
          <w:szCs w:val="16"/>
        </w:rPr>
      </w:pPr>
    </w:p>
    <w:p w14:paraId="2DD57A2A" w14:textId="5C299913" w:rsidR="0078115F" w:rsidRPr="0078115F" w:rsidRDefault="002808E5" w:rsidP="002808E5">
      <w:pPr>
        <w:tabs>
          <w:tab w:val="left" w:pos="2865"/>
        </w:tabs>
        <w:rPr>
          <w:rFonts w:ascii="Arial" w:hAnsi="Arial" w:cs="Arial"/>
          <w:sz w:val="16"/>
          <w:szCs w:val="16"/>
        </w:rPr>
        <w:sectPr w:rsidR="0078115F" w:rsidRPr="0078115F" w:rsidSect="00235943">
          <w:footerReference w:type="default" r:id="rId10"/>
          <w:pgSz w:w="11906" w:h="16838"/>
          <w:pgMar w:top="1134" w:right="567" w:bottom="1134" w:left="1134" w:header="708" w:footer="371" w:gutter="0"/>
          <w:cols w:sep="1" w:space="1298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p w14:paraId="71BC5D9E" w14:textId="77777777" w:rsidR="0078115F" w:rsidRPr="0078115F" w:rsidRDefault="0078115F" w:rsidP="0078115F">
      <w:pPr>
        <w:rPr>
          <w:rFonts w:ascii="Arial" w:hAnsi="Arial" w:cs="Arial"/>
          <w:sz w:val="16"/>
          <w:szCs w:val="16"/>
        </w:rPr>
      </w:pPr>
    </w:p>
    <w:sectPr w:rsidR="0078115F" w:rsidRPr="0078115F" w:rsidSect="002808E5">
      <w:type w:val="continuous"/>
      <w:pgSz w:w="11906" w:h="16838"/>
      <w:pgMar w:top="1134" w:right="567" w:bottom="1134" w:left="1134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A6AC" w14:textId="77777777" w:rsidR="00AC0AEC" w:rsidRDefault="00AC0AEC">
      <w:pPr>
        <w:spacing w:after="0" w:line="240" w:lineRule="auto"/>
      </w:pPr>
      <w:r>
        <w:separator/>
      </w:r>
    </w:p>
  </w:endnote>
  <w:endnote w:type="continuationSeparator" w:id="0">
    <w:p w14:paraId="586091C0" w14:textId="77777777" w:rsidR="00AC0AEC" w:rsidRDefault="00AC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7F7C" w14:textId="77777777" w:rsidR="0078115F" w:rsidRPr="00D61141" w:rsidRDefault="0078115F">
    <w:pPr>
      <w:pStyle w:val="Footer"/>
      <w:jc w:val="center"/>
      <w:rPr>
        <w:rFonts w:ascii="Franklin Gothic Book" w:hAnsi="Franklin Gothic Book"/>
        <w:sz w:val="16"/>
        <w:szCs w:val="16"/>
      </w:rPr>
    </w:pPr>
    <w:r w:rsidRPr="00D61141">
      <w:rPr>
        <w:rFonts w:ascii="Franklin Gothic Book" w:hAnsi="Franklin Gothic Book"/>
        <w:sz w:val="16"/>
        <w:szCs w:val="16"/>
      </w:rPr>
      <w:fldChar w:fldCharType="begin"/>
    </w:r>
    <w:r w:rsidRPr="00D61141">
      <w:rPr>
        <w:rFonts w:ascii="Franklin Gothic Book" w:hAnsi="Franklin Gothic Book"/>
        <w:sz w:val="16"/>
        <w:szCs w:val="16"/>
      </w:rPr>
      <w:instrText>PAGE   \* MERGEFORMAT</w:instrText>
    </w:r>
    <w:r w:rsidRPr="00D61141">
      <w:rPr>
        <w:rFonts w:ascii="Franklin Gothic Book" w:hAnsi="Franklin Gothic Book"/>
        <w:sz w:val="16"/>
        <w:szCs w:val="16"/>
      </w:rPr>
      <w:fldChar w:fldCharType="separate"/>
    </w:r>
    <w:r>
      <w:rPr>
        <w:rFonts w:ascii="Franklin Gothic Book" w:hAnsi="Franklin Gothic Book"/>
        <w:noProof/>
        <w:sz w:val="16"/>
        <w:szCs w:val="16"/>
      </w:rPr>
      <w:t>16</w:t>
    </w:r>
    <w:r w:rsidRPr="00D61141">
      <w:rPr>
        <w:rFonts w:ascii="Franklin Gothic Book" w:hAnsi="Franklin Gothic Book"/>
        <w:sz w:val="16"/>
        <w:szCs w:val="16"/>
      </w:rPr>
      <w:fldChar w:fldCharType="end"/>
    </w:r>
  </w:p>
  <w:p w14:paraId="703C9781" w14:textId="77777777" w:rsidR="0078115F" w:rsidRPr="00E328DA" w:rsidRDefault="0078115F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571B" w14:textId="77777777" w:rsidR="00AC0AEC" w:rsidRDefault="00AC0AEC">
      <w:pPr>
        <w:spacing w:after="0" w:line="240" w:lineRule="auto"/>
      </w:pPr>
      <w:r>
        <w:separator/>
      </w:r>
    </w:p>
  </w:footnote>
  <w:footnote w:type="continuationSeparator" w:id="0">
    <w:p w14:paraId="083DF5CE" w14:textId="77777777" w:rsidR="00AC0AEC" w:rsidRDefault="00AC0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0F1"/>
    <w:multiLevelType w:val="multilevel"/>
    <w:tmpl w:val="42680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DA57E7"/>
    <w:multiLevelType w:val="hybridMultilevel"/>
    <w:tmpl w:val="068444E6"/>
    <w:lvl w:ilvl="0" w:tplc="65562C96">
      <w:start w:val="4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593954"/>
    <w:multiLevelType w:val="hybridMultilevel"/>
    <w:tmpl w:val="357E6F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7D0713"/>
    <w:multiLevelType w:val="multilevel"/>
    <w:tmpl w:val="F75669F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F33D9C"/>
    <w:multiLevelType w:val="hybridMultilevel"/>
    <w:tmpl w:val="88386E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A2C2A"/>
    <w:multiLevelType w:val="hybridMultilevel"/>
    <w:tmpl w:val="F01886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462732">
    <w:abstractNumId w:val="3"/>
  </w:num>
  <w:num w:numId="2" w16cid:durableId="1975403805">
    <w:abstractNumId w:val="5"/>
  </w:num>
  <w:num w:numId="3" w16cid:durableId="485053040">
    <w:abstractNumId w:val="6"/>
  </w:num>
  <w:num w:numId="4" w16cid:durableId="1325236061">
    <w:abstractNumId w:val="0"/>
  </w:num>
  <w:num w:numId="5" w16cid:durableId="1768307033">
    <w:abstractNumId w:val="2"/>
  </w:num>
  <w:num w:numId="6" w16cid:durableId="943851419">
    <w:abstractNumId w:val="7"/>
  </w:num>
  <w:num w:numId="7" w16cid:durableId="1872498660">
    <w:abstractNumId w:val="4"/>
  </w:num>
  <w:num w:numId="8" w16cid:durableId="97166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5"/>
    <w:rsid w:val="0003163E"/>
    <w:rsid w:val="00067B80"/>
    <w:rsid w:val="00072CC2"/>
    <w:rsid w:val="00093E58"/>
    <w:rsid w:val="000C53C8"/>
    <w:rsid w:val="000D3442"/>
    <w:rsid w:val="00123AA5"/>
    <w:rsid w:val="00147B5A"/>
    <w:rsid w:val="001749D8"/>
    <w:rsid w:val="00193B5B"/>
    <w:rsid w:val="001945A2"/>
    <w:rsid w:val="001B5A24"/>
    <w:rsid w:val="001C163C"/>
    <w:rsid w:val="001D36EE"/>
    <w:rsid w:val="002251FC"/>
    <w:rsid w:val="00234B1F"/>
    <w:rsid w:val="002808E5"/>
    <w:rsid w:val="003200AD"/>
    <w:rsid w:val="003669CD"/>
    <w:rsid w:val="0037617A"/>
    <w:rsid w:val="0039360A"/>
    <w:rsid w:val="003A5932"/>
    <w:rsid w:val="00405F11"/>
    <w:rsid w:val="0042199C"/>
    <w:rsid w:val="00425658"/>
    <w:rsid w:val="004E1014"/>
    <w:rsid w:val="004E2A12"/>
    <w:rsid w:val="004E7465"/>
    <w:rsid w:val="00522340"/>
    <w:rsid w:val="00522C8E"/>
    <w:rsid w:val="00534560"/>
    <w:rsid w:val="00556D89"/>
    <w:rsid w:val="00563A62"/>
    <w:rsid w:val="00584D5C"/>
    <w:rsid w:val="005A3C18"/>
    <w:rsid w:val="005B6DCC"/>
    <w:rsid w:val="005C77B4"/>
    <w:rsid w:val="0062574D"/>
    <w:rsid w:val="00626816"/>
    <w:rsid w:val="00635C24"/>
    <w:rsid w:val="0065645A"/>
    <w:rsid w:val="00665517"/>
    <w:rsid w:val="00683932"/>
    <w:rsid w:val="006A24B8"/>
    <w:rsid w:val="006C33C5"/>
    <w:rsid w:val="006E3342"/>
    <w:rsid w:val="006E7224"/>
    <w:rsid w:val="006F2636"/>
    <w:rsid w:val="007041B9"/>
    <w:rsid w:val="00704944"/>
    <w:rsid w:val="0072605C"/>
    <w:rsid w:val="00764BAE"/>
    <w:rsid w:val="0078115F"/>
    <w:rsid w:val="007B2EDB"/>
    <w:rsid w:val="007B524C"/>
    <w:rsid w:val="00876551"/>
    <w:rsid w:val="00884C71"/>
    <w:rsid w:val="008B7B4C"/>
    <w:rsid w:val="008D3C23"/>
    <w:rsid w:val="009013A9"/>
    <w:rsid w:val="009625A6"/>
    <w:rsid w:val="009A4FE4"/>
    <w:rsid w:val="009E4BAC"/>
    <w:rsid w:val="009E5A85"/>
    <w:rsid w:val="00A02CC8"/>
    <w:rsid w:val="00A1190C"/>
    <w:rsid w:val="00A11FD2"/>
    <w:rsid w:val="00A8639C"/>
    <w:rsid w:val="00AC0AEC"/>
    <w:rsid w:val="00AE616C"/>
    <w:rsid w:val="00AF0ECA"/>
    <w:rsid w:val="00B25DBE"/>
    <w:rsid w:val="00B42150"/>
    <w:rsid w:val="00B83240"/>
    <w:rsid w:val="00C269BB"/>
    <w:rsid w:val="00C40731"/>
    <w:rsid w:val="00C5070F"/>
    <w:rsid w:val="00C7140D"/>
    <w:rsid w:val="00C720FF"/>
    <w:rsid w:val="00CA1A78"/>
    <w:rsid w:val="00CB7471"/>
    <w:rsid w:val="00D2681F"/>
    <w:rsid w:val="00D30AB4"/>
    <w:rsid w:val="00D637C7"/>
    <w:rsid w:val="00D9370C"/>
    <w:rsid w:val="00E0747E"/>
    <w:rsid w:val="00E30A26"/>
    <w:rsid w:val="00E51470"/>
    <w:rsid w:val="00E544A0"/>
    <w:rsid w:val="00EA5ED9"/>
    <w:rsid w:val="00EA682A"/>
    <w:rsid w:val="00EF2711"/>
    <w:rsid w:val="00F1580F"/>
    <w:rsid w:val="00F31ADF"/>
    <w:rsid w:val="00F36132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6632"/>
  <w15:chartTrackingRefBased/>
  <w15:docId w15:val="{74489B0D-FA4F-4BD9-99AF-6AA6FA7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5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5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5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5F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5F"/>
    <w:rPr>
      <w:rFonts w:ascii="Calibri Light" w:eastAsia="Times New Roman" w:hAnsi="Calibri Light" w:cs="Times New Roman"/>
      <w:color w:val="1F3763"/>
      <w:sz w:val="24"/>
      <w:szCs w:val="24"/>
    </w:rPr>
  </w:style>
  <w:style w:type="table" w:styleId="TableGrid">
    <w:name w:val="Table Grid"/>
    <w:basedOn w:val="TableNormal"/>
    <w:uiPriority w:val="39"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List not in Table,Sąrašo pastraipa2"/>
    <w:basedOn w:val="Normal"/>
    <w:link w:val="ListParagraphChar"/>
    <w:uiPriority w:val="34"/>
    <w:qFormat/>
    <w:rsid w:val="0078115F"/>
    <w:pPr>
      <w:ind w:left="720"/>
      <w:contextualSpacing/>
    </w:p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8115F"/>
  </w:style>
  <w:style w:type="character" w:styleId="CommentReference">
    <w:name w:val="annotation reference"/>
    <w:basedOn w:val="DefaultParagraphFont"/>
    <w:uiPriority w:val="99"/>
    <w:unhideWhenUsed/>
    <w:rsid w:val="00781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81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811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8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11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1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,En-tête-1,En-tête-2,hd,Header 2,Diagrama,Diagrama Char"/>
    <w:basedOn w:val="Normal"/>
    <w:link w:val="Head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,En-tête-1 Char,En-tête-2 Char,hd Char,Header 2 Char"/>
    <w:basedOn w:val="DefaultParagraphFont"/>
    <w:link w:val="Header"/>
    <w:uiPriority w:val="99"/>
    <w:rsid w:val="007811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115F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8115F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1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8115F"/>
    <w:rPr>
      <w:color w:val="0000FF"/>
      <w:u w:val="single"/>
    </w:rPr>
  </w:style>
  <w:style w:type="character" w:customStyle="1" w:styleId="Bodytext">
    <w:name w:val="Body text_"/>
    <w:link w:val="Bodytext1"/>
    <w:rsid w:val="0078115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78115F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apple-tab-span">
    <w:name w:val="apple-tab-span"/>
    <w:rsid w:val="0078115F"/>
  </w:style>
  <w:style w:type="table" w:customStyle="1" w:styleId="4tinkleliolentel3parykinimas1">
    <w:name w:val="4 tinklelio lentelė – 3 paryškinimas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811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115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1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115F"/>
    <w:rPr>
      <w:vertAlign w:val="superscript"/>
    </w:rPr>
  </w:style>
  <w:style w:type="table" w:customStyle="1" w:styleId="GridTable4-Accent31">
    <w:name w:val="Grid Table 4 - Accent 3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owc">
    <w:name w:val="sowc"/>
    <w:basedOn w:val="DefaultParagraphFont"/>
    <w:rsid w:val="0078115F"/>
  </w:style>
  <w:style w:type="paragraph" w:customStyle="1" w:styleId="My">
    <w:name w:val="My"/>
    <w:rsid w:val="0078115F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customStyle="1" w:styleId="MyHeadtitle">
    <w:name w:val="My Head title"/>
    <w:basedOn w:val="Heading1"/>
    <w:rsid w:val="0078115F"/>
    <w:pPr>
      <w:spacing w:before="240" w:after="60"/>
    </w:pPr>
    <w:rPr>
      <w:rFonts w:ascii="Verdana" w:eastAsia="Batang" w:hAnsi="Verdana"/>
      <w:kern w:val="32"/>
      <w:sz w:val="36"/>
      <w:szCs w:val="32"/>
      <w:lang w:eastAsia="lt-LT"/>
    </w:rPr>
  </w:style>
  <w:style w:type="paragraph" w:customStyle="1" w:styleId="Mysubhead">
    <w:name w:val="My subhead"/>
    <w:basedOn w:val="MyHeadtitle"/>
    <w:rsid w:val="0078115F"/>
    <w:pPr>
      <w:jc w:val="right"/>
    </w:pPr>
    <w:rPr>
      <w:sz w:val="32"/>
    </w:rPr>
  </w:style>
  <w:style w:type="paragraph" w:styleId="NormalWeb">
    <w:name w:val="Normal (Web)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Emphasis">
    <w:name w:val="Emphasis"/>
    <w:uiPriority w:val="20"/>
    <w:qFormat/>
    <w:rsid w:val="0078115F"/>
    <w:rPr>
      <w:i/>
      <w:iCs/>
    </w:rPr>
  </w:style>
  <w:style w:type="character" w:customStyle="1" w:styleId="sts-std-title">
    <w:name w:val="sts-std-title"/>
    <w:basedOn w:val="DefaultParagraphFont"/>
    <w:rsid w:val="0078115F"/>
  </w:style>
  <w:style w:type="paragraph" w:styleId="HTMLPreformatted">
    <w:name w:val="HTML Preformatted"/>
    <w:basedOn w:val="Normal"/>
    <w:link w:val="HTMLPreformattedChar"/>
    <w:uiPriority w:val="99"/>
    <w:unhideWhenUsed/>
    <w:rsid w:val="0078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15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15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msonormal0">
    <w:name w:val="msonormal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6">
    <w:name w:val="xl6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7">
    <w:name w:val="xl67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8">
    <w:name w:val="xl68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9">
    <w:name w:val="xl69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0">
    <w:name w:val="xl70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1">
    <w:name w:val="xl71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2">
    <w:name w:val="xl72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3">
    <w:name w:val="xl73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4">
    <w:name w:val="xl74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5">
    <w:name w:val="xl7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6">
    <w:name w:val="xl7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7">
    <w:name w:val="xl77"/>
    <w:basedOn w:val="Normal"/>
    <w:rsid w:val="0078115F"/>
    <w:pPr>
      <w:pBdr>
        <w:top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8">
    <w:name w:val="xl78"/>
    <w:basedOn w:val="Normal"/>
    <w:rsid w:val="0078115F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9">
    <w:name w:val="xl79"/>
    <w:basedOn w:val="Normal"/>
    <w:rsid w:val="0078115F"/>
    <w:pPr>
      <w:pBdr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0">
    <w:name w:val="xl80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1">
    <w:name w:val="xl81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2">
    <w:name w:val="xl82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3">
    <w:name w:val="xl83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4">
    <w:name w:val="xl84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5">
    <w:name w:val="xl85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6">
    <w:name w:val="xl86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7">
    <w:name w:val="xl87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8">
    <w:name w:val="xl88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9">
    <w:name w:val="xl89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0">
    <w:name w:val="xl90"/>
    <w:basedOn w:val="Normal"/>
    <w:rsid w:val="0078115F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12"/>
      <w:szCs w:val="12"/>
      <w:lang w:eastAsia="lt-LT"/>
    </w:rPr>
  </w:style>
  <w:style w:type="paragraph" w:customStyle="1" w:styleId="xl91">
    <w:name w:val="xl91"/>
    <w:basedOn w:val="Normal"/>
    <w:rsid w:val="0078115F"/>
    <w:pPr>
      <w:pBdr>
        <w:top w:val="single" w:sz="8" w:space="0" w:color="FFFFFF"/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2">
    <w:name w:val="xl92"/>
    <w:basedOn w:val="Normal"/>
    <w:rsid w:val="0078115F"/>
    <w:pPr>
      <w:pBdr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3">
    <w:name w:val="xl93"/>
    <w:basedOn w:val="Normal"/>
    <w:rsid w:val="0078115F"/>
    <w:pPr>
      <w:pBdr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styleId="Revision">
    <w:name w:val="Revision"/>
    <w:hidden/>
    <w:uiPriority w:val="99"/>
    <w:semiHidden/>
    <w:rsid w:val="00234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95895-949A-4FEA-A8C2-3AA2E1C8A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A90A2-47C0-425A-8A2B-FA565CDDC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E77E38-860D-4744-B8B7-20EFC96E0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3273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2023-05-12T06:55:00Z</dcterms:created>
  <dc:creator>Vaidas Vaznys</dc:creator>
  <cp:lastModifiedBy>Renata Zailskė</cp:lastModifiedBy>
  <dcterms:modified xsi:type="dcterms:W3CDTF">2023-05-12T11:45:00Z</dcterms:modified>
  <cp:revision>4</cp:revision>
</cp:coreProperties>
</file>