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7513" w:hanging="0"/>
        <w:rPr>
          <w:rFonts w:cs="Calibri"/>
        </w:rPr>
      </w:pPr>
      <w:r>
        <w:rPr>
          <w:b/>
        </w:rPr>
      </w:r>
    </w:p>
    <w:p>
      <w:pPr>
        <w:pStyle w:val="Normal"/>
        <w:spacing w:lineRule="auto" w:line="240"/>
        <w:ind w:hanging="0"/>
        <w:jc w:val="center"/>
        <w:rPr/>
      </w:pPr>
      <w:r>
        <w:rPr>
          <w:b/>
        </w:rPr>
        <w:t xml:space="preserve">RANGOS SUTARTIS </w:t>
      </w:r>
    </w:p>
    <w:p>
      <w:pPr>
        <w:pStyle w:val="Normal"/>
        <w:spacing w:lineRule="auto" w:line="240"/>
        <w:ind w:hanging="0"/>
        <w:jc w:val="center"/>
        <w:rPr/>
      </w:pPr>
      <w:r>
        <w:rPr/>
        <w:t>2024 m. _________________  d. Nr.</w:t>
      </w:r>
    </w:p>
    <w:p>
      <w:pPr>
        <w:pStyle w:val="Normal"/>
        <w:spacing w:lineRule="auto" w:line="240"/>
        <w:ind w:hanging="0"/>
        <w:jc w:val="center"/>
        <w:rPr>
          <w:rFonts w:ascii="Calibri" w:hAnsi="Calibri"/>
        </w:rPr>
      </w:pPr>
      <w:r>
        <w:rPr/>
        <w:t>Prienai</w:t>
      </w:r>
    </w:p>
    <w:p>
      <w:pPr>
        <w:pStyle w:val="Pagrindinistekstas"/>
        <w:spacing w:lineRule="auto" w:line="240"/>
        <w:ind w:firstLine="856"/>
        <w:rPr>
          <w:szCs w:val="21"/>
        </w:rPr>
      </w:pPr>
      <w:r>
        <w:rPr>
          <w:szCs w:val="21"/>
        </w:rPr>
      </w:r>
    </w:p>
    <w:p>
      <w:pPr>
        <w:pStyle w:val="Pagrindinistekstas"/>
        <w:spacing w:lineRule="auto" w:line="240"/>
        <w:rPr/>
      </w:pPr>
      <w:r>
        <w:rPr/>
        <w:t>Prienų rajono savivaldybės administracija (toliau – Užsakovas), kodas 288742590, atstovaujama administracijos direktorės Jūratės Mickevičienės, veikiančios pagal Prienų rajono savivaldybės administracijos nuostatus, ir UAB „Asdanga“ (toliau – Rangovas), įmonės kodas 304915518, atstovaujama direktoriaus Dariaus Šliumero, veikiančio pagal įmonės įstatus, toliau Užsakovas ir Rangovas kiekvienas atskirai gali būti vadinami „Šalimi“, o abu kartu – „Šalimis“, sudarė šią sutartį (toliau – Sutartis) ir susitarė dėl toliau išvardytų sąlygų.</w:t>
      </w:r>
    </w:p>
    <w:p>
      <w:pPr>
        <w:pStyle w:val="Pagrindinistekstas"/>
        <w:spacing w:lineRule="auto" w:line="240"/>
        <w:rPr/>
      </w:pPr>
      <w:r>
        <w:rPr/>
        <w:t xml:space="preserve">1. Sutarties objektas – </w:t>
      </w:r>
      <w:r>
        <w:rPr>
          <w:rFonts w:eastAsia="Calibri" w:cs="Calibri"/>
          <w:b/>
          <w:bCs/>
          <w:color w:val="000000"/>
          <w:szCs w:val="21"/>
        </w:rPr>
        <w:t>Kauno g. (JI-41) Jiezno m. Jiezno sen.</w:t>
      </w:r>
      <w:r>
        <w:rPr>
          <w:rFonts w:eastAsia="Calibri" w:cs="Calibri"/>
          <w:color w:val="000000"/>
          <w:szCs w:val="21"/>
        </w:rPr>
        <w:t xml:space="preserve"> </w:t>
      </w:r>
      <w:r>
        <w:rPr>
          <w:b/>
          <w:bCs/>
        </w:rPr>
        <w:t xml:space="preserve">paprastasis remontas </w:t>
      </w:r>
      <w:r>
        <w:rPr>
          <w:bCs/>
        </w:rPr>
        <w:t>(toliau – Darbai).</w:t>
      </w:r>
      <w:r>
        <w:rPr>
          <w:b/>
          <w:bCs/>
        </w:rPr>
        <w:t xml:space="preserve"> </w:t>
      </w:r>
      <w:r>
        <w:rPr/>
        <w:t xml:space="preserve">Darbai atliekami pagal skelbiamos apklausos sąlygas, darbų kiekių žiniaraščius ir Rangovo </w:t>
      </w:r>
      <w:r>
        <w:rPr/>
        <w:t>2024-06-06</w:t>
      </w:r>
      <w:r>
        <w:rPr/>
        <w:t xml:space="preserve"> pateiktą pasiūlymą, kuris yra neatskiriama Sutarties dalis.</w:t>
      </w:r>
    </w:p>
    <w:p>
      <w:pPr>
        <w:pStyle w:val="Pagrindinistekstas"/>
        <w:spacing w:lineRule="auto" w:line="240"/>
        <w:rPr/>
      </w:pPr>
      <w:r>
        <w:rPr/>
        <w:t xml:space="preserve">2. Ši Sutartis yra fiksuotos kainos sutartis. Pradinė Sutarties vertė </w:t>
      </w:r>
      <w:r>
        <w:rPr/>
        <w:t>66 169,12 Eur be PVM (šešiasdešimt šeši tūkstančiai vienas šimtas šešiasdešimt devyni eurai, 12 ct)</w:t>
      </w:r>
      <w:r>
        <w:rPr/>
        <w:t xml:space="preserve">. PVM suma </w:t>
      </w:r>
      <w:r>
        <w:rPr/>
        <w:t xml:space="preserve">13 895,52 </w:t>
      </w:r>
      <w:r>
        <w:rPr/>
        <w:t>Eur (</w:t>
      </w:r>
      <w:r>
        <w:rPr/>
        <w:t>trylika tūkstančių aštuoni šimtai devyniasdešimt penki eurai, 52 ct)</w:t>
      </w:r>
      <w:r>
        <w:rPr/>
        <w:t xml:space="preserve">. Bendra Sutarties vertė ne didesnė kaip </w:t>
      </w:r>
      <w:r>
        <w:rPr>
          <w:b/>
          <w:bCs/>
        </w:rPr>
        <w:t xml:space="preserve">80 064,64 </w:t>
      </w:r>
      <w:r>
        <w:rPr>
          <w:b/>
          <w:bCs/>
        </w:rPr>
        <w:t>Eur su PVM</w:t>
      </w:r>
      <w:r>
        <w:rPr/>
        <w:t xml:space="preserve"> (</w:t>
      </w:r>
      <w:r>
        <w:rPr/>
        <w:t>aštuoniasdešimt tūkstančių šešiasdešimt keturi eurai, 52 ct)</w:t>
      </w:r>
      <w:r>
        <w:rPr/>
        <w:t>. Sutarties kainai įtakos negali turėti terminų pažeidimas, medžiagų, įrengimų, darbo užmokesčio ir kitų panašių išlaidų išaugimas.</w:t>
      </w:r>
    </w:p>
    <w:p>
      <w:pPr>
        <w:pStyle w:val="Pagrindinistekstas"/>
        <w:spacing w:lineRule="auto" w:line="240"/>
        <w:rPr/>
      </w:pPr>
      <w:r>
        <w:rPr/>
        <w:t xml:space="preserve">3. </w:t>
      </w:r>
      <w:r>
        <w:rPr>
          <w:b/>
          <w:bCs/>
        </w:rPr>
        <w:t>Sutartis galioja iki Šalių sutartinių įsipareigojimų įvykdymo.</w:t>
      </w:r>
      <w:r>
        <w:rPr/>
        <w:t xml:space="preserve"> </w:t>
      </w:r>
      <w:r>
        <w:rPr>
          <w:b/>
          <w:bCs/>
        </w:rPr>
        <w:t xml:space="preserve">Darbai turi būti atlikti iki 2024 m. rugpjūčio 30 d. </w:t>
      </w:r>
      <w:r>
        <w:rPr/>
        <w:t>Darbų atlikimo terminas dėl nenumatytų aplinkybių ar kitų svarbių priežasčių gali būti pratęstas 1 (vieną) kartą ne ilgiau kaip 1 mėn. laikotarpiui.</w:t>
      </w:r>
    </w:p>
    <w:p>
      <w:pPr>
        <w:pStyle w:val="Pagrindinistekstas"/>
        <w:spacing w:lineRule="auto" w:line="240"/>
        <w:rPr/>
      </w:pPr>
      <w:r>
        <w:rPr/>
        <w:t xml:space="preserve">4. Užsakovas už faktiškai atliktus darbus apmoka pagal gautus atsiskaitymo dokumentus (sąskaitą faktūrą, atliktų darbų aktą ir pažymą) ne vėliau kaip per 5 darbo dienas po lėšų gavimo iš Kelių priežiūros ir plėtros programos lėšų arba per 30 dienų iš kitų finansavimo šaltinių. Rangovas PVM sąskaitą faktūrą privalo pateikti naudodamasis elektronine paslauga „E.sąskaita“ (elektroninės paslaugos „E.sąskaita“ svetainė pasiekiama adresu </w:t>
      </w:r>
      <w:hyperlink r:id="rId2">
        <w:r>
          <w:rPr>
            <w:rStyle w:val="Internetosaitas"/>
          </w:rPr>
          <w:t>www.esaskaita.eu</w:t>
        </w:r>
      </w:hyperlink>
      <w:r>
        <w:rPr/>
        <w:t xml:space="preserve">). Užsakovo kontaktinis asmuo sąskaitų teikimo klausimais – Ingrida Laurinaitienė, tel.  +370 319 61 118, el. paštas </w:t>
      </w:r>
      <w:hyperlink r:id="rId3">
        <w:r>
          <w:rPr>
            <w:rStyle w:val="Internetosaitas"/>
          </w:rPr>
          <w:t>ingrida.laurinaitiene@prienai.lt</w:t>
        </w:r>
      </w:hyperlink>
      <w:r>
        <w:rPr/>
        <w:t xml:space="preserve">. </w:t>
      </w:r>
    </w:p>
    <w:p>
      <w:pPr>
        <w:pStyle w:val="Pagrindinistekstas"/>
        <w:spacing w:lineRule="auto" w:line="240"/>
        <w:rPr/>
      </w:pPr>
      <w:r>
        <w:rPr/>
        <w:t xml:space="preserve">5. Sutartis įsigalioja nuo jos pasirašymo dienos. Rangovas </w:t>
      </w:r>
      <w:r>
        <w:rPr>
          <w:b/>
          <w:bCs/>
        </w:rPr>
        <w:t xml:space="preserve">per 10 dienų nuo Sutarties pasirašymo pateikia Užsakovui Sutarties įvykdymo užtikrinimą </w:t>
      </w:r>
      <w:r>
        <w:rPr/>
        <w:t xml:space="preserve">(banko garantiją, draudimo bendrovės laidavimo raštą arba užstatą). </w:t>
      </w:r>
      <w:r>
        <w:rPr>
          <w:b/>
          <w:bCs/>
        </w:rPr>
        <w:t xml:space="preserve">Sutarties įvykdymo užtikrinimo vertė – 5 proc. Sutarties vertės be PVM. </w:t>
      </w:r>
      <w:r>
        <w:rPr/>
        <w:t>Sutarties įvykdymo užtikrinimas įsigalioja banko garantijos arba draudimo bendrovės laidavimo rašto išdavimo dieną ir turi galioti iki darbų atlikimo termino pabaigos.</w:t>
      </w:r>
    </w:p>
    <w:p>
      <w:pPr>
        <w:pStyle w:val="Pagrindinistekstas"/>
        <w:spacing w:lineRule="auto" w:line="240"/>
        <w:rPr/>
      </w:pPr>
      <w:r>
        <w:rPr/>
        <w:t>6.</w:t>
      </w:r>
      <w:r>
        <w:rPr>
          <w:b/>
          <w:bCs/>
        </w:rPr>
        <w:t xml:space="preserve"> </w:t>
      </w:r>
      <w:r>
        <w:rPr/>
        <w:t xml:space="preserve">Sutarties objektui numatomas 2 metų garantinis laikotarpis. Rangovas savo lėšomis ištaiso defektus, išaiškėjusius per garantinį laikotarpį. </w:t>
      </w:r>
    </w:p>
    <w:p>
      <w:pPr>
        <w:pStyle w:val="Pagrindinistekstas"/>
        <w:spacing w:lineRule="auto" w:line="240"/>
        <w:rPr/>
      </w:pPr>
      <w:r>
        <w:rPr/>
        <w:t>7. Vykdydamos šią Sutartį, Šalys vadovaujasi įstatymais, normatyviniais statybos dokumentais šios Sutarties sąlygomis.</w:t>
      </w:r>
    </w:p>
    <w:p>
      <w:pPr>
        <w:pStyle w:val="Pagrindinistekstas"/>
        <w:spacing w:lineRule="auto" w:line="240"/>
        <w:rPr/>
      </w:pPr>
      <w:r>
        <w:rPr/>
        <w:t>8. Rangovas įsipareigoja:</w:t>
      </w:r>
    </w:p>
    <w:p>
      <w:pPr>
        <w:pStyle w:val="Pagrindinistekstas"/>
        <w:spacing w:lineRule="auto" w:line="240"/>
        <w:rPr/>
      </w:pPr>
      <w:r>
        <w:rPr/>
        <w:t>8.1. Darbus atlikti kokybiškai, laikydamasis esamų normų ir taisyklių, standartų, techninės priežiūros vykdytojo reikalavimų;</w:t>
      </w:r>
    </w:p>
    <w:p>
      <w:pPr>
        <w:pStyle w:val="Pagrindinistekstas"/>
        <w:spacing w:lineRule="auto" w:line="240"/>
        <w:rPr/>
      </w:pPr>
      <w:r>
        <w:rPr/>
        <w:t>8.2. Darbus atlikti pagal deklaruotas statybos taisykles;</w:t>
      </w:r>
    </w:p>
    <w:p>
      <w:pPr>
        <w:pStyle w:val="Pagrindinistekstas"/>
        <w:spacing w:lineRule="auto" w:line="240"/>
        <w:rPr/>
      </w:pPr>
      <w:r>
        <w:rPr/>
        <w:t>8.3. savarankiškai apsirūpinti Darbams atlikti reikalingais materialiniais ištekliais, atsakyti už blogą medžiagų kokybę;</w:t>
      </w:r>
    </w:p>
    <w:p>
      <w:pPr>
        <w:pStyle w:val="Pagrindinistekstas"/>
        <w:spacing w:lineRule="auto" w:line="240"/>
        <w:rPr/>
      </w:pPr>
      <w:r>
        <w:rPr/>
        <w:t>8.4. garantuoti objekte darbų saugumą, priešgaisrinę apsaugą, aplinkos ekologinę apsaugą, apstatymą kelio ženklais;</w:t>
      </w:r>
    </w:p>
    <w:p>
      <w:pPr>
        <w:pStyle w:val="Pagrindinistekstas"/>
        <w:spacing w:lineRule="auto" w:line="240"/>
        <w:rPr/>
      </w:pPr>
      <w:r>
        <w:rPr/>
        <w:t>8.5. prižiūrėti remontuojamą kelio ruožą, apvažiavimo ir privažiavimo kelius, jeigu jais vyksta autotransporto eismas;</w:t>
      </w:r>
    </w:p>
    <w:p>
      <w:pPr>
        <w:pStyle w:val="Pagrindinistekstas"/>
        <w:spacing w:lineRule="auto" w:line="240"/>
        <w:rPr/>
      </w:pPr>
      <w:r>
        <w:rPr/>
        <w:t>8.6. ne vėliau kaip iki kiekvieno mėnesio 23 d. pateikti Užsakovui atliktų darbų priėmimo aktą, pasirašytą techninio prižiūrėtojo, ir sąskaitą faktūrą;</w:t>
      </w:r>
    </w:p>
    <w:p>
      <w:pPr>
        <w:pStyle w:val="Pagrindinistekstas"/>
        <w:spacing w:lineRule="auto" w:line="240"/>
        <w:rPr/>
      </w:pPr>
      <w:r>
        <w:rPr/>
        <w:t>8.7. vykdydamas Sutartį užtikrinti, kad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pPr>
        <w:pStyle w:val="Pagrindinistekstas"/>
        <w:spacing w:lineRule="auto" w:line="240"/>
        <w:rPr/>
      </w:pPr>
      <w:r>
        <w:rPr/>
        <w:t>8.8. Užsakovui paprašius pateikti dokumentus patvirtinančius, kad, vykdydamas Darbus taiko Sutarties 8.7 punkto reikalavimus (dokumentai turi galioti visą Sutarties vykdymo laikotarpį). Rangovui nepateikus šių dokumentų ar pateiktų dokumentų galiojimo laikas yra pasibaigęs, šis įsipareigojimų pažeidimas laikomas esminiu.</w:t>
      </w:r>
    </w:p>
    <w:p>
      <w:pPr>
        <w:pStyle w:val="Pagrindinistekstas"/>
        <w:spacing w:lineRule="auto" w:line="240"/>
        <w:rPr/>
      </w:pPr>
      <w:r>
        <w:rPr/>
        <w:t>9. Šalių atsakomybė už netinkamą Sutarties sąlygų vykdymą arba kitokius Sutarties pažeidimus:</w:t>
      </w:r>
    </w:p>
    <w:p>
      <w:pPr>
        <w:pStyle w:val="Pagrindinistekstas"/>
        <w:spacing w:lineRule="auto" w:line="240"/>
        <w:rPr/>
      </w:pPr>
      <w:r>
        <w:rPr/>
        <w:t>Užsakovas:</w:t>
      </w:r>
    </w:p>
    <w:p>
      <w:pPr>
        <w:pStyle w:val="Pagrindinistekstas"/>
        <w:spacing w:lineRule="auto" w:line="240"/>
        <w:rPr/>
      </w:pPr>
      <w:r>
        <w:rPr/>
        <w:t>9.1. nepagrįstai uždelsęs atsiskaityti už atliktus Darbus nustatytuoju laiku, pagal Rangovo rašytinį prašymą turi mokėti Rangovui 0,03 procentų pradinės neapmokėtų Darbų kainos dydžio delspinigius už kiekvieną uždelstą dieną;</w:t>
      </w:r>
    </w:p>
    <w:p>
      <w:pPr>
        <w:pStyle w:val="Pagrindinistekstas"/>
        <w:spacing w:lineRule="auto" w:line="240"/>
        <w:rPr/>
      </w:pPr>
      <w:r>
        <w:rPr/>
        <w:t>9.2. nutraukęs Sutartį ne dėl Rangovo kaltės, atlygina Rangovui jo turėtas pagrįstas objekto darbų išlaidas ir nuostolius, susijusius su Sutarties nutraukimu;</w:t>
      </w:r>
    </w:p>
    <w:p>
      <w:pPr>
        <w:pStyle w:val="Pagrindinistekstas"/>
        <w:spacing w:lineRule="auto" w:line="240"/>
        <w:rPr/>
      </w:pPr>
      <w:r>
        <w:rPr/>
        <w:t xml:space="preserve">9.3. turi teisę vienašališkai nutraukti Sutartį, jei Rangovas netinkamai vykdo savo įsipareigojimus, įspėjęs Rangovą prieš 30 kalendorinių dienų ir reikalauti atlyginti patirtus nuostolius; </w:t>
      </w:r>
    </w:p>
    <w:p>
      <w:pPr>
        <w:pStyle w:val="Pagrindinistekstas"/>
        <w:spacing w:lineRule="auto" w:line="240"/>
        <w:rPr/>
      </w:pPr>
      <w:r>
        <w:rPr/>
        <w:t>Rangovas:</w:t>
      </w:r>
    </w:p>
    <w:p>
      <w:pPr>
        <w:pStyle w:val="Pagrindinistekstas"/>
        <w:spacing w:lineRule="auto" w:line="240"/>
        <w:rPr/>
      </w:pPr>
      <w:r>
        <w:rPr/>
        <w:t xml:space="preserve">9.4. iki Sutartyje nurodyto termino neatlikęs Darbų, moka Užsakovui 3 000 Eur baudą; </w:t>
      </w:r>
    </w:p>
    <w:p>
      <w:pPr>
        <w:pStyle w:val="Pagrindinistekstas"/>
        <w:spacing w:lineRule="auto" w:line="240"/>
        <w:rPr/>
      </w:pPr>
      <w:r>
        <w:rPr/>
        <w:t>9.5. nurodytu laiku nepašalinęs defektų, nustatytų per garantinį laiką, moka Užsakovui 10 proc. dydžio baudą nuo 2 punkte nurodytos bendros Sutarties vertės ir atlygina Užsakovo išlaidas, susijusias su defektų šalinimu, ir dėl to Užsakovo patirtus nuostolius;</w:t>
      </w:r>
    </w:p>
    <w:p>
      <w:pPr>
        <w:pStyle w:val="Pagrindinistekstas"/>
        <w:spacing w:lineRule="auto" w:line="240"/>
        <w:rPr/>
      </w:pPr>
      <w:r>
        <w:rPr/>
        <w:t>9.6. vienašališkai nutraukęs Sutartį ne dėl Užsakovo kaltės, sumoka Užsakovui 10 procentų bendros Sutarties vertės dydžio baudą ir dėl Sutarties nutraukimo patirtus nuostolius.</w:t>
      </w:r>
    </w:p>
    <w:p>
      <w:pPr>
        <w:pStyle w:val="Pagrindinistekstas"/>
        <w:spacing w:lineRule="auto" w:line="240"/>
        <w:rPr/>
      </w:pPr>
      <w:r>
        <w:rPr/>
        <w:t>10. Iškilusių tarp Šalių ginčų neišsprendus taikiai, jų nagrinėjimas perduodamas teismams Lietuvos Respublikos įstatymų nustatyta tvarka.</w:t>
      </w:r>
    </w:p>
    <w:p>
      <w:pPr>
        <w:pStyle w:val="Pagrindinistekstas"/>
        <w:spacing w:lineRule="auto" w:line="240"/>
        <w:rPr/>
      </w:pPr>
      <w:r>
        <w:rPr/>
        <w:t>11. Užsakovas privalo bet kuriuo šiame punkte išvardintu atveju, prieš 15 dienų apie tai pranešęs Rangovui, nutraukti Sutartį dėl šių esminių Sutarties pažeidimų:</w:t>
      </w:r>
    </w:p>
    <w:p>
      <w:pPr>
        <w:pStyle w:val="Pagrindinistekstas"/>
        <w:spacing w:lineRule="auto" w:line="240"/>
        <w:rPr/>
      </w:pPr>
      <w:r>
        <w:rPr/>
        <w:t xml:space="preserve">11.1. Rangovas nepradeda laiku vykdyti šios Sutarties arba Darbus atlieka taip lėtai, kad juos baigti iki termino pabaigos pasidaro aiškiai neįmanoma; </w:t>
      </w:r>
    </w:p>
    <w:p>
      <w:pPr>
        <w:pStyle w:val="Pagrindinistekstas"/>
        <w:spacing w:lineRule="auto" w:line="240"/>
        <w:rPr/>
      </w:pPr>
      <w:r>
        <w:rPr/>
        <w:t>11.2. Darbų atlikimo metu pasidaro aišku, kad jie nebus tinkami atlikti;</w:t>
      </w:r>
    </w:p>
    <w:p>
      <w:pPr>
        <w:pStyle w:val="Pagrindinistekstas"/>
        <w:spacing w:lineRule="auto" w:line="240"/>
        <w:rPr/>
      </w:pPr>
      <w:r>
        <w:rPr/>
        <w:t>11.3. Rangovas per pagrįstai nustatytą laikotarpį neįvykdo Užsakovo nurodymo ištaisyti netinkamai įvykdytus arba neįvykdytus sutartinius įsipareigojimus;</w:t>
      </w:r>
    </w:p>
    <w:p>
      <w:pPr>
        <w:pStyle w:val="Pagrindinistekstas"/>
        <w:spacing w:lineRule="auto" w:line="240"/>
        <w:rPr/>
      </w:pPr>
      <w:r>
        <w:rPr/>
        <w:t>11.4. Rangovas netenka teisės atlikti šioje Sutartyje nurodytus Darbus, bankrutuoja arba yra likviduojamas, kai sustabdo ūkinę veiklą, arba kai įstatymuose ir kituose teisės aktuose numatyta tvarka susidaro analogiška situacija;</w:t>
      </w:r>
    </w:p>
    <w:p>
      <w:pPr>
        <w:pStyle w:val="Pagrindinistekstas"/>
        <w:spacing w:lineRule="auto" w:line="240"/>
        <w:rPr/>
      </w:pPr>
      <w:r>
        <w:rPr/>
        <w:t xml:space="preserve">11.5. po raštiško Užsakovo įspėjimo Rangovas neužtikrina Darbų kokybės ar nevykdo kitų šios Sutarties sąlygų arba raštiškai perspėtas dar kartą jas pažeidžia; </w:t>
      </w:r>
    </w:p>
    <w:p>
      <w:pPr>
        <w:pStyle w:val="Pagrindinistekstas"/>
        <w:spacing w:lineRule="auto" w:line="240"/>
        <w:rPr/>
      </w:pPr>
      <w:r>
        <w:rPr/>
        <w:t>11.6. Užsakovui pasinaudojus Sutarties įvykdymo užtikrinimu ar pasibaigus jo galiojimo terminui Rangovas laiku nepateikia tinkamo Sutarties įvykdymo užtikrinimo.</w:t>
      </w:r>
    </w:p>
    <w:p>
      <w:pPr>
        <w:pStyle w:val="Pagrindinistekstas"/>
        <w:spacing w:lineRule="auto" w:line="240"/>
        <w:rPr/>
      </w:pPr>
      <w:r>
        <w:rPr/>
        <w:t>12. Užsakovui vienašališkai nutraukus Sutartį Rangovas privalo perduoti iki Sutarties nutraukimo datos atliktus Darbus, Šalims pasirašant priėmimo–perdavimo aktą. Užsakovas privalo apmokėti už atliktus Darbus.</w:t>
      </w:r>
    </w:p>
    <w:p>
      <w:pPr>
        <w:pStyle w:val="Pagrindinistekstas"/>
        <w:spacing w:lineRule="auto" w:line="240"/>
        <w:rPr/>
      </w:pPr>
      <w:r>
        <w:rPr/>
        <w:t>13. Rangovas gali bet kuriuo šiame punkte išvardintu atveju arba aplinkybėms prieš 15 dienų apie tai raštu pranešęs Užsakovui, nutraukti Sutartį dėl šių esminių sutarties pažeidimų:</w:t>
      </w:r>
    </w:p>
    <w:p>
      <w:pPr>
        <w:pStyle w:val="Pagrindinistekstas"/>
        <w:spacing w:lineRule="auto" w:line="240"/>
        <w:rPr/>
      </w:pPr>
      <w:r>
        <w:rPr/>
        <w:t>13.1. Užsakovas visiškai nevykdo savo įsipareigojimų pagal Sutartį.</w:t>
      </w:r>
    </w:p>
    <w:p>
      <w:pPr>
        <w:pStyle w:val="Pagrindinistekstas"/>
        <w:spacing w:lineRule="auto" w:line="240"/>
        <w:rPr/>
      </w:pPr>
      <w:r>
        <w:rPr/>
        <w:t>14. Rangovo pasirinkimas nutraukti Sutartį neturi pažeisti kurių nors kitų iš Sutarties arba kitaip kylančių Rangovo teisių.</w:t>
      </w:r>
    </w:p>
    <w:p>
      <w:pPr>
        <w:pStyle w:val="Pagrindinistekstas"/>
        <w:spacing w:lineRule="auto" w:line="240"/>
        <w:rPr/>
      </w:pPr>
      <w:r>
        <w:rPr/>
        <w:t>15. Užsakovas turi teisę Lietuvos Respublikos viešųjų pirkimų įstatymo 90 straipsnyje nurodytais atvejais ir tvarka vienašališkai nutraukti Sutartį apie tai Rangovui pranešdamas raštu.</w:t>
      </w:r>
    </w:p>
    <w:p>
      <w:pPr>
        <w:pStyle w:val="Pagrindinistekstas"/>
        <w:spacing w:lineRule="auto" w:line="240"/>
        <w:rPr/>
      </w:pPr>
      <w:r>
        <w:rPr/>
        <w:t>16. Sutartis gali būti nutraukta bendru Šalių sutarimu.</w:t>
      </w:r>
    </w:p>
    <w:p>
      <w:pPr>
        <w:pStyle w:val="Pagrindinistekstas"/>
        <w:spacing w:lineRule="auto" w:line="240"/>
        <w:rPr/>
      </w:pPr>
      <w:r>
        <w:rPr/>
        <w:t>17.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pagal jų pobūdį.</w:t>
      </w:r>
    </w:p>
    <w:p>
      <w:pPr>
        <w:pStyle w:val="Pagrindinistekstas"/>
        <w:spacing w:lineRule="auto" w:line="240"/>
        <w:rPr/>
      </w:pPr>
      <w:r>
        <w:rPr/>
        <w:t xml:space="preserve">18. Sutarčiai vykdyti bus pasitelkiami šie subrangovai: </w:t>
      </w:r>
      <w:r>
        <w:rPr>
          <w:i/>
        </w:rPr>
        <w:t>nebus pasitelkiami.</w:t>
      </w:r>
    </w:p>
    <w:p>
      <w:pPr>
        <w:pStyle w:val="Pagrindinistekstas"/>
        <w:spacing w:lineRule="auto" w:line="240"/>
        <w:rPr/>
      </w:pPr>
      <w:r>
        <w:rPr/>
        <w:t xml:space="preserve">18.1. Sutarties vykdymo metu Rangovas raštu kreipęsis į Užsakovą ir gavęs raštišką jo sutikimą, gali keisti subrangovus, nurodytus šios Sutarties 18 punkte, tačiau naujų subrangovų kvalifikacija turi atitikti pirkimo sąlygose subrangovams keltus kvalifikacijos reikalavimus tai dienai kai Rangovas kreipėsi į Užsakovą dėl leidimo keisti subrangovą. </w:t>
      </w:r>
    </w:p>
    <w:p>
      <w:pPr>
        <w:pStyle w:val="Pagrindinistekstas"/>
        <w:spacing w:lineRule="auto" w:line="240"/>
        <w:rPr/>
      </w:pPr>
      <w:r>
        <w:rPr/>
        <w:t>18.2. Subrangovų pakeitimas įforminamas abiejų Šalių papildomu susitarimu prie Sutarties per 10 darbo dienų nuo Užsakovo raštiško sutikimo išsiuntimo Rangovui datos.</w:t>
      </w:r>
    </w:p>
    <w:p>
      <w:pPr>
        <w:pStyle w:val="Pagrindinistekstas"/>
        <w:spacing w:lineRule="auto" w:line="240"/>
        <w:rPr/>
      </w:pPr>
      <w:r>
        <w:rPr/>
        <w:t>18.3. Sutarties vykdymo metu subrangovai negalės būti įtraukiami, jei jie nebuvo pasitelkti teikiant pasiūlymą.</w:t>
      </w:r>
    </w:p>
    <w:p>
      <w:pPr>
        <w:pStyle w:val="Pagrindinistekstas"/>
        <w:spacing w:lineRule="auto" w:line="240"/>
        <w:rPr/>
      </w:pPr>
      <w:r>
        <w:rPr/>
        <w:t xml:space="preserve">19. Už Sutarties vykdymą atsakingi asmenys: </w:t>
      </w:r>
    </w:p>
    <w:p>
      <w:pPr>
        <w:pStyle w:val="Pagrindinistekstas"/>
        <w:spacing w:lineRule="auto" w:line="240"/>
        <w:rPr/>
      </w:pPr>
      <w:r>
        <w:rPr/>
        <w:t xml:space="preserve">Užsakovo: Prienų rajono savivaldybės administracijos Statybos ir ekonominės plėtros skyriaus vyriausioji specialistė Raminta Baranauskienė, </w:t>
      </w:r>
      <w:r>
        <w:rPr/>
        <w:t xml:space="preserve">tel. </w:t>
      </w:r>
      <w:r>
        <w:rPr/>
        <w:t xml:space="preserve">+370 319 61 124, el. p. </w:t>
      </w:r>
      <w:hyperlink r:id="rId4">
        <w:r>
          <w:rPr>
            <w:rStyle w:val="Internetosaitas"/>
          </w:rPr>
          <w:t>raminta.baranauskiene@prienai.lt</w:t>
        </w:r>
      </w:hyperlink>
      <w:r>
        <w:rPr/>
        <w:t xml:space="preserve">. </w:t>
      </w:r>
    </w:p>
    <w:p>
      <w:pPr>
        <w:pStyle w:val="Pagrindinistekstas"/>
        <w:spacing w:lineRule="auto" w:line="240"/>
        <w:rPr/>
      </w:pPr>
      <w:r>
        <w:rPr/>
        <w:t xml:space="preserve">Rangovo: </w:t>
      </w:r>
      <w:r>
        <w:rPr/>
        <w:t xml:space="preserve">direktorius Darius Šliumeras, tel. +370 686 57490, el. p. asdangalt@gmail.com. </w:t>
      </w:r>
    </w:p>
    <w:p>
      <w:pPr>
        <w:pStyle w:val="Pagrindinistekstas"/>
        <w:spacing w:lineRule="auto" w:line="240"/>
        <w:rPr/>
      </w:pPr>
      <w:r>
        <w:rPr/>
        <w:t xml:space="preserve">20. Sutartis sudaroma lietuvių kalba, 2 (dviem) egzemplioriais, turinčiais vienodą juridinę galią – po vieną kiekvienai Šaliai. Kai Šalys Sutartį pasirašo kvalifikuotais elektroniniais parašais, pasirašomas 1 (vienas) elektroninis Sutarties egzempliorius, kuriuo Šalys pasidalina elektroninių ryšių priemonėmis. </w:t>
      </w:r>
    </w:p>
    <w:p>
      <w:pPr>
        <w:pStyle w:val="Pagrindinistekstas"/>
        <w:spacing w:lineRule="auto" w:line="240"/>
        <w:rPr/>
      </w:pPr>
      <w:r>
        <w:rPr/>
        <w:t>21. Sutarties priedai: pasiūlymas.</w:t>
      </w:r>
    </w:p>
    <w:p>
      <w:pPr>
        <w:pStyle w:val="Pagrindinistekstas"/>
        <w:spacing w:lineRule="auto" w:line="240"/>
        <w:ind w:firstLine="856"/>
        <w:rPr>
          <w:szCs w:val="21"/>
        </w:rPr>
      </w:pPr>
      <w:r>
        <w:rPr>
          <w:szCs w:val="21"/>
        </w:rPr>
      </w:r>
    </w:p>
    <w:p>
      <w:pPr>
        <w:pStyle w:val="Pagrindinistekstas"/>
        <w:tabs>
          <w:tab w:val="clear" w:pos="397"/>
          <w:tab w:val="left" w:pos="1565" w:leader="none"/>
        </w:tabs>
        <w:spacing w:lineRule="auto" w:line="240"/>
        <w:ind w:firstLine="856"/>
        <w:rPr>
          <w:rFonts w:ascii="Calibri" w:hAnsi="Calibri"/>
        </w:rPr>
      </w:pPr>
      <w:r>
        <w:rPr>
          <w:szCs w:val="21"/>
        </w:rPr>
        <w:tab/>
      </w:r>
    </w:p>
    <w:tbl>
      <w:tblPr>
        <w:tblW w:w="9854" w:type="dxa"/>
        <w:jc w:val="left"/>
        <w:tblInd w:w="0" w:type="dxa"/>
        <w:tblLayout w:type="fixed"/>
        <w:tblCellMar>
          <w:top w:w="0" w:type="dxa"/>
          <w:left w:w="108" w:type="dxa"/>
          <w:bottom w:w="0" w:type="dxa"/>
          <w:right w:w="108" w:type="dxa"/>
        </w:tblCellMar>
        <w:tblLook w:val="04a0"/>
      </w:tblPr>
      <w:tblGrid>
        <w:gridCol w:w="4927"/>
        <w:gridCol w:w="4926"/>
      </w:tblGrid>
      <w:tr>
        <w:trPr/>
        <w:tc>
          <w:tcPr>
            <w:tcW w:w="4927" w:type="dxa"/>
            <w:tcBorders/>
          </w:tcPr>
          <w:p>
            <w:pPr>
              <w:pStyle w:val="Normal"/>
              <w:widowControl w:val="false"/>
              <w:tabs>
                <w:tab w:val="clear" w:pos="397"/>
                <w:tab w:val="left" w:pos="426" w:leader="none"/>
              </w:tabs>
              <w:spacing w:lineRule="auto" w:line="240"/>
              <w:ind w:hanging="0"/>
              <w:rPr>
                <w:rFonts w:ascii="Calibri" w:hAnsi="Calibri"/>
                <w:b/>
                <w:b/>
              </w:rPr>
            </w:pPr>
            <w:r>
              <w:rPr>
                <w:b/>
              </w:rPr>
              <w:t>Užsakovas</w:t>
            </w:r>
          </w:p>
        </w:tc>
        <w:tc>
          <w:tcPr>
            <w:tcW w:w="4926" w:type="dxa"/>
            <w:tcBorders/>
          </w:tcPr>
          <w:p>
            <w:pPr>
              <w:pStyle w:val="Normal"/>
              <w:widowControl w:val="false"/>
              <w:tabs>
                <w:tab w:val="clear" w:pos="397"/>
                <w:tab w:val="left" w:pos="426" w:leader="none"/>
              </w:tabs>
              <w:spacing w:lineRule="auto" w:line="240"/>
              <w:ind w:hanging="0"/>
              <w:rPr>
                <w:rFonts w:ascii="Calibri" w:hAnsi="Calibri"/>
                <w:b/>
                <w:b/>
              </w:rPr>
            </w:pPr>
            <w:r>
              <w:rPr>
                <w:b/>
              </w:rPr>
              <w:t>Rangovas</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Prienų rajono savivaldybės administracija</w:t>
            </w:r>
          </w:p>
        </w:tc>
        <w:tc>
          <w:tcPr>
            <w:tcW w:w="4926" w:type="dxa"/>
            <w:tcBorders/>
          </w:tcPr>
          <w:p>
            <w:pPr>
              <w:pStyle w:val="Normal"/>
              <w:widowControl w:val="false"/>
              <w:tabs>
                <w:tab w:val="clear" w:pos="397"/>
                <w:tab w:val="left" w:pos="426" w:leader="none"/>
              </w:tabs>
              <w:spacing w:lineRule="auto" w:line="240"/>
              <w:ind w:left="0" w:right="0" w:hanging="0"/>
              <w:rPr/>
            </w:pPr>
            <w:r>
              <w:rPr/>
              <w:t>UAB „Asdanga“</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Laisvės a. 12, 59126 Prienai</w:t>
            </w:r>
          </w:p>
        </w:tc>
        <w:tc>
          <w:tcPr>
            <w:tcW w:w="4926" w:type="dxa"/>
            <w:tcBorders/>
          </w:tcPr>
          <w:p>
            <w:pPr>
              <w:pStyle w:val="Normal"/>
              <w:widowControl w:val="false"/>
              <w:tabs>
                <w:tab w:val="clear" w:pos="397"/>
                <w:tab w:val="left" w:pos="426" w:leader="none"/>
              </w:tabs>
              <w:spacing w:lineRule="auto" w:line="240"/>
              <w:ind w:left="0" w:right="0" w:hanging="0"/>
              <w:rPr/>
            </w:pPr>
            <w:r>
              <w:rPr/>
              <w:t xml:space="preserve">Naujakurių g. 6, Mačiūnų k. 59157, Prienų r. sav. </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Juridinio asmens kodas 288742590</w:t>
            </w:r>
          </w:p>
        </w:tc>
        <w:tc>
          <w:tcPr>
            <w:tcW w:w="4926" w:type="dxa"/>
            <w:tcBorders/>
          </w:tcPr>
          <w:p>
            <w:pPr>
              <w:pStyle w:val="Normal"/>
              <w:widowControl w:val="false"/>
              <w:tabs>
                <w:tab w:val="clear" w:pos="397"/>
                <w:tab w:val="left" w:pos="426" w:leader="none"/>
              </w:tabs>
              <w:spacing w:lineRule="auto" w:line="240"/>
              <w:ind w:left="0" w:right="0" w:hanging="0"/>
              <w:rPr/>
            </w:pPr>
            <w:r>
              <w:rPr/>
              <w:t>Juridinio asmens kodas 304915518</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Ne PVM mokėtojas</w:t>
            </w:r>
          </w:p>
        </w:tc>
        <w:tc>
          <w:tcPr>
            <w:tcW w:w="4926" w:type="dxa"/>
            <w:tcBorders/>
          </w:tcPr>
          <w:p>
            <w:pPr>
              <w:pStyle w:val="Normal"/>
              <w:widowControl w:val="false"/>
              <w:tabs>
                <w:tab w:val="clear" w:pos="397"/>
                <w:tab w:val="left" w:pos="426" w:leader="none"/>
              </w:tabs>
              <w:spacing w:lineRule="auto" w:line="240"/>
              <w:ind w:left="0" w:right="0" w:hanging="0"/>
              <w:rPr/>
            </w:pPr>
            <w:r>
              <w:rPr/>
              <w:t>PVM mokėtojo kodas LT100011883814</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A. s. LT087300010076935559</w:t>
            </w:r>
          </w:p>
        </w:tc>
        <w:tc>
          <w:tcPr>
            <w:tcW w:w="4926" w:type="dxa"/>
            <w:tcBorders/>
          </w:tcPr>
          <w:p>
            <w:pPr>
              <w:pStyle w:val="Normal"/>
              <w:widowControl w:val="false"/>
              <w:tabs>
                <w:tab w:val="clear" w:pos="397"/>
                <w:tab w:val="left" w:pos="426" w:leader="none"/>
              </w:tabs>
              <w:spacing w:lineRule="auto" w:line="240"/>
              <w:ind w:left="0" w:right="0" w:hanging="0"/>
              <w:rPr/>
            </w:pPr>
            <w:r>
              <w:rPr/>
              <w:t>Banko sąskaitos Nr. LT12 7300 0101 5769 2643</w:t>
            </w:r>
          </w:p>
        </w:tc>
      </w:tr>
      <w:tr>
        <w:trPr>
          <w:trHeight w:val="140" w:hRule="atLeast"/>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AB bankas „Swedbank“</w:t>
            </w:r>
          </w:p>
        </w:tc>
        <w:tc>
          <w:tcPr>
            <w:tcW w:w="4926" w:type="dxa"/>
            <w:tcBorders/>
          </w:tcPr>
          <w:p>
            <w:pPr>
              <w:pStyle w:val="Normal"/>
              <w:widowControl w:val="false"/>
              <w:tabs>
                <w:tab w:val="clear" w:pos="397"/>
                <w:tab w:val="left" w:pos="426" w:leader="none"/>
              </w:tabs>
              <w:spacing w:lineRule="auto" w:line="240"/>
              <w:ind w:left="0" w:right="0" w:hanging="0"/>
              <w:rPr/>
            </w:pPr>
            <w:r>
              <w:rPr/>
              <w:t xml:space="preserve">Bankas </w:t>
            </w:r>
            <w:r>
              <w:rPr>
                <w:rFonts w:cs="Times New Roman"/>
              </w:rPr>
              <w:t>AB bankas „Swedbank“</w:t>
            </w:r>
          </w:p>
        </w:tc>
      </w:tr>
      <w:tr>
        <w:trPr/>
        <w:tc>
          <w:tcPr>
            <w:tcW w:w="4927" w:type="dxa"/>
            <w:tcBorders/>
          </w:tcPr>
          <w:p>
            <w:pPr>
              <w:pStyle w:val="Normal"/>
              <w:widowControl w:val="false"/>
              <w:spacing w:lineRule="auto" w:line="240"/>
              <w:ind w:hanging="0"/>
              <w:rPr>
                <w:rFonts w:ascii="Calibri" w:hAnsi="Calibri"/>
                <w:color w:val="000000"/>
              </w:rPr>
            </w:pPr>
            <w:r>
              <w:rPr>
                <w:color w:val="000000"/>
              </w:rPr>
              <w:t>Banko kodas 73000</w:t>
            </w:r>
          </w:p>
        </w:tc>
        <w:tc>
          <w:tcPr>
            <w:tcW w:w="4926" w:type="dxa"/>
            <w:tcBorders/>
          </w:tcPr>
          <w:p>
            <w:pPr>
              <w:pStyle w:val="Normal"/>
              <w:widowControl w:val="false"/>
              <w:tabs>
                <w:tab w:val="clear" w:pos="397"/>
                <w:tab w:val="left" w:pos="426" w:leader="none"/>
              </w:tabs>
              <w:spacing w:lineRule="auto" w:line="240"/>
              <w:ind w:left="0" w:right="0" w:hanging="0"/>
              <w:rPr/>
            </w:pPr>
            <w:r>
              <w:rPr/>
              <w:t>Banko kodas 73000</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Tel.  +370 319 61 105</w:t>
            </w:r>
          </w:p>
        </w:tc>
        <w:tc>
          <w:tcPr>
            <w:tcW w:w="4926" w:type="dxa"/>
            <w:tcBorders/>
          </w:tcPr>
          <w:p>
            <w:pPr>
              <w:pStyle w:val="Normal"/>
              <w:widowControl w:val="false"/>
              <w:tabs>
                <w:tab w:val="clear" w:pos="397"/>
                <w:tab w:val="left" w:pos="426" w:leader="none"/>
              </w:tabs>
              <w:spacing w:lineRule="auto" w:line="240"/>
              <w:ind w:left="0" w:right="0" w:hanging="0"/>
              <w:rPr/>
            </w:pPr>
            <w:r>
              <w:rPr/>
              <w:t>Tel. +370 686 57490</w:t>
            </w:r>
          </w:p>
        </w:tc>
      </w:tr>
      <w:tr>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t>El. p. administracija@prienai.lt</w:t>
            </w:r>
          </w:p>
        </w:tc>
        <w:tc>
          <w:tcPr>
            <w:tcW w:w="4926" w:type="dxa"/>
            <w:tcBorders/>
          </w:tcPr>
          <w:p>
            <w:pPr>
              <w:pStyle w:val="Normal"/>
              <w:widowControl w:val="false"/>
              <w:tabs>
                <w:tab w:val="clear" w:pos="397"/>
                <w:tab w:val="left" w:pos="426" w:leader="none"/>
              </w:tabs>
              <w:spacing w:lineRule="auto" w:line="240"/>
              <w:ind w:left="0" w:right="0" w:hanging="0"/>
              <w:rPr/>
            </w:pPr>
            <w:r>
              <w:rPr/>
              <w:t xml:space="preserve">El. p. asdangalt@gmail.com </w:t>
            </w:r>
          </w:p>
        </w:tc>
      </w:tr>
      <w:tr>
        <w:trPr>
          <w:trHeight w:val="149" w:hRule="atLeast"/>
        </w:trPr>
        <w:tc>
          <w:tcPr>
            <w:tcW w:w="4927" w:type="dxa"/>
            <w:tcBorders/>
          </w:tcPr>
          <w:p>
            <w:pPr>
              <w:pStyle w:val="Body2"/>
              <w:widowControl w:val="false"/>
              <w:spacing w:before="0" w:after="0"/>
              <w:ind w:hanging="0"/>
              <w:rPr>
                <w:rFonts w:ascii="Calibri" w:hAnsi="Calibri" w:cs="Times New Roman"/>
                <w:lang w:val="lt-LT"/>
              </w:rPr>
            </w:pPr>
            <w:r>
              <w:rPr>
                <w:rFonts w:cs="Times New Roman" w:ascii="Calibri" w:hAnsi="Calibri"/>
                <w:lang w:val="lt-LT"/>
              </w:rPr>
            </w:r>
          </w:p>
        </w:tc>
        <w:tc>
          <w:tcPr>
            <w:tcW w:w="4926" w:type="dxa"/>
            <w:tcBorders/>
          </w:tcPr>
          <w:p>
            <w:pPr>
              <w:pStyle w:val="Normal"/>
              <w:widowControl w:val="false"/>
              <w:tabs>
                <w:tab w:val="clear" w:pos="397"/>
                <w:tab w:val="left" w:pos="426" w:leader="none"/>
              </w:tabs>
              <w:spacing w:lineRule="auto" w:line="240"/>
              <w:ind w:left="0" w:right="0" w:hanging="0"/>
              <w:rPr>
                <w:rFonts w:ascii="Calibri" w:hAnsi="Calibri"/>
              </w:rPr>
            </w:pPr>
            <w:r>
              <w:rPr/>
            </w:r>
          </w:p>
        </w:tc>
      </w:tr>
      <w:tr>
        <w:trPr/>
        <w:tc>
          <w:tcPr>
            <w:tcW w:w="4927" w:type="dxa"/>
            <w:tcBorders/>
          </w:tcPr>
          <w:p>
            <w:pPr>
              <w:pStyle w:val="Normal"/>
              <w:widowControl w:val="false"/>
              <w:spacing w:lineRule="auto" w:line="240"/>
              <w:ind w:hanging="0"/>
              <w:rPr>
                <w:rFonts w:cs="Calibri" w:cstheme="minorHAnsi"/>
                <w:bCs/>
              </w:rPr>
            </w:pPr>
            <w:r>
              <w:rPr>
                <w:rFonts w:cs="Calibri" w:cstheme="minorHAnsi"/>
                <w:bCs/>
              </w:rPr>
              <w:t>A</w:t>
            </w:r>
            <w:r>
              <w:rPr>
                <w:rFonts w:cs="Calibri" w:cstheme="minorHAnsi"/>
                <w:bCs/>
              </w:rPr>
              <w:t>dministracijos direktorė</w:t>
            </w:r>
          </w:p>
          <w:p>
            <w:pPr>
              <w:pStyle w:val="Normal"/>
              <w:widowControl w:val="false"/>
              <w:spacing w:lineRule="auto" w:line="240"/>
              <w:ind w:hanging="0"/>
              <w:rPr>
                <w:rFonts w:cs="Calibri" w:cstheme="minorHAnsi"/>
                <w:bCs/>
              </w:rPr>
            </w:pPr>
            <w:r>
              <w:rPr>
                <w:rFonts w:cs="Calibri" w:cstheme="minorHAnsi"/>
                <w:bCs/>
              </w:rPr>
              <w:t xml:space="preserve">Jūratė Mickevičienė  </w:t>
            </w:r>
          </w:p>
        </w:tc>
        <w:tc>
          <w:tcPr>
            <w:tcW w:w="4926" w:type="dxa"/>
            <w:tcBorders/>
          </w:tcPr>
          <w:p>
            <w:pPr>
              <w:pStyle w:val="Normal"/>
              <w:widowControl w:val="false"/>
              <w:tabs>
                <w:tab w:val="clear" w:pos="397"/>
                <w:tab w:val="left" w:pos="426" w:leader="none"/>
              </w:tabs>
              <w:spacing w:lineRule="auto" w:line="240"/>
              <w:ind w:left="0" w:right="0" w:hanging="0"/>
              <w:rPr>
                <w:rFonts w:cs="Calibri"/>
              </w:rPr>
            </w:pPr>
            <w:r>
              <w:rPr>
                <w:rFonts w:cs="Calibri"/>
              </w:rPr>
              <w:t>Direktorius</w:t>
            </w:r>
          </w:p>
          <w:p>
            <w:pPr>
              <w:pStyle w:val="Normal"/>
              <w:widowControl w:val="false"/>
              <w:tabs>
                <w:tab w:val="clear" w:pos="397"/>
                <w:tab w:val="left" w:pos="426" w:leader="none"/>
              </w:tabs>
              <w:spacing w:lineRule="auto" w:line="240"/>
              <w:ind w:left="0" w:right="0" w:hanging="0"/>
              <w:rPr>
                <w:rFonts w:cs="Calibri"/>
              </w:rPr>
            </w:pPr>
            <w:r>
              <w:rPr>
                <w:rFonts w:cs="Calibri"/>
              </w:rPr>
              <w:t xml:space="preserve">Darius Šliumeras </w:t>
            </w:r>
          </w:p>
        </w:tc>
      </w:tr>
    </w:tbl>
    <w:p>
      <w:pPr>
        <w:pStyle w:val="NoSpacing"/>
        <w:spacing w:lineRule="auto" w:line="300" w:before="0" w:after="0"/>
        <w:ind w:hanging="0"/>
        <w:contextualSpacing/>
        <w:rPr>
          <w:rFonts w:eastAsia="Calibri" w:cs="Calibri" w:cstheme="minorHAnsi"/>
          <w:bCs/>
          <w:iCs/>
        </w:rPr>
      </w:pPr>
      <w:r>
        <w:rPr>
          <w:rFonts w:eastAsia="Calibri" w:cs="Calibri" w:cstheme="minorHAnsi"/>
          <w:bCs/>
          <w:iCs/>
        </w:rPr>
      </w:r>
    </w:p>
    <w:p>
      <w:pPr>
        <w:pStyle w:val="Normal"/>
        <w:jc w:val="center"/>
        <w:rPr>
          <w:rFonts w:ascii="Calibri" w:hAnsi="Calibri" w:eastAsia="Calibri" w:cs="Arial"/>
          <w:bCs/>
          <w:iCs/>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Fonts w:cs="Arial" w:ascii="Arial" w:hAnsi="Arial"/>
        </w:rPr>
      </w:r>
    </w:p>
    <w:p>
      <w:pPr>
        <w:pStyle w:val="Normal"/>
        <w:spacing w:before="0" w:after="120"/>
        <w:ind w:left="567" w:hanging="0"/>
        <w:contextualSpacing/>
        <w:rPr>
          <w:rFonts w:ascii="Arial" w:hAnsi="Arial" w:cs="Arial"/>
        </w:rPr>
      </w:pPr>
      <w:r>
        <w:rPr/>
      </w:r>
    </w:p>
    <w:sectPr>
      <w:type w:val="nextPage"/>
      <w:pgSz w:w="12240" w:h="15840"/>
      <w:pgMar w:left="1701" w:right="567" w:header="0" w:top="1134" w:footer="0" w:bottom="1134" w:gutter="0"/>
      <w:pgNumType w:fmt="decimal"/>
      <w:formProt w:val="false"/>
      <w:textDirection w:val="lrTb"/>
      <w:docGrid w:type="default" w:linePitch="360" w:charSpace="235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OpenSymbol">
    <w:altName w:val="Arial Unicode MS"/>
    <w:charset w:val="ba"/>
    <w:family w:val="roman"/>
    <w:pitch w:val="variable"/>
  </w:font>
  <w:font w:name="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val="false"/>
        <w:bCs w:val="false"/>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397"/>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1735"/>
    <w:pPr>
      <w:widowControl/>
      <w:suppressAutoHyphens w:val="true"/>
      <w:bidi w:val="0"/>
      <w:spacing w:lineRule="auto" w:line="300"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Heading1Char"/>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Heading2Char"/>
    <w:uiPriority w:val="9"/>
    <w:unhideWhenUsed/>
    <w:qFormat/>
    <w:rsid w:val="00281735"/>
    <w:pPr>
      <w:keepNext w:val="true"/>
      <w:keepLines/>
      <w:spacing w:lineRule="auto" w:line="240" w:before="120" w:after="0"/>
      <w:outlineLvl w:val="1"/>
    </w:pPr>
    <w:rPr>
      <w:rFonts w:ascii="Calibri Light" w:hAnsi="Calibri Light" w:eastAsia="" w:cs="" w:asciiTheme="majorHAnsi" w:cstheme="majorBidi" w:eastAsiaTheme="majorEastAsia" w:hAnsiTheme="majorHAnsi"/>
      <w:color w:val="ED7D31" w:themeColor="accent2"/>
      <w:sz w:val="36"/>
      <w:szCs w:val="36"/>
    </w:rPr>
  </w:style>
  <w:style w:type="paragraph" w:styleId="Antrat3">
    <w:name w:val="Heading 3"/>
    <w:basedOn w:val="Normal"/>
    <w:next w:val="Normal"/>
    <w:link w:val="Heading3Char"/>
    <w:uiPriority w:val="9"/>
    <w:semiHidden/>
    <w:unhideWhenUsed/>
    <w:qFormat/>
    <w:rsid w:val="00281735"/>
    <w:pPr>
      <w:keepNext w:val="true"/>
      <w:keepLines/>
      <w:spacing w:lineRule="auto" w:line="240" w:before="80" w:after="0"/>
      <w:outlineLvl w:val="2"/>
    </w:pPr>
    <w:rPr>
      <w:rFonts w:ascii="Calibri Light" w:hAnsi="Calibri Light" w:eastAsia="" w:cs=""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Heading4Char"/>
    <w:uiPriority w:val="9"/>
    <w:semiHidden/>
    <w:unhideWhenUsed/>
    <w:qFormat/>
    <w:rsid w:val="00281735"/>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Heading5Char"/>
    <w:uiPriority w:val="9"/>
    <w:semiHidden/>
    <w:unhideWhenUsed/>
    <w:qFormat/>
    <w:rsid w:val="00281735"/>
    <w:pPr>
      <w:keepNext w:val="true"/>
      <w:keepLines/>
      <w:spacing w:lineRule="auto" w:line="240" w:before="80" w:after="0"/>
      <w:outlineLvl w:val="4"/>
    </w:pPr>
    <w:rPr>
      <w:rFonts w:ascii="Calibri Light" w:hAnsi="Calibri Light" w:eastAsia="" w:cs=""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Heading6Char"/>
    <w:uiPriority w:val="9"/>
    <w:semiHidden/>
    <w:unhideWhenUsed/>
    <w:qFormat/>
    <w:rsid w:val="00281735"/>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Heading7Char"/>
    <w:uiPriority w:val="9"/>
    <w:semiHidden/>
    <w:unhideWhenUsed/>
    <w:qFormat/>
    <w:rsid w:val="00281735"/>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Heading8Char"/>
    <w:uiPriority w:val="9"/>
    <w:semiHidden/>
    <w:unhideWhenUsed/>
    <w:qFormat/>
    <w:rsid w:val="00281735"/>
    <w:pPr>
      <w:keepNext w:val="true"/>
      <w:keepLines/>
      <w:spacing w:lineRule="auto" w:line="240" w:before="80" w:after="0"/>
      <w:outlineLvl w:val="7"/>
    </w:pPr>
    <w:rPr>
      <w:rFonts w:ascii="Calibri Light" w:hAnsi="Calibri Light" w:eastAsia="" w:cs=""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Heading9Char"/>
    <w:uiPriority w:val="9"/>
    <w:semiHidden/>
    <w:unhideWhenUsed/>
    <w:qFormat/>
    <w:rsid w:val="00281735"/>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81735"/>
    <w:rPr>
      <w:rFonts w:ascii="Calibri Light" w:hAnsi="Calibri Light" w:eastAsia="" w:cs="" w:asciiTheme="majorHAnsi" w:cstheme="majorBidi" w:eastAsiaTheme="majorEastAsia" w:hAnsiTheme="majorHAnsi"/>
      <w:color w:val="262626" w:themeColor="text1" w:themeTint="d9"/>
      <w:sz w:val="40"/>
      <w:szCs w:val="40"/>
    </w:rPr>
  </w:style>
  <w:style w:type="character" w:styleId="Internetosaitas">
    <w:name w:val="Interneto saitas"/>
    <w:basedOn w:val="DefaultParagraphFont"/>
    <w:uiPriority w:val="99"/>
    <w:unhideWhenUsed/>
    <w:rsid w:val="003d64a6"/>
    <w:rPr>
      <w:color w:val="0563C1" w:themeColor="hyperlink"/>
      <w:u w:val="singl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281735"/>
    <w:rPr>
      <w:caps/>
      <w:color w:val="404040" w:themeColor="text1" w:themeTint="bf"/>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Inaosramenys" w:customStyle="1">
    <w:name w:val="Išnašos rašmenys"/>
    <w:qFormat/>
    <w:rsid w:val="00db6af6"/>
    <w:rPr>
      <w:vertAlign w:val="superscript"/>
    </w:rPr>
  </w:style>
  <w:style w:type="character" w:styleId="Inaosprieraias">
    <w:name w:val="Išnašos prieraišas"/>
    <w:rPr>
      <w:vertAlign w:val="superscript"/>
    </w:rPr>
  </w:style>
  <w:style w:type="character" w:styleId="FootnoteCharacters" w:customStyle="1">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link w:val="BodyText"/>
    <w:qFormat/>
    <w:rsid w:val="00fa144d"/>
    <w:rPr>
      <w:rFonts w:ascii="Times New Roman" w:hAnsi="Times New Roman"/>
      <w:sz w:val="24"/>
      <w:szCs w:val="20"/>
      <w:lang w:eastAsia="en-US"/>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link w:val="Heading2"/>
    <w:uiPriority w:val="9"/>
    <w:qFormat/>
    <w:rsid w:val="00281735"/>
    <w:rPr>
      <w:rFonts w:ascii="Calibri Light" w:hAnsi="Calibri Light" w:eastAsia="" w:cs=""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link w:val="Heading3"/>
    <w:uiPriority w:val="9"/>
    <w:semiHidden/>
    <w:qFormat/>
    <w:rsid w:val="00281735"/>
    <w:rPr>
      <w:rFonts w:ascii="Calibri Light" w:hAnsi="Calibri Light" w:eastAsia="" w:cs=""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link w:val="Heading4"/>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281735"/>
    <w:rPr>
      <w:rFonts w:ascii="Calibri Light" w:hAnsi="Calibri Light" w:eastAsia="" w:cs=""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link w:val="Heading6"/>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281735"/>
    <w:rPr>
      <w:rFonts w:ascii="Calibri Light" w:hAnsi="Calibri Light" w:eastAsia="" w:cs=""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281735"/>
    <w:rPr>
      <w:rFonts w:ascii="Calibri Light" w:hAnsi="Calibri Light" w:eastAsia="" w:cs=""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link w:val="Heading9"/>
    <w:uiPriority w:val="9"/>
    <w:semiHidden/>
    <w:qFormat/>
    <w:rsid w:val="00281735"/>
    <w:rPr>
      <w:rFonts w:ascii="Calibri Light" w:hAnsi="Calibri Light" w:eastAsia="" w:cs=""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link w:val="Title"/>
    <w:uiPriority w:val="10"/>
    <w:qFormat/>
    <w:rsid w:val="00281735"/>
    <w:rPr>
      <w:rFonts w:ascii="Calibri Light" w:hAnsi="Calibri Light" w:eastAsia="" w:cs=""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1" w:customStyle="1">
    <w:name w:val="Emphasis1"/>
    <w:basedOn w:val="DefaultParagraphFont"/>
    <w:uiPriority w:val="20"/>
    <w:qFormat/>
    <w:rsid w:val="00281735"/>
    <w:rPr>
      <w:i/>
      <w:iCs/>
      <w:color w:val="000000" w:themeColor="text1"/>
    </w:rPr>
  </w:style>
  <w:style w:type="character" w:styleId="QuoteChar" w:customStyle="1">
    <w:name w:val="Quote Char"/>
    <w:basedOn w:val="DefaultParagraphFont"/>
    <w:link w:val="Quote"/>
    <w:uiPriority w:val="29"/>
    <w:qFormat/>
    <w:rsid w:val="00281735"/>
    <w:rPr>
      <w:rFonts w:ascii="Calibri Light" w:hAnsi="Calibri Light" w:eastAsia="" w:cs=""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281735"/>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name w:val="Aplankytas interneto saitas"/>
    <w:basedOn w:val="DefaultParagraphFont"/>
    <w:uiPriority w:val="99"/>
    <w:semiHidden/>
    <w:unhideWhenUsed/>
    <w:rsid w:val="00e57401"/>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Galinsinaosramenys" w:customStyle="1">
    <w:name w:val="Galinės išnašos rašmenys"/>
    <w:qFormat/>
    <w:rsid w:val="00db6af6"/>
    <w:rPr>
      <w:vertAlign w:val="superscript"/>
    </w:rPr>
  </w:style>
  <w:style w:type="character" w:styleId="Galinsinaosprieraias">
    <w:name w:val="Galinės išnašos prieraišas"/>
    <w:rPr>
      <w:vertAlign w:val="superscript"/>
    </w:rPr>
  </w:style>
  <w:style w:type="character" w:styleId="EndnoteCharacters" w:customStyle="1">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qFormat/>
    <w:rsid w:val="004d2fb8"/>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4d2fb8"/>
    <w:rPr/>
  </w:style>
  <w:style w:type="character" w:styleId="Cf01" w:customStyle="1">
    <w:name w:val="cf01"/>
    <w:basedOn w:val="DefaultParagraphFont"/>
    <w:qFormat/>
    <w:rsid w:val="00f5411e"/>
    <w:rPr>
      <w:rFonts w:ascii="Segoe UI" w:hAnsi="Segoe UI" w:cs="Segoe UI"/>
      <w:sz w:val="18"/>
      <w:szCs w:val="18"/>
    </w:rPr>
  </w:style>
  <w:style w:type="character" w:styleId="Normaltextrun" w:customStyle="1">
    <w:name w:val="normaltextrun"/>
    <w:basedOn w:val="DefaultParagraphFont"/>
    <w:qFormat/>
    <w:rsid w:val="00a52ba0"/>
    <w:rPr/>
  </w:style>
  <w:style w:type="character" w:styleId="Rodyklssaitas" w:customStyle="1">
    <w:name w:val="Rodyklės saitas"/>
    <w:qFormat/>
    <w:rsid w:val="009a715c"/>
    <w:rPr/>
  </w:style>
  <w:style w:type="character" w:styleId="Numeravimosimboliai" w:customStyle="1">
    <w:name w:val="Numeravimo simboliai"/>
    <w:qFormat/>
    <w:rsid w:val="009a715c"/>
    <w:rPr>
      <w:b w:val="false"/>
      <w:bCs w:val="false"/>
    </w:rPr>
  </w:style>
  <w:style w:type="character" w:styleId="T474" w:customStyle="1">
    <w:name w:val="t474"/>
    <w:qFormat/>
    <w:rsid w:val="009a715c"/>
    <w:rPr/>
  </w:style>
  <w:style w:type="character" w:styleId="T475" w:customStyle="1">
    <w:name w:val="t475"/>
    <w:qFormat/>
    <w:rsid w:val="009a715c"/>
    <w:rPr/>
  </w:style>
  <w:style w:type="character" w:styleId="Bullets" w:customStyle="1">
    <w:name w:val="Bullets"/>
    <w:qFormat/>
    <w:rsid w:val="009a715c"/>
    <w:rPr>
      <w:rFonts w:ascii="OpenSymbol" w:hAnsi="OpenSymbol" w:eastAsia="OpenSymbol" w:cs="OpenSymbol"/>
    </w:rPr>
  </w:style>
  <w:style w:type="paragraph" w:styleId="Antrat" w:customStyle="1">
    <w:name w:val="Antraštė"/>
    <w:next w:val="Body2"/>
    <w:qFormat/>
    <w:rsid w:val="00072fe6"/>
    <w:pPr>
      <w:widowControl/>
      <w:suppressAutoHyphens w:val="true"/>
      <w:bidi w:val="0"/>
      <w:spacing w:before="0" w:after="0"/>
      <w:ind w:firstLine="697"/>
      <w:jc w:val="both"/>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BodyTextChar"/>
    <w:rsid w:val="00fa144d"/>
    <w:pPr>
      <w:ind w:firstLine="567"/>
    </w:pPr>
    <w:rPr>
      <w:szCs w:val="20"/>
    </w:rPr>
  </w:style>
  <w:style w:type="paragraph" w:styleId="Sraas">
    <w:name w:val="List"/>
    <w:basedOn w:val="Pagrindinistekstas"/>
    <w:rsid w:val="009a715c"/>
    <w:pPr/>
    <w:rPr>
      <w:rFonts w:cs="Arial Unicode MS"/>
    </w:rPr>
  </w:style>
  <w:style w:type="paragraph" w:styleId="Pavadinimas">
    <w:name w:val="Caption"/>
    <w:basedOn w:val="Normal"/>
    <w:qFormat/>
    <w:pPr>
      <w:suppressLineNumbers/>
      <w:spacing w:before="120" w:after="120"/>
    </w:pPr>
    <w:rPr>
      <w:rFonts w:cs="Arial Unicode MS"/>
      <w:i/>
      <w:iCs/>
      <w:sz w:val="24"/>
      <w:szCs w:val="24"/>
    </w:rPr>
  </w:style>
  <w:style w:type="paragraph" w:styleId="Rodykl" w:customStyle="1">
    <w:name w:val="Rodyklė"/>
    <w:basedOn w:val="Normal"/>
    <w:qFormat/>
    <w:rsid w:val="009a715c"/>
    <w:pPr>
      <w:suppressLineNumbers/>
    </w:pPr>
    <w:rPr>
      <w:rFonts w:cs="Arial Unicode MS"/>
    </w:rPr>
  </w:style>
  <w:style w:type="paragraph" w:styleId="Caption">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Inaa">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Dokumentopaantrat">
    <w:name w:val="Subtitle"/>
    <w:basedOn w:val="Normal"/>
    <w:next w:val="Normal"/>
    <w:link w:val="SubtitleChar"/>
    <w:uiPriority w:val="11"/>
    <w:qFormat/>
    <w:rsid w:val="00281735"/>
    <w:pPr>
      <w:spacing w:before="0"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spacing w:before="0" w:after="0"/>
      <w:ind w:left="720" w:firstLine="697"/>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Puslapinantratirporat" w:customStyle="1">
    <w:name w:val="Puslapinė antraštė ir poraštė"/>
    <w:basedOn w:val="Normal"/>
    <w:qFormat/>
    <w:rsid w:val="009a715c"/>
    <w:pPr/>
    <w:rPr/>
  </w:style>
  <w:style w:type="paragraph" w:styleId="Puslapinantrat">
    <w:name w:val="Header"/>
    <w:basedOn w:val="Normal"/>
    <w:link w:val="HeaderChar"/>
    <w:uiPriority w:val="99"/>
    <w:unhideWhenUsed/>
    <w:rsid w:val="00f560b4"/>
    <w:pPr>
      <w:tabs>
        <w:tab w:val="clear" w:pos="397"/>
        <w:tab w:val="center" w:pos="4513" w:leader="none"/>
        <w:tab w:val="right" w:pos="9026" w:leader="none"/>
      </w:tabs>
    </w:pPr>
    <w:rPr/>
  </w:style>
  <w:style w:type="paragraph" w:styleId="Puslapinporat">
    <w:name w:val="Footer"/>
    <w:basedOn w:val="Normal"/>
    <w:link w:val="FooterChar"/>
    <w:unhideWhenUsed/>
    <w:rsid w:val="00f560b4"/>
    <w:pPr>
      <w:tabs>
        <w:tab w:val="clear" w:pos="397"/>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ind w:firstLine="697"/>
      <w:jc w:val="both"/>
    </w:pPr>
    <w:rPr>
      <w:rFonts w:ascii="Times New Roman" w:hAnsi="Times New Roman" w:eastAsia="" w:cs="" w:cstheme="minorBidi" w:eastAsiaTheme="minorEastAsia"/>
      <w:color w:val="auto"/>
      <w:kern w:val="0"/>
      <w:sz w:val="24"/>
      <w:szCs w:val="24"/>
      <w:lang w:eastAsia="en-US" w:val="lt-LT" w:bidi="ar-SA"/>
    </w:rPr>
  </w:style>
  <w:style w:type="paragraph" w:styleId="Dokumentopavadinimas">
    <w:name w:val="Title"/>
    <w:basedOn w:val="Normal"/>
    <w:next w:val="Normal"/>
    <w:link w:val="TitleChar"/>
    <w:uiPriority w:val="10"/>
    <w:qFormat/>
    <w:rsid w:val="00281735"/>
    <w:pPr>
      <w:spacing w:lineRule="auto" w:line="240" w:before="0" w:after="0"/>
      <w:contextualSpacing/>
    </w:pPr>
    <w:rPr>
      <w:rFonts w:ascii="Calibri Light" w:hAnsi="Calibri Light" w:eastAsia="" w:cs="" w:asciiTheme="majorHAnsi" w:cstheme="majorBidi" w:eastAsiaTheme="majorEastAsia" w:hAnsiTheme="majorHAnsi"/>
      <w:color w:val="262626" w:themeColor="text1" w:themeTint="d9"/>
      <w:sz w:val="96"/>
      <w:szCs w:val="96"/>
    </w:rPr>
  </w:style>
  <w:style w:type="paragraph" w:styleId="NoSpacing">
    <w:name w:val="No Spacing"/>
    <w:link w:val="NoSpacingChar"/>
    <w:uiPriority w:val="1"/>
    <w:qFormat/>
    <w:rsid w:val="00281735"/>
    <w:pPr>
      <w:widowControl/>
      <w:suppressAutoHyphens w:val="true"/>
      <w:bidi w:val="0"/>
      <w:spacing w:before="0" w:after="0"/>
      <w:ind w:firstLine="697"/>
      <w:jc w:val="both"/>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281735"/>
    <w:pPr>
      <w:spacing w:before="160" w:after="0"/>
      <w:ind w:left="720" w:right="720" w:firstLine="697"/>
      <w:jc w:val="center"/>
    </w:pPr>
    <w:rPr>
      <w:rFonts w:ascii="Calibri Light" w:hAnsi="Calibri Light" w:eastAsia="" w:cs=""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lineRule="auto" w:line="240" w:before="240" w:after="240"/>
      <w:ind w:left="936" w:right="936" w:firstLine="697"/>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Antrat"/>
    <w:qFormat/>
    <w:rsid w:val="005f12ef"/>
    <w:pPr/>
    <w:rPr/>
  </w:style>
  <w:style w:type="paragraph" w:styleId="TOCHeading">
    <w:name w:val="TOC Heading"/>
    <w:basedOn w:val="Antrat1"/>
    <w:next w:val="Normal"/>
    <w:uiPriority w:val="39"/>
    <w:unhideWhenUsed/>
    <w:qFormat/>
    <w:rsid w:val="00281735"/>
    <w:pPr/>
    <w:rPr/>
  </w:style>
  <w:style w:type="paragraph" w:styleId="Turinys1">
    <w:name w:val="TOC 1"/>
    <w:basedOn w:val="Normal"/>
    <w:next w:val="Normal"/>
    <w:autoRedefine/>
    <w:uiPriority w:val="39"/>
    <w:unhideWhenUsed/>
    <w:rsid w:val="00e2712c"/>
    <w:pPr>
      <w:tabs>
        <w:tab w:val="clear" w:pos="397"/>
        <w:tab w:val="left" w:pos="426" w:leader="none"/>
        <w:tab w:val="left" w:pos="1100" w:leader="none"/>
        <w:tab w:val="right" w:pos="9962" w:leader="dot"/>
      </w:tabs>
      <w:ind w:left="426" w:right="877" w:hanging="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ind w:firstLine="697"/>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ed735b"/>
    <w:pPr>
      <w:tabs>
        <w:tab w:val="clear" w:pos="397"/>
        <w:tab w:val="right" w:pos="9962" w:leader="dot"/>
      </w:tabs>
      <w:ind w:left="220" w:firstLine="697"/>
    </w:pPr>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tabs>
        <w:tab w:val="clear" w:pos="397"/>
        <w:tab w:val="left" w:pos="709" w:leader="none"/>
      </w:tabs>
      <w:spacing w:lineRule="auto" w:line="240" w:before="120" w:after="120"/>
      <w:ind w:left="709" w:hanging="709"/>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EndnoteTextChar"/>
    <w:uiPriority w:val="99"/>
    <w:semiHidden/>
    <w:unhideWhenUsed/>
    <w:rsid w:val="00482bc0"/>
    <w:pPr>
      <w:spacing w:lineRule="auto" w:line="240"/>
    </w:pPr>
    <w:rPr>
      <w:sz w:val="20"/>
      <w:szCs w:val="20"/>
    </w:rPr>
  </w:style>
  <w:style w:type="paragraph" w:styleId="Normal12pt" w:customStyle="1">
    <w:name w:val="Normal + 12 pt"/>
    <w:basedOn w:val="Normal"/>
    <w:link w:val="Normal12ptChar"/>
    <w:qFormat/>
    <w:rsid w:val="00a4394e"/>
    <w:pPr>
      <w:spacing w:lineRule="auto" w:line="240"/>
      <w:ind w:right="-283" w:firstLine="697"/>
    </w:pPr>
    <w:rPr/>
  </w:style>
  <w:style w:type="paragraph" w:styleId="Paragrafesrasas2lygis" w:customStyle="1">
    <w:name w:val="_paragrafe sąrasas 2 lygis"/>
    <w:basedOn w:val="BodyTextIndent2"/>
    <w:qFormat/>
    <w:rsid w:val="004d2fb8"/>
    <w:pPr>
      <w:spacing w:lineRule="auto" w:line="276"/>
      <w:ind w:left="0" w:hanging="0"/>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lineRule="auto" w:line="480" w:before="0" w:after="120"/>
      <w:ind w:left="283" w:firstLine="697"/>
    </w:pPr>
    <w:rPr/>
  </w:style>
  <w:style w:type="paragraph" w:styleId="Pantraste" w:customStyle="1">
    <w:name w:val="P.antraste"/>
    <w:basedOn w:val="Normal"/>
    <w:qFormat/>
    <w:rsid w:val="008f7cc2"/>
    <w:pPr>
      <w:spacing w:lineRule="auto" w:line="240"/>
      <w:ind w:left="-142" w:hanging="0"/>
      <w:jc w:val="center"/>
    </w:pPr>
    <w:rPr>
      <w:rFonts w:ascii="Times New Roman" w:hAnsi="Times New Roman" w:eastAsia="Times New Roman" w:cs="Times New Roman"/>
      <w:b/>
      <w:sz w:val="24"/>
      <w:szCs w:val="24"/>
      <w:lang w:eastAsia="en-US"/>
    </w:rPr>
  </w:style>
  <w:style w:type="paragraph" w:styleId="Lentelsturinys" w:customStyle="1">
    <w:name w:val="Lentelės turinys"/>
    <w:basedOn w:val="Normal"/>
    <w:qFormat/>
    <w:rsid w:val="009a715c"/>
    <w:pPr>
      <w:widowControl w:val="false"/>
      <w:suppressLineNumbers/>
    </w:pPr>
    <w:rPr/>
  </w:style>
  <w:style w:type="paragraph" w:styleId="Lentelsantrat" w:customStyle="1">
    <w:name w:val="Lentelės antraštė"/>
    <w:basedOn w:val="Lentelsturinys"/>
    <w:qFormat/>
    <w:rsid w:val="009a715c"/>
    <w:pPr>
      <w:jc w:val="center"/>
    </w:pPr>
    <w:rPr>
      <w:b/>
      <w:bCs/>
    </w:rPr>
  </w:style>
  <w:style w:type="paragraph" w:styleId="Default" w:customStyle="1">
    <w:name w:val="Default"/>
    <w:qFormat/>
    <w:rsid w:val="009a715c"/>
    <w:pPr>
      <w:widowControl/>
      <w:suppressAutoHyphens w:val="true"/>
      <w:bidi w:val="0"/>
      <w:spacing w:before="0" w:after="0"/>
      <w:jc w:val="left"/>
    </w:pPr>
    <w:rPr>
      <w:rFonts w:ascii="Times New Roman" w:hAnsi="Times New Roman" w:eastAsia="Calibri" w:cs="Times New Roman"/>
      <w:color w:val="000000"/>
      <w:kern w:val="0"/>
      <w:sz w:val="24"/>
      <w:szCs w:val="24"/>
      <w:lang w:eastAsia="en-US" w:val="lt-LT" w:bidi="ar-SA"/>
    </w:rPr>
  </w:style>
  <w:style w:type="paragraph" w:styleId="Prastasis10punktai" w:customStyle="1">
    <w:name w:val="Įprastasis + 10 punktai"/>
    <w:basedOn w:val="Normal"/>
    <w:qFormat/>
    <w:rsid w:val="009a715c"/>
    <w:pPr>
      <w:suppressAutoHyphens w:val="false"/>
      <w:ind w:right="-1" w:hanging="0"/>
      <w:jc w:val="center"/>
    </w:pPr>
    <w:rPr>
      <w:rFonts w:ascii="Times New Roman" w:hAnsi="Times New Roman"/>
      <w:b/>
      <w:bCs/>
      <w:sz w:val="20"/>
      <w:lang w:eastAsia="en-US"/>
    </w:rPr>
  </w:style>
  <w:style w:type="paragraph" w:styleId="PrastasisParykintasis" w:customStyle="1">
    <w:name w:val="Įprastasis + Paryškintasis"/>
    <w:basedOn w:val="Normal"/>
    <w:qFormat/>
    <w:rsid w:val="009a715c"/>
    <w:pPr>
      <w:suppressAutoHyphens w:val="false"/>
      <w:ind w:right="566" w:hanging="0"/>
      <w:jc w:val="center"/>
    </w:pPr>
    <w:rPr>
      <w:rFonts w:ascii="Times New Roman" w:hAnsi="Times New Roman"/>
      <w:b/>
      <w:bCs/>
      <w:szCs w:val="24"/>
      <w:lang w:eastAsia="en-US"/>
    </w:rPr>
  </w:style>
  <w:style w:type="paragraph" w:styleId="Stilius1" w:customStyle="1">
    <w:name w:val="Stilius1"/>
    <w:basedOn w:val="Normal"/>
    <w:qFormat/>
    <w:rsid w:val="009a715c"/>
    <w:pPr>
      <w:tabs>
        <w:tab w:val="clear" w:pos="397"/>
        <w:tab w:val="left" w:pos="284" w:leader="none"/>
      </w:tabs>
      <w:suppressAutoHyphens w:val="false"/>
      <w:jc w:val="center"/>
    </w:pPr>
    <w:rPr>
      <w:rFonts w:ascii="Times New Roman" w:hAnsi="Times New Roman" w:eastAsia="Calibri"/>
      <w:b/>
      <w:szCs w:val="24"/>
      <w:lang w:eastAsia="en-US"/>
    </w:rPr>
  </w:style>
  <w:style w:type="paragraph" w:styleId="Stilius3" w:customStyle="1">
    <w:name w:val="Stilius3"/>
    <w:basedOn w:val="Normal"/>
    <w:qFormat/>
    <w:rsid w:val="009a715c"/>
    <w:pPr>
      <w:suppressAutoHyphens w:val="false"/>
      <w:spacing w:before="200" w:after="0"/>
    </w:pPr>
    <w:rPr>
      <w:rFonts w:ascii="Calibri" w:hAnsi="Calibri" w:eastAsia="Calibri"/>
      <w:sz w:val="22"/>
      <w:szCs w:val="22"/>
      <w:lang w:eastAsia="en-US"/>
    </w:rPr>
  </w:style>
  <w:style w:type="paragraph" w:styleId="Toaheading">
    <w:name w:val="toa heading"/>
    <w:basedOn w:val="Indexheading"/>
    <w:qFormat/>
    <w:rsid w:val="009a715c"/>
    <w:pPr/>
    <w:rPr/>
  </w:style>
  <w:style w:type="paragraph" w:styleId="Pagrindiniotekstotrauka">
    <w:name w:val="Body Text Indent"/>
    <w:basedOn w:val="Normal"/>
    <w:rsid w:val="009a715c"/>
    <w:pPr>
      <w:spacing w:before="0" w:after="120"/>
      <w:ind w:left="283" w:hanging="0"/>
    </w:pPr>
    <w:rPr/>
  </w:style>
  <w:style w:type="paragraph" w:styleId="NormalTable">
    <w:name w:val="Normal Table"/>
    <w:qFormat/>
    <w:pPr>
      <w:widowControl/>
      <w:suppressAutoHyphens w:val="true"/>
      <w:bidi w:val="0"/>
      <w:spacing w:before="0" w:after="0"/>
      <w:jc w:val="left"/>
      <w:textAlignment w:val="auto"/>
    </w:pPr>
    <w:rPr>
      <w:rFonts w:ascii="Calibri" w:hAnsi="Calibri" w:eastAsia="Times New Roman" w:cs="Times New Roman" w:asciiTheme="minorHAnsi" w:hAnsiTheme="minorHAnsi"/>
      <w:color w:val="auto"/>
      <w:kern w:val="0"/>
      <w:sz w:val="22"/>
      <w:szCs w:val="22"/>
      <w:lang w:val="lt-LT" w:eastAsia="lt-LT" w:bidi="ar-SA"/>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745317"/>
  </w:style>
  <w:style w:type="numbering" w:styleId="Style11" w:customStyle="1">
    <w:name w:val="Style1"/>
    <w:uiPriority w:val="99"/>
    <w:qFormat/>
    <w:rsid w:val="00577a7e"/>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2">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3">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
    <w:name w:val="3"/>
    <w:basedOn w:val="TableNormal"/>
    <w:rsid w:val="00112f92"/>
    <w:rPr>
      <w:lang w:eastAsia="en-US"/>
      <w:sz w:val="20"/>
      <w:szCs w:val="20"/>
    </w:rPr>
    <w:tblPr>
      <w:tblStyleRowBandSize w:val="1"/>
      <w:tblStyleColBandSize w:val="1"/>
      <w:tblCellMar>
        <w:top w:w="0" w:type="dxa"/>
        <w:left w:w="108" w:type="dxa"/>
        <w:bottom w:w="0" w:type="dxa"/>
        <w:right w:w="108" w:type="dxa"/>
      </w:tblCellMar>
    </w:tblPr>
  </w:style>
  <w:style w:type="table" w:customStyle="1" w:styleId="2">
    <w:name w:val="2"/>
    <w:basedOn w:val="TableNormal"/>
    <w:rsid w:val="00112f92"/>
    <w:rPr>
      <w:lang w:eastAsia="en-US"/>
      <w:sz w:val="20"/>
      <w:szCs w:val="20"/>
    </w:rPr>
    <w:tblPr>
      <w:tblStyleRowBandSize w:val="1"/>
      <w:tblStyleColBandSize w:val="1"/>
      <w:tblCellMar>
        <w:top w:w="0" w:type="dxa"/>
        <w:left w:w="115" w:type="dxa"/>
        <w:bottom w:w="0" w:type="dxa"/>
        <w:right w:w="115" w:type="dxa"/>
      </w:tblCellMar>
    </w:tblPr>
  </w:style>
  <w:style w:type="table" w:customStyle="1" w:styleId="1">
    <w:name w:val="1"/>
    <w:basedOn w:val="TableNormal"/>
    <w:rsid w:val="00112f92"/>
    <w:rPr>
      <w:lang w:eastAsia="en-US"/>
      <w:sz w:val="20"/>
      <w:szCs w:val="20"/>
    </w:rPr>
    <w:tblPr>
      <w:tblStyleRowBandSize w:val="1"/>
      <w:tblStyleColBandSize w:val="1"/>
      <w:tblCellMar>
        <w:top w:w="0" w:type="dxa"/>
        <w:left w:w="115" w:type="dxa"/>
        <w:bottom w:w="0" w:type="dxa"/>
        <w:right w:w="115" w:type="dxa"/>
      </w:tblCellMar>
    </w:tblPr>
  </w:style>
  <w:style w:type="table" w:customStyle="1" w:styleId="TableGrid1">
    <w:name w:val="Table Grid1"/>
    <w:basedOn w:val="TableNormal"/>
    <w:uiPriority w:val="99"/>
    <w:rsid w:val="00a76eaf"/>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saskaita.eu/" TargetMode="External"/><Relationship Id="rId3" Type="http://schemas.openxmlformats.org/officeDocument/2006/relationships/hyperlink" Target="mailto:ingrida.laurinaitiene@prienai.lt" TargetMode="External"/><Relationship Id="rId4" Type="http://schemas.openxmlformats.org/officeDocument/2006/relationships/hyperlink" Target="mailto:raminta.baranauskiene@prienai.lt"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78BF2-4C3E-4604-84DE-E818628C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Application>LibreOffice/7.1.8.1$Windows_X86_64 LibreOffice_project/e1f30c802c3269a1d052614453f260e49458c82c</Application>
  <AppVersion>15.0000</AppVersion>
  <Pages>3</Pages>
  <Words>1317</Words>
  <Characters>9071</Characters>
  <CharactersWithSpaces>10339</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2023-06-20T05:39:00Z</dcterms:created>
  <dc:creator>Arūnė Andrulionienė</dc:creator>
  <dc:description/>
  <dc:language>lt-LT</dc:language>
  <cp:lastModifiedBy/>
  <cp:lastPrinted>2024-04-30T11:23:00Z</cp:lastPrinted>
  <dcterms:modified xsi:type="dcterms:W3CDTF">2024-06-07T11:41:34Z</dcterms:modified>
  <cp:revision>136</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