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Betarp"/>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Betarp"/>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Betarp"/>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Betarp"/>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Betarp"/>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Betarp"/>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140A53"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140A53"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val="es-ES_tradnl"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w:t>
      </w:r>
      <w:r w:rsidR="00440FA0" w:rsidRPr="00EC42C5">
        <w:rPr>
          <w:rFonts w:ascii="Times New Roman" w:eastAsia="Arial Unicode MS" w:hAnsi="Times New Roman" w:cs="Times New Roman"/>
          <w:sz w:val="24"/>
          <w:szCs w:val="24"/>
          <w:bdr w:val="nil"/>
          <w:lang w:val="lt-LT" w:eastAsia="lt-LT"/>
        </w:rPr>
        <w:lastRenderedPageBreak/>
        <w:t>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2AA5A68" w:rsidR="00263969" w:rsidRPr="00EC42C5" w:rsidRDefault="00257FCA" w:rsidP="00263969">
            <w:pPr>
              <w:suppressAutoHyphens/>
              <w:ind w:firstLine="562"/>
              <w:jc w:val="both"/>
              <w:rPr>
                <w:rFonts w:eastAsia="Arial Unicode MS"/>
                <w:sz w:val="24"/>
                <w:szCs w:val="24"/>
                <w:bdr w:val="nil"/>
              </w:rPr>
            </w:pPr>
            <w:r w:rsidRPr="008A4381">
              <w:rPr>
                <w:sz w:val="24"/>
                <w:szCs w:val="24"/>
              </w:rPr>
              <w:t>Viešoji įstaiga Respublikinė Šiaulių ligoninė</w:t>
            </w:r>
          </w:p>
          <w:p w14:paraId="5A313939" w14:textId="255C1656" w:rsidR="00263969" w:rsidRPr="00EC42C5" w:rsidRDefault="00257FCA" w:rsidP="00263969">
            <w:pPr>
              <w:suppressAutoHyphens/>
              <w:ind w:firstLine="562"/>
              <w:jc w:val="both"/>
              <w:rPr>
                <w:rFonts w:eastAsia="Arial Unicode MS"/>
                <w:sz w:val="24"/>
                <w:szCs w:val="24"/>
                <w:bdr w:val="nil"/>
              </w:rPr>
            </w:pPr>
            <w:r w:rsidRPr="008A4381">
              <w:rPr>
                <w:sz w:val="24"/>
                <w:szCs w:val="24"/>
              </w:rPr>
              <w:t>Mindaugas Pauliukas</w:t>
            </w:r>
          </w:p>
          <w:p w14:paraId="2D6D32B9" w14:textId="2EEF8767" w:rsidR="00263969" w:rsidRPr="00EC42C5" w:rsidRDefault="00257FC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6A298FF" w:rsidR="00263969" w:rsidRPr="00EC42C5" w:rsidRDefault="00257FCA" w:rsidP="00263969">
            <w:pPr>
              <w:suppressAutoHyphens/>
              <w:ind w:firstLine="562"/>
              <w:jc w:val="both"/>
              <w:rPr>
                <w:rFonts w:eastAsia="Arial Unicode MS"/>
                <w:sz w:val="24"/>
                <w:szCs w:val="24"/>
                <w:bdr w:val="nil"/>
              </w:rPr>
            </w:pPr>
            <w:r>
              <w:rPr>
                <w:rFonts w:eastAsia="Arial Unicode MS"/>
                <w:sz w:val="24"/>
                <w:szCs w:val="24"/>
                <w:bdr w:val="nil"/>
              </w:rPr>
              <w:t>UAB „</w:t>
            </w:r>
            <w:r w:rsidR="000A089D">
              <w:rPr>
                <w:rFonts w:eastAsia="Arial Unicode MS"/>
                <w:sz w:val="24"/>
                <w:szCs w:val="24"/>
                <w:bdr w:val="nil"/>
              </w:rPr>
              <w:t>Biovita</w:t>
            </w:r>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5D46D9F9" w:rsidR="00263969" w:rsidRPr="0046233C" w:rsidRDefault="000A089D" w:rsidP="00263969">
            <w:pPr>
              <w:suppressAutoHyphens/>
              <w:ind w:firstLine="562"/>
              <w:jc w:val="both"/>
              <w:rPr>
                <w:rFonts w:eastAsia="Arial Unicode MS"/>
                <w:sz w:val="24"/>
                <w:szCs w:val="24"/>
                <w:bdr w:val="nil"/>
              </w:rPr>
            </w:pPr>
            <w:r>
              <w:rPr>
                <w:color w:val="333333"/>
                <w:sz w:val="24"/>
                <w:szCs w:val="24"/>
                <w:shd w:val="clear" w:color="auto" w:fill="FFFFFF"/>
              </w:rPr>
              <w:t>A</w:t>
            </w:r>
            <w:r w:rsidR="00140A53">
              <w:rPr>
                <w:color w:val="333333"/>
                <w:sz w:val="24"/>
                <w:szCs w:val="24"/>
                <w:shd w:val="clear" w:color="auto" w:fill="FFFFFF"/>
              </w:rPr>
              <w:t>ušra</w:t>
            </w:r>
            <w:r>
              <w:rPr>
                <w:color w:val="333333"/>
                <w:sz w:val="24"/>
                <w:szCs w:val="24"/>
                <w:shd w:val="clear" w:color="auto" w:fill="FFFFFF"/>
              </w:rPr>
              <w:t xml:space="preserve"> Mikalajūnienė</w:t>
            </w:r>
          </w:p>
          <w:p w14:paraId="5CD27169" w14:textId="47926564" w:rsidR="00263969" w:rsidRPr="0046233C" w:rsidRDefault="000A089D" w:rsidP="00263969">
            <w:pPr>
              <w:suppressAutoHyphens/>
              <w:ind w:firstLine="562"/>
              <w:jc w:val="both"/>
              <w:rPr>
                <w:rFonts w:eastAsia="Arial Unicode MS"/>
                <w:sz w:val="24"/>
                <w:szCs w:val="24"/>
                <w:bdr w:val="nil"/>
              </w:rPr>
            </w:pPr>
            <w:r>
              <w:rPr>
                <w:rFonts w:eastAsia="Arial Unicode MS"/>
                <w:sz w:val="24"/>
                <w:szCs w:val="24"/>
                <w:bdr w:val="nil"/>
              </w:rPr>
              <w:t>D</w:t>
            </w:r>
            <w:r w:rsidR="00257FCA" w:rsidRPr="0046233C">
              <w:rPr>
                <w:rFonts w:eastAsia="Arial Unicode MS"/>
                <w:sz w:val="24"/>
                <w:szCs w:val="24"/>
                <w:bdr w:val="nil"/>
              </w:rPr>
              <w:t>irektor</w:t>
            </w:r>
            <w:r>
              <w:rPr>
                <w:rFonts w:eastAsia="Arial Unicode MS"/>
                <w:sz w:val="24"/>
                <w:szCs w:val="24"/>
                <w:bdr w:val="nil"/>
              </w:rPr>
              <w:t>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59B1A" w14:textId="77777777" w:rsidR="00FA5BD3" w:rsidRDefault="00FA5BD3" w:rsidP="00AE6C01">
      <w:pPr>
        <w:spacing w:after="0" w:line="240" w:lineRule="auto"/>
      </w:pPr>
      <w:r>
        <w:separator/>
      </w:r>
    </w:p>
  </w:endnote>
  <w:endnote w:type="continuationSeparator" w:id="0">
    <w:p w14:paraId="767A3A88" w14:textId="77777777" w:rsidR="00FA5BD3" w:rsidRDefault="00FA5BD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16B3" w14:textId="77777777" w:rsidR="00FA5BD3" w:rsidRDefault="00FA5BD3" w:rsidP="00AE6C01">
      <w:pPr>
        <w:spacing w:after="0" w:line="240" w:lineRule="auto"/>
      </w:pPr>
      <w:r>
        <w:separator/>
      </w:r>
    </w:p>
  </w:footnote>
  <w:footnote w:type="continuationSeparator" w:id="0">
    <w:p w14:paraId="43D95E11" w14:textId="77777777" w:rsidR="00FA5BD3" w:rsidRDefault="00FA5BD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89D"/>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0A53"/>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57FCA"/>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6233C"/>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D5C53"/>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A7B3F"/>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BF75B8"/>
    <w:rsid w:val="00C04D06"/>
    <w:rsid w:val="00C15F8B"/>
    <w:rsid w:val="00C22B5F"/>
    <w:rsid w:val="00C313FD"/>
    <w:rsid w:val="00C34296"/>
    <w:rsid w:val="00C34B42"/>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1BB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A4D03"/>
    <w:rsid w:val="00FA5BD3"/>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11144</Words>
  <Characters>63524</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4</cp:revision>
  <cp:lastPrinted>2021-07-13T11:20:00Z</cp:lastPrinted>
  <dcterms:created xsi:type="dcterms:W3CDTF">2024-05-22T07:32:00Z</dcterms:created>
  <dcterms:modified xsi:type="dcterms:W3CDTF">2024-06-11T05:51:00Z</dcterms:modified>
</cp:coreProperties>
</file>