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8883" w14:textId="77777777" w:rsidR="00C6195E" w:rsidRDefault="00C6195E" w:rsidP="002466D9">
      <w:pPr>
        <w:pStyle w:val="Betarp1"/>
        <w:jc w:val="center"/>
        <w:rPr>
          <w:b/>
          <w:szCs w:val="24"/>
        </w:rPr>
      </w:pPr>
    </w:p>
    <w:p w14:paraId="56B9DDAA" w14:textId="172D20B5" w:rsidR="00D96ACC" w:rsidRPr="00AF2B50" w:rsidRDefault="00EF194F" w:rsidP="002466D9">
      <w:pPr>
        <w:pStyle w:val="Betarp1"/>
        <w:jc w:val="center"/>
        <w:rPr>
          <w:b/>
          <w:bCs/>
        </w:rPr>
      </w:pPr>
      <w:r w:rsidRPr="00775B48">
        <w:rPr>
          <w:b/>
          <w:szCs w:val="24"/>
        </w:rPr>
        <w:t xml:space="preserve">PAGĖGIŲ PASIENIO RINKTINĖS </w:t>
      </w:r>
      <w:r w:rsidR="00183C98">
        <w:rPr>
          <w:b/>
          <w:szCs w:val="24"/>
        </w:rPr>
        <w:t>PLAŠKIŲ</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Pr="00AF2B50" w:rsidRDefault="00D96ACC">
      <w:pPr>
        <w:pStyle w:val="Betarp1"/>
        <w:jc w:val="center"/>
        <w:rPr>
          <w:b/>
          <w:bCs/>
        </w:rPr>
      </w:pPr>
    </w:p>
    <w:p w14:paraId="43786F2B" w14:textId="34C28C25"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B5550B">
        <w:rPr>
          <w:rFonts w:ascii="Times New Roman" w:eastAsia="Calibri" w:hAnsi="Times New Roman" w:cs="Times New Roman"/>
          <w:sz w:val="24"/>
        </w:rPr>
        <w:t>liepos 4</w:t>
      </w:r>
      <w:r w:rsidRPr="00AF2B50">
        <w:rPr>
          <w:rFonts w:ascii="Times New Roman" w:eastAsia="Calibri" w:hAnsi="Times New Roman" w:cs="Times New Roman"/>
          <w:sz w:val="24"/>
        </w:rPr>
        <w:t xml:space="preserve"> d.  Nr. (21)-16-</w:t>
      </w:r>
      <w:r w:rsidR="00B5550B">
        <w:rPr>
          <w:rFonts w:ascii="Times New Roman" w:eastAsia="Calibri" w:hAnsi="Times New Roman" w:cs="Times New Roman"/>
          <w:sz w:val="24"/>
        </w:rPr>
        <w:t>990</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5663938A" w14:textId="77777777" w:rsidR="001C6B38" w:rsidRDefault="001C6B38" w:rsidP="001C6B38">
      <w:pPr>
        <w:spacing w:after="0" w:line="240" w:lineRule="auto"/>
        <w:ind w:firstLine="851"/>
        <w:jc w:val="both"/>
      </w:pPr>
      <w:r w:rsidRPr="00AA47E3">
        <w:rPr>
          <w:rFonts w:ascii="Times New Roman" w:hAnsi="Times New Roman" w:cs="Times New Roman"/>
          <w:b/>
          <w:bCs/>
          <w:sz w:val="24"/>
        </w:rPr>
        <w:t xml:space="preserve">Pirkėjas </w:t>
      </w:r>
      <w:r w:rsidRPr="00AA47E3">
        <w:rPr>
          <w:rFonts w:ascii="Times New Roman" w:hAnsi="Times New Roman" w:cs="Times New Roman"/>
          <w:sz w:val="24"/>
        </w:rPr>
        <w:t xml:space="preserve">– </w:t>
      </w:r>
      <w:r>
        <w:rPr>
          <w:rFonts w:ascii="Times New Roman" w:hAnsi="Times New Roman" w:cs="Times New Roman"/>
          <w:sz w:val="24"/>
        </w:rPr>
        <w:t xml:space="preserve">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Nekraševičiaus,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355EA7B5" w14:textId="4668F8D0" w:rsidR="00B0770C" w:rsidRDefault="00B0770C" w:rsidP="00B0770C">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008D4A7F" w:rsidRPr="00500E4F">
        <w:rPr>
          <w:rFonts w:ascii="Times New Roman" w:hAnsi="Times New Roman" w:cs="Times New Roman"/>
          <w:noProof/>
          <w:sz w:val="24"/>
        </w:rPr>
        <w:t xml:space="preserve">uždaroji akcinė bendrovė „Telekonta“ </w:t>
      </w:r>
      <w:r w:rsidR="008D4A7F" w:rsidRPr="00500E4F">
        <w:rPr>
          <w:rFonts w:ascii="Times New Roman" w:hAnsi="Times New Roman" w:cs="Times New Roman"/>
          <w:sz w:val="24"/>
        </w:rPr>
        <w:t>(toliau – Tiekėjas), atstovaujama generalinio direktoriaus Dovydo Gedaminsko,</w:t>
      </w:r>
      <w:r w:rsidR="008D4A7F">
        <w:rPr>
          <w:rFonts w:ascii="Times New Roman" w:hAnsi="Times New Roman" w:cs="Times New Roman"/>
          <w:sz w:val="24"/>
        </w:rPr>
        <w:t xml:space="preserve"> </w:t>
      </w:r>
      <w:r w:rsidRPr="00AF2B50">
        <w:rPr>
          <w:rFonts w:ascii="Times New Roman" w:hAnsi="Times New Roman" w:cs="Times New Roman"/>
          <w:sz w:val="24"/>
        </w:rPr>
        <w:t xml:space="preserve"> veikiančio (-ios) pagal </w:t>
      </w:r>
      <w:r w:rsidRPr="00AF2B50">
        <w:rPr>
          <w:rFonts w:ascii="Times New Roman" w:eastAsia="Calibri" w:hAnsi="Times New Roman" w:cs="Times New Roman"/>
          <w:sz w:val="24"/>
        </w:rPr>
        <w:t>šios bendrovės įstatus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328FD126" w14:textId="77777777" w:rsidR="00C6195E" w:rsidRPr="00AF2B50" w:rsidRDefault="00C6195E" w:rsidP="00B0770C">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618F70CF"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EF194F" w:rsidRPr="00FA723B">
        <w:rPr>
          <w:rFonts w:ascii="Times New Roman" w:hAnsi="Times New Roman"/>
          <w:sz w:val="24"/>
          <w:szCs w:val="24"/>
        </w:rPr>
        <w:t xml:space="preserve">Pagėgių pasienio rinktinės </w:t>
      </w:r>
      <w:r w:rsidR="001D2CBD">
        <w:rPr>
          <w:rFonts w:ascii="Times New Roman" w:hAnsi="Times New Roman"/>
          <w:sz w:val="24"/>
          <w:szCs w:val="24"/>
        </w:rPr>
        <w:t>Plaškių</w:t>
      </w:r>
      <w:r w:rsidR="00EF194F" w:rsidRPr="00FA723B">
        <w:rPr>
          <w:rFonts w:ascii="Times New Roman" w:hAnsi="Times New Roman"/>
          <w:sz w:val="24"/>
          <w:szCs w:val="24"/>
        </w:rPr>
        <w:t xml:space="preserve"> pasienio užkardos eksploatuojamos sienos stebėjimo sistemos, kurią sudaro sensorinės detekcijos ir vaizdo stebėjimo sistema</w:t>
      </w:r>
      <w:r w:rsidR="00B0770C" w:rsidRPr="00081D2B">
        <w:rPr>
          <w:rFonts w:ascii="Times New Roman" w:hAnsi="Times New Roman"/>
          <w:sz w:val="24"/>
          <w:szCs w:val="24"/>
        </w:rPr>
        <w:t xml:space="preserve"> (toliau – Sistema) įrangos remonto </w:t>
      </w:r>
      <w:bookmarkStart w:id="0" w:name="_Hlk146528045"/>
      <w:r w:rsidR="002F3829" w:rsidRPr="004C0FC0">
        <w:rPr>
          <w:rFonts w:ascii="Times New Roman" w:hAnsi="Times New Roman" w:cs="Times New Roman"/>
          <w:sz w:val="24"/>
          <w:szCs w:val="24"/>
        </w:rPr>
        <w:t xml:space="preserve">bei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471D2B07" w14:textId="5C2FC33D" w:rsidR="00B0770C" w:rsidRPr="001D2CBD" w:rsidRDefault="00D96ACC" w:rsidP="00030C85">
      <w:pPr>
        <w:pStyle w:val="Sraopastraipa"/>
        <w:tabs>
          <w:tab w:val="left" w:pos="993"/>
        </w:tabs>
        <w:spacing w:after="0" w:line="240" w:lineRule="auto"/>
        <w:ind w:left="0" w:firstLine="851"/>
        <w:jc w:val="both"/>
        <w:rPr>
          <w:rFonts w:ascii="Times New Roman" w:hAnsi="Times New Roman"/>
          <w:bCs/>
          <w:sz w:val="24"/>
          <w:szCs w:val="24"/>
        </w:rPr>
      </w:pPr>
      <w:r w:rsidRPr="001D2CBD">
        <w:rPr>
          <w:rFonts w:ascii="Times New Roman" w:hAnsi="Times New Roman" w:cs="Times New Roman"/>
          <w:sz w:val="24"/>
          <w:szCs w:val="24"/>
        </w:rPr>
        <w:t>1.</w:t>
      </w:r>
      <w:r w:rsidR="00A90800" w:rsidRPr="001D2CBD">
        <w:rPr>
          <w:rFonts w:ascii="Times New Roman" w:hAnsi="Times New Roman" w:cs="Times New Roman"/>
          <w:sz w:val="24"/>
          <w:szCs w:val="24"/>
        </w:rPr>
        <w:t>3</w:t>
      </w:r>
      <w:r w:rsidRPr="001D2CBD">
        <w:rPr>
          <w:rFonts w:ascii="Times New Roman" w:hAnsi="Times New Roman" w:cs="Times New Roman"/>
          <w:sz w:val="24"/>
          <w:szCs w:val="24"/>
        </w:rPr>
        <w:t xml:space="preserve">. </w:t>
      </w:r>
      <w:r w:rsidR="000A0FE1" w:rsidRPr="001D2CBD">
        <w:rPr>
          <w:rFonts w:ascii="Times New Roman" w:eastAsia="Times New Roman" w:hAnsi="Times New Roman" w:cs="Times New Roman"/>
          <w:sz w:val="24"/>
          <w:szCs w:val="24"/>
          <w:lang w:eastAsia="en-US"/>
        </w:rPr>
        <w:t xml:space="preserve">Paslaugų atlikimo vieta:  </w:t>
      </w:r>
      <w:r w:rsidR="001D2CBD" w:rsidRPr="001D2CBD">
        <w:rPr>
          <w:rFonts w:ascii="Times New Roman" w:hAnsi="Times New Roman"/>
          <w:bCs/>
          <w:sz w:val="24"/>
          <w:szCs w:val="24"/>
        </w:rPr>
        <w:t>Plaškių</w:t>
      </w:r>
      <w:r w:rsidR="00B0770C" w:rsidRPr="001D2CBD">
        <w:rPr>
          <w:rFonts w:ascii="Times New Roman" w:hAnsi="Times New Roman"/>
          <w:bCs/>
          <w:sz w:val="24"/>
          <w:szCs w:val="24"/>
        </w:rPr>
        <w:t xml:space="preserve"> pasienio užkardos veikimo teritorijoje (</w:t>
      </w:r>
      <w:r w:rsidR="001D2CBD" w:rsidRPr="001D2CBD">
        <w:rPr>
          <w:rFonts w:ascii="Times New Roman" w:hAnsi="Times New Roman"/>
          <w:bCs/>
          <w:sz w:val="24"/>
          <w:szCs w:val="24"/>
        </w:rPr>
        <w:t>Šilutės raj. sav., Pagėgių sav.</w:t>
      </w:r>
      <w:r w:rsidR="00B0770C" w:rsidRPr="001D2CBD">
        <w:rPr>
          <w:rFonts w:ascii="Times New Roman" w:hAnsi="Times New Roman"/>
          <w:bCs/>
          <w:sz w:val="24"/>
          <w:szCs w:val="24"/>
        </w:rPr>
        <w:t>).</w:t>
      </w:r>
      <w:r w:rsidR="00B0770C" w:rsidRPr="00B0770C">
        <w:rPr>
          <w:rFonts w:ascii="Times New Roman" w:hAnsi="Times New Roman"/>
          <w:bCs/>
          <w:sz w:val="24"/>
          <w:szCs w:val="24"/>
        </w:rPr>
        <w:t xml:space="preserve"> Sistemos įrengimo vieta – </w:t>
      </w:r>
      <w:r w:rsidR="00B0770C" w:rsidRPr="001D2CBD">
        <w:rPr>
          <w:rFonts w:ascii="Times New Roman" w:hAnsi="Times New Roman"/>
          <w:bCs/>
          <w:sz w:val="24"/>
          <w:szCs w:val="24"/>
        </w:rPr>
        <w:t xml:space="preserve">nuo </w:t>
      </w:r>
      <w:r w:rsidR="001D2CBD" w:rsidRPr="001D2CBD">
        <w:rPr>
          <w:rFonts w:ascii="Times New Roman" w:hAnsi="Times New Roman"/>
          <w:bCs/>
          <w:sz w:val="24"/>
          <w:szCs w:val="24"/>
        </w:rPr>
        <w:t>Valstybės sienos ženklo (toliau VSŽ) Nr. 456 iki Nr. 493</w:t>
      </w:r>
      <w:r w:rsidR="00B0770C" w:rsidRPr="001D2CBD">
        <w:rPr>
          <w:rFonts w:ascii="Times New Roman" w:hAnsi="Times New Roman"/>
          <w:bCs/>
          <w:sz w:val="24"/>
          <w:szCs w:val="24"/>
        </w:rPr>
        <w:t>.</w:t>
      </w:r>
    </w:p>
    <w:p w14:paraId="13C329CA" w14:textId="45088887" w:rsidR="00D52C03" w:rsidRDefault="00D96ACC" w:rsidP="00F41F95">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modelio(-ių) Prekės(-ių)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11385B70" w14:textId="77777777" w:rsidR="00312E8F" w:rsidRDefault="00312E8F" w:rsidP="00F41F95">
      <w:pPr>
        <w:pStyle w:val="Betarp"/>
        <w:ind w:firstLine="851"/>
        <w:rPr>
          <w:rFonts w:ascii="Times New Roman" w:hAnsi="Times New Roman" w:cs="Times New Roman"/>
          <w:sz w:val="24"/>
          <w:szCs w:val="24"/>
        </w:rPr>
      </w:pPr>
    </w:p>
    <w:p w14:paraId="3A100E26" w14:textId="77777777" w:rsidR="00C6195E" w:rsidRDefault="00C6195E" w:rsidP="00F41F95">
      <w:pPr>
        <w:pStyle w:val="Betarp"/>
        <w:ind w:firstLine="851"/>
        <w:rPr>
          <w:rFonts w:ascii="Times New Roman" w:hAnsi="Times New Roman" w:cs="Times New Roman"/>
          <w:sz w:val="24"/>
          <w:szCs w:val="24"/>
        </w:rPr>
      </w:pPr>
    </w:p>
    <w:p w14:paraId="116A0BAA" w14:textId="77777777" w:rsidR="00C6195E" w:rsidRDefault="00C6195E" w:rsidP="00F41F95">
      <w:pPr>
        <w:pStyle w:val="Betarp"/>
        <w:ind w:firstLine="851"/>
        <w:rPr>
          <w:rFonts w:ascii="Times New Roman" w:hAnsi="Times New Roman" w:cs="Times New Roman"/>
          <w:sz w:val="24"/>
          <w:szCs w:val="24"/>
        </w:rPr>
      </w:pPr>
    </w:p>
    <w:p w14:paraId="4E9664DF" w14:textId="77777777" w:rsidR="00C6195E" w:rsidRDefault="00C6195E" w:rsidP="00F41F95">
      <w:pPr>
        <w:pStyle w:val="Betarp"/>
        <w:ind w:firstLine="851"/>
        <w:rPr>
          <w:rFonts w:ascii="Times New Roman" w:hAnsi="Times New Roman" w:cs="Times New Roman"/>
          <w:sz w:val="24"/>
          <w:szCs w:val="24"/>
        </w:rPr>
      </w:pPr>
    </w:p>
    <w:p w14:paraId="33EAF31D" w14:textId="77777777" w:rsidR="00C6195E" w:rsidRDefault="00C6195E" w:rsidP="00F41F95">
      <w:pPr>
        <w:pStyle w:val="Betarp"/>
        <w:ind w:firstLine="851"/>
        <w:rPr>
          <w:rFonts w:ascii="Times New Roman" w:hAnsi="Times New Roman" w:cs="Times New Roman"/>
          <w:sz w:val="24"/>
          <w:szCs w:val="24"/>
        </w:rPr>
      </w:pPr>
    </w:p>
    <w:p w14:paraId="03612CA8" w14:textId="77777777" w:rsidR="00C6195E" w:rsidRDefault="00C6195E"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543F17AE"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1D2CBD" w:rsidRPr="001D2CBD">
        <w:rPr>
          <w:rFonts w:ascii="Times New Roman" w:hAnsi="Times New Roman" w:cs="Times New Roman"/>
          <w:sz w:val="24"/>
          <w:szCs w:val="24"/>
        </w:rPr>
        <w:t xml:space="preserve">322314,05 </w:t>
      </w:r>
      <w:r w:rsidR="00F815E9" w:rsidRPr="001D2CBD">
        <w:rPr>
          <w:rFonts w:ascii="Times New Roman" w:hAnsi="Times New Roman" w:cs="Times New Roman"/>
          <w:sz w:val="24"/>
          <w:szCs w:val="24"/>
        </w:rPr>
        <w:t xml:space="preserve">Eur be PVM, arba </w:t>
      </w:r>
      <w:r w:rsidR="001D2CBD" w:rsidRPr="001D2CBD">
        <w:rPr>
          <w:rFonts w:ascii="Times New Roman" w:hAnsi="Times New Roman" w:cs="Times New Roman"/>
          <w:sz w:val="24"/>
          <w:szCs w:val="24"/>
        </w:rPr>
        <w:t xml:space="preserve">390000,00 </w:t>
      </w:r>
      <w:r w:rsidR="00F815E9" w:rsidRPr="001D2CBD">
        <w:rPr>
          <w:rFonts w:ascii="Times New Roman" w:hAnsi="Times New Roman" w:cs="Times New Roman"/>
          <w:sz w:val="24"/>
          <w:szCs w:val="24"/>
        </w:rPr>
        <w:t>Eur</w:t>
      </w:r>
      <w:r w:rsidR="00F815E9" w:rsidRPr="00046CB8">
        <w:rPr>
          <w:rFonts w:ascii="Times New Roman" w:hAnsi="Times New Roman" w:cs="Times New Roman"/>
          <w:sz w:val="24"/>
        </w:rPr>
        <w:t xml:space="preserve"> su PVM</w:t>
      </w:r>
      <w:r w:rsidRPr="00633A72">
        <w:rPr>
          <w:rFonts w:ascii="Times New Roman" w:hAnsi="Times New Roman" w:cs="Times New Roman"/>
          <w:sz w:val="24"/>
          <w:szCs w:val="24"/>
        </w:rPr>
        <w:t>.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7E99FC2F" w14:textId="77777777" w:rsidR="00C6195E" w:rsidRPr="00633A72" w:rsidRDefault="00C6195E" w:rsidP="00F41F95">
      <w:pPr>
        <w:spacing w:after="0" w:line="240" w:lineRule="auto"/>
        <w:ind w:firstLine="851"/>
        <w:jc w:val="both"/>
        <w:rPr>
          <w:rFonts w:ascii="Times New Roman" w:hAnsi="Times New Roman" w:cs="Times New Roman"/>
          <w:b/>
          <w:sz w:val="24"/>
          <w:szCs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subteikimo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4D6C159C" w14:textId="77777777" w:rsidR="00C6195E" w:rsidRDefault="00C6195E" w:rsidP="002E4179">
      <w:pPr>
        <w:spacing w:after="0" w:line="240" w:lineRule="auto"/>
        <w:ind w:firstLine="851"/>
        <w:jc w:val="center"/>
        <w:rPr>
          <w:rFonts w:ascii="Times New Roman" w:hAnsi="Times New Roman" w:cs="Times New Roman"/>
          <w:b/>
          <w:sz w:val="24"/>
          <w:szCs w:val="24"/>
        </w:rPr>
      </w:pPr>
    </w:p>
    <w:p w14:paraId="17518D21" w14:textId="77777777" w:rsidR="00C6195E" w:rsidRDefault="00C6195E" w:rsidP="002E4179">
      <w:pPr>
        <w:spacing w:after="0" w:line="240" w:lineRule="auto"/>
        <w:ind w:firstLine="851"/>
        <w:jc w:val="center"/>
        <w:rPr>
          <w:rFonts w:ascii="Times New Roman" w:hAnsi="Times New Roman" w:cs="Times New Roman"/>
          <w:b/>
          <w:sz w:val="24"/>
          <w:szCs w:val="24"/>
        </w:rPr>
      </w:pPr>
    </w:p>
    <w:p w14:paraId="46378C20" w14:textId="77777777" w:rsidR="00C6195E" w:rsidRDefault="00C6195E" w:rsidP="002E4179">
      <w:pPr>
        <w:spacing w:after="0" w:line="240" w:lineRule="auto"/>
        <w:ind w:firstLine="851"/>
        <w:jc w:val="center"/>
        <w:rPr>
          <w:rFonts w:ascii="Times New Roman" w:hAnsi="Times New Roman" w:cs="Times New Roman"/>
          <w:b/>
          <w:sz w:val="24"/>
          <w:szCs w:val="24"/>
        </w:rPr>
      </w:pPr>
    </w:p>
    <w:p w14:paraId="28F86D25" w14:textId="77777777" w:rsidR="00C6195E" w:rsidRDefault="00C6195E"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6C79734C" w14:textId="77777777" w:rsidR="00C6195E" w:rsidRDefault="00C6195E" w:rsidP="006E0CED">
      <w:pPr>
        <w:spacing w:after="0" w:line="240" w:lineRule="auto"/>
        <w:jc w:val="center"/>
        <w:rPr>
          <w:rFonts w:ascii="Times New Roman" w:hAnsi="Times New Roman" w:cs="Times New Roman"/>
          <w:b/>
          <w:snapToGrid w:val="0"/>
          <w:sz w:val="24"/>
          <w:szCs w:val="24"/>
        </w:rPr>
      </w:pPr>
    </w:p>
    <w:p w14:paraId="117F3265" w14:textId="7F0B383D"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D52317" w:rsidRDefault="00FA018E" w:rsidP="008A2A82">
            <w:pPr>
              <w:spacing w:after="0" w:line="240" w:lineRule="auto"/>
              <w:ind w:firstLine="635"/>
              <w:jc w:val="center"/>
              <w:rPr>
                <w:rFonts w:ascii="Times New Roman" w:hAnsi="Times New Roman" w:cs="Times New Roman"/>
                <w:b/>
                <w:sz w:val="24"/>
                <w:szCs w:val="24"/>
              </w:rPr>
            </w:pPr>
            <w:r w:rsidRPr="00D52317">
              <w:rPr>
                <w:rFonts w:ascii="Times New Roman" w:hAnsi="Times New Roman" w:cs="Times New Roman"/>
                <w:b/>
                <w:sz w:val="24"/>
                <w:szCs w:val="24"/>
              </w:rPr>
              <w:t>Tiekėjo</w:t>
            </w:r>
            <w:r w:rsidR="006E0CED" w:rsidRPr="00D52317">
              <w:rPr>
                <w:rFonts w:ascii="Times New Roman" w:hAnsi="Times New Roman" w:cs="Times New Roman"/>
                <w:b/>
                <w:sz w:val="24"/>
                <w:szCs w:val="24"/>
              </w:rPr>
              <w:t xml:space="preserve"> atstova</w:t>
            </w:r>
            <w:r w:rsidRPr="00D52317">
              <w:rPr>
                <w:rFonts w:ascii="Times New Roman" w:hAnsi="Times New Roman" w:cs="Times New Roman"/>
                <w:b/>
                <w:sz w:val="24"/>
                <w:szCs w:val="24"/>
              </w:rPr>
              <w:t>s</w:t>
            </w:r>
          </w:p>
        </w:tc>
      </w:tr>
      <w:tr w:rsidR="00BB49D8"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BB49D8" w:rsidRPr="00D52317" w:rsidRDefault="00BB49D8" w:rsidP="00D52317">
            <w:pPr>
              <w:spacing w:after="0" w:line="240" w:lineRule="auto"/>
              <w:jc w:val="both"/>
              <w:rPr>
                <w:rFonts w:ascii="Times New Roman" w:hAnsi="Times New Roman" w:cs="Times New Roman"/>
                <w:sz w:val="24"/>
                <w:szCs w:val="24"/>
              </w:rPr>
            </w:pPr>
            <w:r w:rsidRPr="00D52317">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3B72228C" w:rsidR="00BB49D8" w:rsidRPr="00D52317" w:rsidRDefault="001D2CBD" w:rsidP="00D52317">
            <w:pPr>
              <w:spacing w:after="0" w:line="240" w:lineRule="auto"/>
              <w:ind w:hanging="32"/>
              <w:jc w:val="both"/>
              <w:rPr>
                <w:rFonts w:ascii="Times New Roman" w:hAnsi="Times New Roman" w:cs="Times New Roman"/>
                <w:sz w:val="24"/>
                <w:szCs w:val="24"/>
              </w:rPr>
            </w:pPr>
            <w:r w:rsidRPr="00D52317">
              <w:rPr>
                <w:rFonts w:ascii="Times New Roman" w:hAnsi="Times New Roman" w:cs="Times New Roman"/>
                <w:sz w:val="24"/>
                <w:szCs w:val="24"/>
              </w:rPr>
              <w:t>Egidijus Kuisys</w:t>
            </w:r>
          </w:p>
        </w:tc>
        <w:tc>
          <w:tcPr>
            <w:tcW w:w="1925" w:type="pct"/>
            <w:tcBorders>
              <w:top w:val="single" w:sz="4" w:space="0" w:color="auto"/>
              <w:left w:val="single" w:sz="4" w:space="0" w:color="auto"/>
              <w:bottom w:val="single" w:sz="4" w:space="0" w:color="auto"/>
              <w:right w:val="single" w:sz="4" w:space="0" w:color="auto"/>
            </w:tcBorders>
          </w:tcPr>
          <w:p w14:paraId="04BB35D5" w14:textId="317E7D1D" w:rsidR="00BB49D8" w:rsidRPr="00D52317" w:rsidRDefault="00D52317" w:rsidP="00D52317">
            <w:pPr>
              <w:spacing w:after="0"/>
              <w:jc w:val="both"/>
              <w:rPr>
                <w:rFonts w:ascii="Times New Roman" w:hAnsi="Times New Roman" w:cs="Times New Roman"/>
                <w:sz w:val="24"/>
                <w:szCs w:val="24"/>
              </w:rPr>
            </w:pPr>
            <w:r w:rsidRPr="00D52317">
              <w:rPr>
                <w:rFonts w:ascii="Times New Roman" w:eastAsiaTheme="minorHAnsi" w:hAnsi="Times New Roman" w:cs="Times New Roman"/>
                <w:sz w:val="24"/>
                <w:szCs w:val="24"/>
                <w:lang w:val="fi-FI"/>
                <w14:ligatures w14:val="standardContextual"/>
              </w:rPr>
              <w:t xml:space="preserve">Valdas Jonaitis </w:t>
            </w:r>
          </w:p>
        </w:tc>
      </w:tr>
      <w:tr w:rsidR="00BB49D8"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BB49D8" w:rsidRPr="00D52317" w:rsidRDefault="00BB49D8" w:rsidP="00D52317">
            <w:pPr>
              <w:spacing w:after="0" w:line="240" w:lineRule="auto"/>
              <w:jc w:val="both"/>
              <w:rPr>
                <w:rFonts w:ascii="Times New Roman" w:hAnsi="Times New Roman" w:cs="Times New Roman"/>
                <w:sz w:val="24"/>
                <w:szCs w:val="24"/>
              </w:rPr>
            </w:pPr>
            <w:r w:rsidRPr="00D52317">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6F524850" w:rsidR="00BB49D8" w:rsidRPr="00D52317" w:rsidRDefault="00D52317" w:rsidP="00D52317">
            <w:pPr>
              <w:spacing w:after="0"/>
              <w:ind w:hanging="32"/>
              <w:jc w:val="both"/>
              <w:rPr>
                <w:rFonts w:ascii="Times New Roman" w:hAnsi="Times New Roman" w:cs="Times New Roman"/>
                <w:sz w:val="24"/>
                <w:szCs w:val="24"/>
              </w:rPr>
            </w:pPr>
            <w:r w:rsidRPr="00D52317">
              <w:rPr>
                <w:rFonts w:ascii="Times New Roman" w:eastAsiaTheme="minorHAnsi" w:hAnsi="Times New Roman" w:cs="Times New Roman"/>
                <w:sz w:val="24"/>
                <w:szCs w:val="24"/>
                <w:lang w:val="fi-FI"/>
                <w14:ligatures w14:val="standardContextual"/>
              </w:rPr>
              <w:t>+370</w:t>
            </w:r>
            <w:r>
              <w:rPr>
                <w:rFonts w:ascii="Times New Roman" w:eastAsiaTheme="minorHAnsi" w:hAnsi="Times New Roman" w:cs="Times New Roman"/>
                <w:sz w:val="24"/>
                <w:szCs w:val="24"/>
                <w:lang w:val="fi-FI"/>
                <w14:ligatures w14:val="standardContextual"/>
              </w:rPr>
              <w:t> </w:t>
            </w:r>
            <w:r w:rsidR="00EB23B1" w:rsidRPr="00D52317">
              <w:rPr>
                <w:rFonts w:ascii="Times New Roman" w:hAnsi="Times New Roman" w:cs="Times New Roman"/>
                <w:color w:val="000000"/>
                <w:sz w:val="24"/>
                <w:szCs w:val="24"/>
                <w:shd w:val="clear" w:color="auto" w:fill="FFFFFF"/>
              </w:rPr>
              <w:t xml:space="preserve"> 441 57955</w:t>
            </w:r>
          </w:p>
        </w:tc>
        <w:tc>
          <w:tcPr>
            <w:tcW w:w="1925" w:type="pct"/>
            <w:tcBorders>
              <w:top w:val="single" w:sz="4" w:space="0" w:color="auto"/>
              <w:left w:val="single" w:sz="4" w:space="0" w:color="auto"/>
              <w:bottom w:val="single" w:sz="4" w:space="0" w:color="auto"/>
              <w:right w:val="single" w:sz="4" w:space="0" w:color="auto"/>
            </w:tcBorders>
          </w:tcPr>
          <w:p w14:paraId="740D05A0" w14:textId="60CE5350" w:rsidR="00BB49D8" w:rsidRPr="00D52317" w:rsidRDefault="00D52317" w:rsidP="00D52317">
            <w:pPr>
              <w:spacing w:after="0" w:line="240" w:lineRule="auto"/>
              <w:rPr>
                <w:rFonts w:ascii="Times New Roman" w:hAnsi="Times New Roman" w:cs="Times New Roman"/>
                <w:sz w:val="24"/>
                <w:szCs w:val="24"/>
              </w:rPr>
            </w:pPr>
            <w:r w:rsidRPr="00D52317">
              <w:rPr>
                <w:rFonts w:ascii="Times New Roman" w:eastAsiaTheme="minorHAnsi" w:hAnsi="Times New Roman" w:cs="Times New Roman"/>
                <w:sz w:val="24"/>
                <w:szCs w:val="24"/>
                <w:lang w:val="fi-FI"/>
                <w14:ligatures w14:val="standardContextual"/>
              </w:rPr>
              <w:t>+370</w:t>
            </w:r>
            <w:r>
              <w:rPr>
                <w:rFonts w:ascii="Times New Roman" w:eastAsiaTheme="minorHAnsi" w:hAnsi="Times New Roman" w:cs="Times New Roman"/>
                <w:sz w:val="24"/>
                <w:szCs w:val="24"/>
                <w:lang w:val="fi-FI"/>
                <w14:ligatures w14:val="standardContextual"/>
              </w:rPr>
              <w:t> </w:t>
            </w:r>
            <w:r w:rsidRPr="00D52317">
              <w:rPr>
                <w:rFonts w:ascii="Times New Roman" w:eastAsiaTheme="minorHAnsi" w:hAnsi="Times New Roman" w:cs="Times New Roman"/>
                <w:sz w:val="24"/>
                <w:szCs w:val="24"/>
                <w:lang w:val="fi-FI"/>
                <w14:ligatures w14:val="standardContextual"/>
              </w:rPr>
              <w:t>686</w:t>
            </w:r>
            <w:r>
              <w:rPr>
                <w:rFonts w:ascii="Times New Roman" w:eastAsiaTheme="minorHAnsi" w:hAnsi="Times New Roman" w:cs="Times New Roman"/>
                <w:sz w:val="24"/>
                <w:szCs w:val="24"/>
                <w:lang w:val="fi-FI"/>
                <w14:ligatures w14:val="standardContextual"/>
              </w:rPr>
              <w:t xml:space="preserve"> </w:t>
            </w:r>
            <w:r w:rsidRPr="00D52317">
              <w:rPr>
                <w:rFonts w:ascii="Times New Roman" w:eastAsiaTheme="minorHAnsi" w:hAnsi="Times New Roman" w:cs="Times New Roman"/>
                <w:sz w:val="24"/>
                <w:szCs w:val="24"/>
                <w:lang w:val="fi-FI"/>
                <w14:ligatures w14:val="standardContextual"/>
              </w:rPr>
              <w:t>18000</w:t>
            </w:r>
          </w:p>
        </w:tc>
      </w:tr>
      <w:tr w:rsidR="00BB49D8"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BB49D8" w:rsidRPr="00D52317" w:rsidRDefault="00BB49D8" w:rsidP="00D52317">
            <w:pPr>
              <w:spacing w:after="0" w:line="240" w:lineRule="auto"/>
              <w:jc w:val="both"/>
              <w:rPr>
                <w:rFonts w:ascii="Times New Roman" w:hAnsi="Times New Roman" w:cs="Times New Roman"/>
                <w:sz w:val="24"/>
                <w:szCs w:val="24"/>
              </w:rPr>
            </w:pPr>
            <w:r w:rsidRPr="00D52317">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5BD1AAB1" w:rsidR="00BB49D8" w:rsidRPr="00D52317" w:rsidRDefault="001D2CBD" w:rsidP="00D52317">
            <w:pPr>
              <w:spacing w:after="0" w:line="240" w:lineRule="auto"/>
              <w:ind w:hanging="32"/>
              <w:rPr>
                <w:rFonts w:ascii="Times New Roman" w:hAnsi="Times New Roman" w:cs="Times New Roman"/>
                <w:sz w:val="24"/>
                <w:szCs w:val="24"/>
              </w:rPr>
            </w:pPr>
            <w:r w:rsidRPr="00D52317">
              <w:rPr>
                <w:rFonts w:ascii="Times New Roman" w:hAnsi="Times New Roman" w:cs="Times New Roman"/>
                <w:color w:val="000000"/>
                <w:sz w:val="24"/>
                <w:szCs w:val="24"/>
                <w:shd w:val="clear" w:color="auto" w:fill="FFFFFF"/>
              </w:rPr>
              <w:t>egidijus.kuisys@vsat.vrm.lt</w:t>
            </w:r>
          </w:p>
        </w:tc>
        <w:tc>
          <w:tcPr>
            <w:tcW w:w="1925" w:type="pct"/>
            <w:tcBorders>
              <w:top w:val="single" w:sz="4" w:space="0" w:color="auto"/>
              <w:left w:val="single" w:sz="4" w:space="0" w:color="auto"/>
              <w:bottom w:val="single" w:sz="4" w:space="0" w:color="auto"/>
              <w:right w:val="single" w:sz="4" w:space="0" w:color="auto"/>
            </w:tcBorders>
          </w:tcPr>
          <w:p w14:paraId="55ECB2C7" w14:textId="2991E185" w:rsidR="00BB49D8" w:rsidRPr="00D52317" w:rsidRDefault="00000000" w:rsidP="00D52317">
            <w:pPr>
              <w:spacing w:after="0" w:line="240" w:lineRule="auto"/>
              <w:rPr>
                <w:rFonts w:ascii="Times New Roman" w:hAnsi="Times New Roman" w:cs="Times New Roman"/>
                <w:sz w:val="24"/>
                <w:szCs w:val="24"/>
              </w:rPr>
            </w:pPr>
            <w:hyperlink r:id="rId8" w:history="1">
              <w:r w:rsidR="00D52317" w:rsidRPr="00D52317">
                <w:rPr>
                  <w:rStyle w:val="Hipersaitas"/>
                  <w:rFonts w:ascii="Times New Roman" w:eastAsiaTheme="minorHAnsi" w:hAnsi="Times New Roman" w:cs="Times New Roman"/>
                  <w:sz w:val="24"/>
                  <w:szCs w:val="24"/>
                  <w:lang w:val="fi-FI"/>
                  <w14:ligatures w14:val="standardContextual"/>
                </w:rPr>
                <w:t>valdas.jonaitis@telekonta.lt</w:t>
              </w:r>
            </w:hyperlink>
          </w:p>
        </w:tc>
      </w:tr>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Default="005F1F57">
      <w:pPr>
        <w:pStyle w:val="Betarp"/>
        <w:jc w:val="center"/>
        <w:rPr>
          <w:rFonts w:ascii="Times New Roman" w:hAnsi="Times New Roman" w:cs="Times New Roman"/>
          <w:b/>
          <w:bCs/>
          <w:caps/>
          <w:sz w:val="24"/>
          <w:szCs w:val="24"/>
        </w:rPr>
      </w:pP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D96ACC" w:rsidRPr="00AF2B50" w14:paraId="07BFACC5" w14:textId="77777777" w:rsidTr="004D1B47">
              <w:tc>
                <w:tcPr>
                  <w:tcW w:w="4772"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762"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D96ACC" w:rsidRPr="00EB23B1" w14:paraId="6CC7A824" w14:textId="77777777" w:rsidTr="004D1B47">
              <w:tc>
                <w:tcPr>
                  <w:tcW w:w="4772" w:type="dxa"/>
                </w:tcPr>
                <w:p w14:paraId="60A25B5E" w14:textId="77777777" w:rsidR="00F51742" w:rsidRPr="00EB23B1" w:rsidRDefault="00F51742" w:rsidP="00F51742">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4F981C35"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97F0F26"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3A74DBE1"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30240D9F"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22B6027"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71A3E34" w14:textId="77777777" w:rsidR="00EB23B1" w:rsidRPr="00EB23B1" w:rsidRDefault="00F51742" w:rsidP="00F51742">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0514BEBE" w14:textId="44A2BD5D" w:rsidR="00F51742" w:rsidRPr="00EB23B1" w:rsidRDefault="00EB23B1"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9" w:history="1">
                    <w:r w:rsidRPr="00EB23B1">
                      <w:rPr>
                        <w:rFonts w:ascii="Times New Roman" w:hAnsi="Times New Roman" w:cs="Times New Roman"/>
                        <w:sz w:val="24"/>
                        <w:szCs w:val="24"/>
                      </w:rPr>
                      <w:t>dvks@vsat.vrm.lt</w:t>
                    </w:r>
                  </w:hyperlink>
                  <w:r w:rsidR="00F51742" w:rsidRPr="00EB23B1">
                    <w:rPr>
                      <w:rFonts w:ascii="Times New Roman" w:hAnsi="Times New Roman" w:cs="Times New Roman"/>
                      <w:sz w:val="24"/>
                      <w:szCs w:val="24"/>
                    </w:rPr>
                    <w:t xml:space="preserve">  </w:t>
                  </w:r>
                </w:p>
                <w:p w14:paraId="07E63B32" w14:textId="77777777" w:rsidR="00F51742" w:rsidRPr="00EB23B1" w:rsidRDefault="00F51742" w:rsidP="00F51742">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26799B2C" w14:textId="77777777" w:rsidR="00F51742" w:rsidRPr="00EB23B1" w:rsidRDefault="00F51742" w:rsidP="00F51742">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2242AEB1" w14:textId="77777777" w:rsidR="00F51742" w:rsidRPr="00EB23B1" w:rsidRDefault="00F51742" w:rsidP="00F51742">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73348F9E" w:rsidR="00D96ACC" w:rsidRPr="00EB23B1" w:rsidRDefault="00F51742" w:rsidP="00F51742">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762" w:type="dxa"/>
                </w:tcPr>
                <w:p w14:paraId="387402D6" w14:textId="77777777" w:rsidR="008D4A7F" w:rsidRPr="008D4A7F" w:rsidRDefault="008D4A7F" w:rsidP="008D4A7F">
                  <w:pPr>
                    <w:spacing w:after="0" w:line="240" w:lineRule="auto"/>
                    <w:jc w:val="both"/>
                    <w:rPr>
                      <w:rFonts w:ascii="Times New Roman" w:eastAsia="Calibri" w:hAnsi="Times New Roman" w:cs="Times New Roman"/>
                      <w:snapToGrid w:val="0"/>
                      <w:sz w:val="24"/>
                      <w:szCs w:val="24"/>
                    </w:rPr>
                  </w:pPr>
                  <w:r w:rsidRPr="008D4A7F">
                    <w:rPr>
                      <w:rFonts w:ascii="Times New Roman" w:eastAsia="Calibri" w:hAnsi="Times New Roman" w:cs="Times New Roman"/>
                      <w:snapToGrid w:val="0"/>
                      <w:sz w:val="24"/>
                      <w:szCs w:val="24"/>
                    </w:rPr>
                    <w:t>UAB „Telekonta“</w:t>
                  </w:r>
                </w:p>
                <w:p w14:paraId="559D8BCE" w14:textId="77777777" w:rsidR="008D4A7F" w:rsidRPr="008D4A7F" w:rsidRDefault="008D4A7F" w:rsidP="008D4A7F">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Įmonės kodas </w:t>
                  </w:r>
                  <w:r w:rsidRPr="008D4A7F">
                    <w:rPr>
                      <w:rFonts w:ascii="Times New Roman" w:hAnsi="Times New Roman" w:cs="Times New Roman"/>
                      <w:sz w:val="24"/>
                      <w:szCs w:val="24"/>
                    </w:rPr>
                    <w:t>144803197</w:t>
                  </w:r>
                  <w:r w:rsidRPr="008D4A7F">
                    <w:rPr>
                      <w:rFonts w:ascii="Times New Roman" w:eastAsia="Andale Sans UI" w:hAnsi="Times New Roman" w:cs="Times New Roman"/>
                      <w:snapToGrid w:val="0"/>
                      <w:kern w:val="3"/>
                      <w:sz w:val="24"/>
                      <w:szCs w:val="24"/>
                      <w:lang w:bidi="en-US"/>
                    </w:rPr>
                    <w:tab/>
                  </w:r>
                  <w:r w:rsidRPr="008D4A7F">
                    <w:rPr>
                      <w:rFonts w:ascii="Times New Roman" w:eastAsia="Andale Sans UI" w:hAnsi="Times New Roman" w:cs="Times New Roman"/>
                      <w:snapToGrid w:val="0"/>
                      <w:kern w:val="3"/>
                      <w:sz w:val="24"/>
                      <w:szCs w:val="24"/>
                      <w:lang w:bidi="en-US"/>
                    </w:rPr>
                    <w:tab/>
                    <w:t xml:space="preserve"> </w:t>
                  </w:r>
                </w:p>
                <w:p w14:paraId="1809434B" w14:textId="77777777" w:rsidR="008D4A7F" w:rsidRPr="008D4A7F" w:rsidRDefault="008D4A7F" w:rsidP="008D4A7F">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PVM mokėtojo kodas </w:t>
                  </w:r>
                  <w:r w:rsidRPr="008D4A7F">
                    <w:rPr>
                      <w:rFonts w:ascii="Times New Roman" w:hAnsi="Times New Roman" w:cs="Times New Roman"/>
                      <w:sz w:val="24"/>
                      <w:szCs w:val="24"/>
                    </w:rPr>
                    <w:t>LT448031917</w:t>
                  </w:r>
                </w:p>
                <w:p w14:paraId="3667457A" w14:textId="77777777" w:rsidR="008D4A7F" w:rsidRPr="008D4A7F" w:rsidRDefault="008D4A7F" w:rsidP="008D4A7F">
                  <w:pPr>
                    <w:tabs>
                      <w:tab w:val="left" w:pos="5220"/>
                    </w:tabs>
                    <w:suppressAutoHyphens/>
                    <w:spacing w:after="0" w:line="240" w:lineRule="auto"/>
                    <w:textAlignment w:val="baseline"/>
                    <w:rPr>
                      <w:rFonts w:ascii="Times New Roman" w:eastAsia="Andale Sans UI" w:hAnsi="Times New Roman" w:cs="Times New Roman"/>
                      <w:kern w:val="3"/>
                      <w:sz w:val="24"/>
                      <w:szCs w:val="24"/>
                      <w:lang w:bidi="en-US"/>
                    </w:rPr>
                  </w:pPr>
                  <w:r w:rsidRPr="008D4A7F">
                    <w:rPr>
                      <w:rFonts w:ascii="Times New Roman" w:hAnsi="Times New Roman" w:cs="Times New Roman"/>
                      <w:sz w:val="24"/>
                      <w:szCs w:val="24"/>
                    </w:rPr>
                    <w:t>Žemaitės g. 17, LT-03118 Vilnius</w:t>
                  </w:r>
                  <w:r w:rsidRPr="008D4A7F">
                    <w:rPr>
                      <w:rFonts w:ascii="Times New Roman" w:eastAsia="Andale Sans UI" w:hAnsi="Times New Roman" w:cs="Times New Roman"/>
                      <w:kern w:val="3"/>
                      <w:sz w:val="24"/>
                      <w:szCs w:val="24"/>
                      <w:lang w:bidi="en-US"/>
                    </w:rPr>
                    <w:t xml:space="preserve"> </w:t>
                  </w:r>
                </w:p>
                <w:p w14:paraId="32E119C3" w14:textId="77777777" w:rsidR="008D4A7F" w:rsidRPr="008D4A7F" w:rsidRDefault="008D4A7F" w:rsidP="008D4A7F">
                  <w:pPr>
                    <w:tabs>
                      <w:tab w:val="left" w:pos="5220"/>
                    </w:tabs>
                    <w:suppressAutoHyphens/>
                    <w:spacing w:after="0" w:line="240" w:lineRule="auto"/>
                    <w:textAlignment w:val="baseline"/>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Tel. </w:t>
                  </w:r>
                  <w:r w:rsidRPr="008D4A7F">
                    <w:rPr>
                      <w:rFonts w:ascii="Times New Roman" w:hAnsi="Times New Roman" w:cs="Times New Roman"/>
                      <w:sz w:val="24"/>
                      <w:szCs w:val="24"/>
                    </w:rPr>
                    <w:t>+370 5 2151849</w:t>
                  </w:r>
                </w:p>
                <w:p w14:paraId="00A60969" w14:textId="77777777" w:rsidR="008D4A7F" w:rsidRPr="008D4A7F" w:rsidRDefault="008D4A7F" w:rsidP="008D4A7F">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hAnsi="Times New Roman" w:cs="Times New Roman"/>
                      <w:sz w:val="24"/>
                      <w:szCs w:val="24"/>
                    </w:rPr>
                    <w:t>Faksas: +370 5 2395172</w:t>
                  </w:r>
                </w:p>
                <w:p w14:paraId="7CC3C421" w14:textId="77777777" w:rsidR="008D4A7F" w:rsidRPr="008D4A7F" w:rsidRDefault="008D4A7F" w:rsidP="008D4A7F">
                  <w:pPr>
                    <w:tabs>
                      <w:tab w:val="left" w:pos="1134"/>
                    </w:tabs>
                    <w:spacing w:after="0" w:line="240" w:lineRule="auto"/>
                    <w:jc w:val="both"/>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El. p. </w:t>
                  </w:r>
                  <w:hyperlink r:id="rId10" w:history="1">
                    <w:r w:rsidRPr="008D4A7F">
                      <w:rPr>
                        <w:rStyle w:val="Hipersaitas"/>
                        <w:rFonts w:ascii="Times New Roman" w:hAnsi="Times New Roman" w:cs="Times New Roman"/>
                        <w:sz w:val="24"/>
                        <w:szCs w:val="24"/>
                      </w:rPr>
                      <w:t>info@telekonta.lt</w:t>
                    </w:r>
                  </w:hyperlink>
                </w:p>
                <w:p w14:paraId="7D480EA9" w14:textId="77777777" w:rsidR="008D4A7F" w:rsidRPr="008D4A7F" w:rsidRDefault="008D4A7F" w:rsidP="008D4A7F">
                  <w:pPr>
                    <w:pStyle w:val="Sraopastraipa"/>
                    <w:spacing w:after="0" w:line="240" w:lineRule="auto"/>
                    <w:ind w:left="0"/>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Atsisk. sąsk. </w:t>
                  </w:r>
                  <w:r w:rsidRPr="008D4A7F">
                    <w:rPr>
                      <w:rFonts w:ascii="Times New Roman" w:hAnsi="Times New Roman" w:cs="Times New Roman"/>
                      <w:sz w:val="24"/>
                      <w:szCs w:val="24"/>
                    </w:rPr>
                    <w:t xml:space="preserve">Nr. LT96 7180 0000 0846 7918, </w:t>
                  </w:r>
                </w:p>
                <w:p w14:paraId="50676BB2" w14:textId="77777777" w:rsidR="008D4A7F" w:rsidRPr="008D4A7F" w:rsidRDefault="008D4A7F" w:rsidP="008D4A7F">
                  <w:pPr>
                    <w:pStyle w:val="Sraopastraipa"/>
                    <w:spacing w:after="0" w:line="240" w:lineRule="auto"/>
                    <w:ind w:left="0"/>
                    <w:rPr>
                      <w:rFonts w:ascii="Times New Roman" w:hAnsi="Times New Roman" w:cs="Times New Roman"/>
                      <w:sz w:val="24"/>
                      <w:szCs w:val="24"/>
                    </w:rPr>
                  </w:pPr>
                  <w:r w:rsidRPr="008D4A7F">
                    <w:rPr>
                      <w:rFonts w:ascii="Times New Roman" w:hAnsi="Times New Roman" w:cs="Times New Roman"/>
                      <w:sz w:val="24"/>
                      <w:szCs w:val="24"/>
                    </w:rPr>
                    <w:t>bankas: AB Šiaulių bankas</w:t>
                  </w:r>
                </w:p>
                <w:p w14:paraId="2A9B60B6" w14:textId="77777777" w:rsidR="008D4A7F" w:rsidRPr="008D4A7F" w:rsidRDefault="008D4A7F" w:rsidP="008D4A7F">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029C01A5" w14:textId="77777777" w:rsidR="008D4A7F" w:rsidRDefault="008D4A7F" w:rsidP="008D4A7F">
                  <w:pPr>
                    <w:spacing w:after="0" w:line="240" w:lineRule="auto"/>
                    <w:rPr>
                      <w:rFonts w:ascii="Times New Roman" w:hAnsi="Times New Roman" w:cs="Times New Roman"/>
                      <w:sz w:val="24"/>
                      <w:szCs w:val="24"/>
                    </w:rPr>
                  </w:pPr>
                </w:p>
                <w:p w14:paraId="7DFABE18" w14:textId="77777777" w:rsidR="008D4A7F" w:rsidRDefault="008D4A7F" w:rsidP="008D4A7F">
                  <w:pPr>
                    <w:spacing w:after="0" w:line="240" w:lineRule="auto"/>
                    <w:rPr>
                      <w:rFonts w:ascii="Times New Roman" w:hAnsi="Times New Roman" w:cs="Times New Roman"/>
                      <w:sz w:val="24"/>
                      <w:szCs w:val="24"/>
                    </w:rPr>
                  </w:pPr>
                </w:p>
                <w:p w14:paraId="1F7BD5D9" w14:textId="35F7C985" w:rsidR="00D96ACC" w:rsidRPr="00EB23B1" w:rsidRDefault="008D4A7F" w:rsidP="008D4A7F">
                  <w:pPr>
                    <w:spacing w:after="0" w:line="240" w:lineRule="auto"/>
                    <w:rPr>
                      <w:rFonts w:ascii="Times New Roman" w:hAnsi="Times New Roman" w:cs="Times New Roman"/>
                      <w:sz w:val="24"/>
                      <w:szCs w:val="24"/>
                    </w:rPr>
                  </w:pPr>
                  <w:r w:rsidRPr="008D4A7F">
                    <w:rPr>
                      <w:rFonts w:ascii="Times New Roman" w:hAnsi="Times New Roman" w:cs="Times New Roman"/>
                      <w:sz w:val="24"/>
                      <w:szCs w:val="24"/>
                    </w:rPr>
                    <w:t xml:space="preserve">Generalinis direktorius </w:t>
                  </w:r>
                  <w:r w:rsidRPr="008D4A7F">
                    <w:rPr>
                      <w:rFonts w:ascii="Times New Roman" w:hAnsi="Times New Roman" w:cs="Times New Roman"/>
                      <w:sz w:val="24"/>
                      <w:szCs w:val="24"/>
                    </w:rPr>
                    <w:tab/>
                  </w:r>
                  <w:r w:rsidRPr="008D4A7F">
                    <w:rPr>
                      <w:rFonts w:ascii="Times New Roman" w:hAnsi="Times New Roman" w:cs="Times New Roman"/>
                      <w:sz w:val="24"/>
                      <w:szCs w:val="24"/>
                    </w:rPr>
                    <w:tab/>
                    <w:t xml:space="preserve">              Dovydas  Gedaminskas</w:t>
                  </w: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C6195E">
      <w:pPr>
        <w:tabs>
          <w:tab w:val="left" w:pos="1134"/>
        </w:tabs>
        <w:spacing w:after="0" w:line="240" w:lineRule="auto"/>
        <w:ind w:left="6786"/>
        <w:jc w:val="both"/>
        <w:rPr>
          <w:rFonts w:ascii="Times New Roman" w:hAnsi="Times New Roman" w:cs="Times New Roman"/>
          <w:sz w:val="24"/>
        </w:rPr>
      </w:pPr>
    </w:p>
    <w:sectPr w:rsidR="00315DF7" w:rsidSect="001C3440">
      <w:headerReference w:type="default" r:id="rId11"/>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6FF99" w14:textId="77777777" w:rsidR="00761D5C" w:rsidRDefault="00761D5C" w:rsidP="00D05666">
      <w:r>
        <w:separator/>
      </w:r>
    </w:p>
  </w:endnote>
  <w:endnote w:type="continuationSeparator" w:id="0">
    <w:p w14:paraId="10238F53" w14:textId="77777777" w:rsidR="00761D5C" w:rsidRDefault="00761D5C" w:rsidP="00D05666">
      <w:r>
        <w:continuationSeparator/>
      </w:r>
    </w:p>
  </w:endnote>
  <w:endnote w:type="continuationNotice" w:id="1">
    <w:p w14:paraId="4DB19C3E" w14:textId="77777777" w:rsidR="00761D5C" w:rsidRDefault="00761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3DF1C" w14:textId="77777777" w:rsidR="00761D5C" w:rsidRDefault="00761D5C" w:rsidP="00D05666">
      <w:r>
        <w:separator/>
      </w:r>
    </w:p>
  </w:footnote>
  <w:footnote w:type="continuationSeparator" w:id="0">
    <w:p w14:paraId="2EDBB5A3" w14:textId="77777777" w:rsidR="00761D5C" w:rsidRDefault="00761D5C" w:rsidP="00D05666">
      <w:r>
        <w:continuationSeparator/>
      </w:r>
    </w:p>
  </w:footnote>
  <w:footnote w:type="continuationNotice" w:id="1">
    <w:p w14:paraId="09265FB2" w14:textId="77777777" w:rsidR="00761D5C" w:rsidRDefault="00761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4A4A"/>
    <w:rsid w:val="00035221"/>
    <w:rsid w:val="0003587B"/>
    <w:rsid w:val="00035DD7"/>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D7573"/>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6AAE"/>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6B38"/>
    <w:rsid w:val="001C7F48"/>
    <w:rsid w:val="001D1EE8"/>
    <w:rsid w:val="001D2CBD"/>
    <w:rsid w:val="001D307F"/>
    <w:rsid w:val="001D65F8"/>
    <w:rsid w:val="001D7492"/>
    <w:rsid w:val="001E0107"/>
    <w:rsid w:val="001E1B73"/>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15"/>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1D5C"/>
    <w:rsid w:val="0076284D"/>
    <w:rsid w:val="007633F7"/>
    <w:rsid w:val="00764FD6"/>
    <w:rsid w:val="007654C6"/>
    <w:rsid w:val="00766211"/>
    <w:rsid w:val="00771EC8"/>
    <w:rsid w:val="007720C2"/>
    <w:rsid w:val="007731F0"/>
    <w:rsid w:val="007734F6"/>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16A8"/>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099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4A7F"/>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5355"/>
    <w:rsid w:val="00B16562"/>
    <w:rsid w:val="00B176FD"/>
    <w:rsid w:val="00B17DBA"/>
    <w:rsid w:val="00B210DB"/>
    <w:rsid w:val="00B21AC5"/>
    <w:rsid w:val="00B21EFA"/>
    <w:rsid w:val="00B2262D"/>
    <w:rsid w:val="00B233AC"/>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11DB"/>
    <w:rsid w:val="00B413C6"/>
    <w:rsid w:val="00B41A9B"/>
    <w:rsid w:val="00B4694C"/>
    <w:rsid w:val="00B4698A"/>
    <w:rsid w:val="00B47C05"/>
    <w:rsid w:val="00B50760"/>
    <w:rsid w:val="00B5221E"/>
    <w:rsid w:val="00B522AC"/>
    <w:rsid w:val="00B5429E"/>
    <w:rsid w:val="00B54C37"/>
    <w:rsid w:val="00B5521E"/>
    <w:rsid w:val="00B5550B"/>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0DED"/>
    <w:rsid w:val="00C41707"/>
    <w:rsid w:val="00C42A0E"/>
    <w:rsid w:val="00C45D81"/>
    <w:rsid w:val="00C468E9"/>
    <w:rsid w:val="00C47CE7"/>
    <w:rsid w:val="00C515B6"/>
    <w:rsid w:val="00C52086"/>
    <w:rsid w:val="00C53E5B"/>
    <w:rsid w:val="00C544C8"/>
    <w:rsid w:val="00C56765"/>
    <w:rsid w:val="00C575EB"/>
    <w:rsid w:val="00C57816"/>
    <w:rsid w:val="00C61071"/>
    <w:rsid w:val="00C6195E"/>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317"/>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68FA"/>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67D41"/>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3B"/>
    <w:rsid w:val="00EB5DC1"/>
    <w:rsid w:val="00EB6D85"/>
    <w:rsid w:val="00EB7F5C"/>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292943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jonaitis@teleko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elekonta.lt" TargetMode="External"/><Relationship Id="rId4" Type="http://schemas.openxmlformats.org/officeDocument/2006/relationships/settings" Target="settings.xml"/><Relationship Id="rId9" Type="http://schemas.openxmlformats.org/officeDocument/2006/relationships/hyperlink" Target="mailto:dvk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14642</Words>
  <Characters>8347</Characters>
  <Application>Microsoft Office Word</Application>
  <DocSecurity>0</DocSecurity>
  <Lines>69</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7</cp:revision>
  <dcterms:created xsi:type="dcterms:W3CDTF">2024-07-02T05:51:00Z</dcterms:created>
  <dcterms:modified xsi:type="dcterms:W3CDTF">2024-07-05T08:10:00Z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