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8B" w:rsidRPr="00CF788B" w:rsidRDefault="00CF788B" w:rsidP="00CF788B">
      <w:pPr>
        <w:tabs>
          <w:tab w:val="left" w:pos="12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88B">
        <w:rPr>
          <w:rFonts w:ascii="Times New Roman" w:hAnsi="Times New Roman" w:cs="Times New Roman"/>
          <w:sz w:val="24"/>
          <w:szCs w:val="24"/>
        </w:rPr>
        <w:t>Priedas</w:t>
      </w:r>
    </w:p>
    <w:p w:rsidR="008368DB" w:rsidRPr="00DF1C13" w:rsidRDefault="008368DB" w:rsidP="006C02F0">
      <w:pPr>
        <w:tabs>
          <w:tab w:val="left" w:pos="12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DB" w:rsidRDefault="008368DB" w:rsidP="000879C4">
      <w:pPr>
        <w:pStyle w:val="NoSpacing"/>
        <w:jc w:val="center"/>
        <w:rPr>
          <w:sz w:val="24"/>
          <w:szCs w:val="24"/>
        </w:rPr>
      </w:pPr>
    </w:p>
    <w:p w:rsidR="008368DB" w:rsidRPr="000A10FE" w:rsidRDefault="000A10FE" w:rsidP="000879C4">
      <w:pPr>
        <w:pStyle w:val="NoSpacing"/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 w:rsidRPr="000A10FE">
        <w:rPr>
          <w:rFonts w:ascii="Times New Roman Bold" w:hAnsi="Times New Roman Bold" w:cs="Times New Roman"/>
          <w:b/>
          <w:caps/>
          <w:sz w:val="24"/>
          <w:szCs w:val="24"/>
        </w:rPr>
        <w:t xml:space="preserve">Skysto kuro degalinės, esančios </w:t>
      </w:r>
      <w:r w:rsidR="001E15D6" w:rsidRPr="000A10FE">
        <w:rPr>
          <w:rFonts w:ascii="Times New Roman Bold" w:hAnsi="Times New Roman Bold" w:cs="Times New Roman"/>
          <w:b/>
          <w:caps/>
          <w:sz w:val="24"/>
          <w:szCs w:val="24"/>
        </w:rPr>
        <w:t xml:space="preserve">Švenčionių r., Pabradės sen., </w:t>
      </w:r>
      <w:r w:rsidRPr="000A10FE">
        <w:rPr>
          <w:rFonts w:ascii="Times New Roman Bold" w:hAnsi="Times New Roman Bold" w:cs="Times New Roman"/>
          <w:b/>
          <w:caps/>
          <w:sz w:val="24"/>
          <w:szCs w:val="24"/>
        </w:rPr>
        <w:t>M</w:t>
      </w:r>
      <w:r w:rsidR="001E15D6">
        <w:rPr>
          <w:rFonts w:ascii="Times New Roman Bold" w:hAnsi="Times New Roman Bold" w:cs="Times New Roman"/>
          <w:b/>
          <w:caps/>
          <w:sz w:val="24"/>
          <w:szCs w:val="24"/>
        </w:rPr>
        <w:t xml:space="preserve">ažalotės </w:t>
      </w:r>
      <w:r w:rsidRPr="000A10FE">
        <w:rPr>
          <w:rFonts w:ascii="Times New Roman Bold" w:hAnsi="Times New Roman Bold" w:cs="Times New Roman"/>
          <w:b/>
          <w:caps/>
          <w:sz w:val="24"/>
          <w:szCs w:val="24"/>
        </w:rPr>
        <w:t>k.</w:t>
      </w:r>
      <w:r w:rsidR="001E15D6">
        <w:rPr>
          <w:rFonts w:ascii="Times New Roman Bold" w:hAnsi="Times New Roman Bold" w:cs="Times New Roman"/>
          <w:b/>
          <w:caps/>
          <w:sz w:val="24"/>
          <w:szCs w:val="24"/>
        </w:rPr>
        <w:t xml:space="preserve"> 9</w:t>
      </w:r>
      <w:r w:rsidRPr="000A10FE">
        <w:rPr>
          <w:rFonts w:ascii="Times New Roman Bold" w:hAnsi="Times New Roman Bold" w:cs="Times New Roman"/>
          <w:b/>
          <w:caps/>
          <w:sz w:val="24"/>
          <w:szCs w:val="24"/>
        </w:rPr>
        <w:t xml:space="preserve">, poveikio požeminiam vandeniui monitoringo vykdymo paslaugos </w:t>
      </w:r>
      <w:r w:rsidR="008368DB" w:rsidRPr="000A10FE">
        <w:rPr>
          <w:rFonts w:ascii="Times New Roman Bold" w:hAnsi="Times New Roman Bold" w:cs="Times New Roman"/>
          <w:b/>
          <w:caps/>
          <w:sz w:val="24"/>
          <w:szCs w:val="24"/>
        </w:rPr>
        <w:t>TECHNINĖ SPECIFIKACIJA</w:t>
      </w:r>
    </w:p>
    <w:p w:rsidR="008368DB" w:rsidRPr="00DF1C13" w:rsidRDefault="008368DB" w:rsidP="008368DB">
      <w:pPr>
        <w:tabs>
          <w:tab w:val="left" w:pos="12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B1" w:rsidRPr="00DF1C13" w:rsidRDefault="00525AB1" w:rsidP="00D120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CD" w:rsidRPr="00DF1C13" w:rsidRDefault="00C17941" w:rsidP="006D596F">
      <w:pPr>
        <w:jc w:val="both"/>
        <w:rPr>
          <w:rFonts w:ascii="Times New Roman" w:hAnsi="Times New Roman" w:cs="Times New Roman"/>
          <w:sz w:val="24"/>
          <w:szCs w:val="24"/>
        </w:rPr>
      </w:pPr>
      <w:r w:rsidRPr="00DF1C13">
        <w:rPr>
          <w:rFonts w:ascii="Times New Roman" w:hAnsi="Times New Roman" w:cs="Times New Roman"/>
          <w:b/>
          <w:sz w:val="24"/>
          <w:szCs w:val="24"/>
        </w:rPr>
        <w:t>Reikalavimai paslaugai:</w:t>
      </w:r>
    </w:p>
    <w:p w:rsidR="006D596F" w:rsidRPr="006D596F" w:rsidRDefault="001E15D6" w:rsidP="00B572F4">
      <w:pPr>
        <w:tabs>
          <w:tab w:val="left" w:pos="709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7941" w:rsidRPr="006D596F">
        <w:rPr>
          <w:rFonts w:ascii="Times New Roman" w:hAnsi="Times New Roman" w:cs="Times New Roman"/>
          <w:sz w:val="24"/>
          <w:szCs w:val="24"/>
        </w:rPr>
        <w:t>Aplinkos (poveikio požeminiam vandeniui) monitoringas</w:t>
      </w:r>
      <w:r w:rsidR="006020D7" w:rsidRPr="006D596F">
        <w:rPr>
          <w:rFonts w:ascii="Times New Roman" w:hAnsi="Times New Roman" w:cs="Times New Roman"/>
          <w:sz w:val="24"/>
          <w:szCs w:val="24"/>
        </w:rPr>
        <w:t xml:space="preserve"> </w:t>
      </w:r>
      <w:r w:rsidR="00685A4C" w:rsidRPr="006D596F">
        <w:rPr>
          <w:rFonts w:ascii="Times New Roman" w:hAnsi="Times New Roman" w:cs="Times New Roman"/>
          <w:sz w:val="24"/>
          <w:szCs w:val="24"/>
        </w:rPr>
        <w:t>turi būti vykdomas</w:t>
      </w:r>
      <w:r w:rsidR="00C17941" w:rsidRPr="006D596F">
        <w:rPr>
          <w:rFonts w:ascii="Times New Roman" w:hAnsi="Times New Roman" w:cs="Times New Roman"/>
          <w:sz w:val="24"/>
          <w:szCs w:val="24"/>
        </w:rPr>
        <w:t xml:space="preserve"> Lietuvos kariuomenės Logistikos valdybos Įgul</w:t>
      </w:r>
      <w:r w:rsidR="00BC6C72" w:rsidRPr="006D596F">
        <w:rPr>
          <w:rFonts w:ascii="Times New Roman" w:hAnsi="Times New Roman" w:cs="Times New Roman"/>
          <w:sz w:val="24"/>
          <w:szCs w:val="24"/>
        </w:rPr>
        <w:t xml:space="preserve">ų aptarnavimo tarnybos </w:t>
      </w:r>
      <w:r w:rsidR="006D596F" w:rsidRPr="006D596F">
        <w:rPr>
          <w:rFonts w:ascii="Times New Roman" w:hAnsi="Times New Roman" w:cs="Times New Roman"/>
          <w:sz w:val="24"/>
          <w:szCs w:val="24"/>
        </w:rPr>
        <w:t xml:space="preserve">Pabradės </w:t>
      </w:r>
      <w:r w:rsidR="00C17941" w:rsidRPr="006D596F">
        <w:rPr>
          <w:rFonts w:ascii="Times New Roman" w:hAnsi="Times New Roman" w:cs="Times New Roman"/>
          <w:sz w:val="24"/>
          <w:szCs w:val="24"/>
        </w:rPr>
        <w:t>įgulos aptarnavimo centro</w:t>
      </w:r>
      <w:r w:rsidR="00685A4C" w:rsidRPr="006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administruojamoje </w:t>
      </w:r>
      <w:r w:rsidR="000A10FE" w:rsidRPr="006D596F">
        <w:rPr>
          <w:rFonts w:ascii="Times New Roman" w:hAnsi="Times New Roman" w:cs="Times New Roman"/>
          <w:sz w:val="24"/>
          <w:szCs w:val="24"/>
        </w:rPr>
        <w:t xml:space="preserve">skysto kuro degalinėje, esančioje </w:t>
      </w:r>
      <w:r w:rsidRPr="006D596F">
        <w:rPr>
          <w:rFonts w:ascii="Times New Roman" w:hAnsi="Times New Roman" w:cs="Times New Roman"/>
          <w:sz w:val="24"/>
          <w:szCs w:val="24"/>
        </w:rPr>
        <w:t>Švenčionių r.</w:t>
      </w:r>
      <w:r w:rsidR="000A10FE" w:rsidRPr="006D596F">
        <w:rPr>
          <w:rFonts w:ascii="Times New Roman" w:hAnsi="Times New Roman" w:cs="Times New Roman"/>
          <w:sz w:val="24"/>
          <w:szCs w:val="24"/>
        </w:rPr>
        <w:t>, Pabradės sen.,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Mažalotės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9.</w:t>
      </w:r>
      <w:r w:rsidR="000A10FE" w:rsidRPr="006D5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96F" w:rsidRPr="006D596F" w:rsidRDefault="001E15D6" w:rsidP="00B572F4">
      <w:pPr>
        <w:tabs>
          <w:tab w:val="left" w:pos="709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D596F" w:rsidRPr="006D596F">
        <w:rPr>
          <w:rFonts w:ascii="Times New Roman" w:hAnsi="Times New Roman" w:cs="Times New Roman"/>
          <w:sz w:val="24"/>
          <w:szCs w:val="24"/>
        </w:rPr>
        <w:t>Paslaugos teikėjas turi:</w:t>
      </w:r>
    </w:p>
    <w:p w:rsidR="006D596F" w:rsidRPr="006D596F" w:rsidRDefault="001E15D6" w:rsidP="006D596F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596F" w:rsidRPr="006D596F">
        <w:rPr>
          <w:rFonts w:ascii="Times New Roman" w:hAnsi="Times New Roman" w:cs="Times New Roman"/>
          <w:sz w:val="24"/>
          <w:szCs w:val="24"/>
        </w:rPr>
        <w:t>.1. atlikti 2024 m. tyrimus, numatytus 2020-2024 m. monitoringo programoje, kurios ištrauka pateikta 1 lentelėje</w:t>
      </w:r>
      <w:r>
        <w:rPr>
          <w:rFonts w:ascii="Times New Roman" w:hAnsi="Times New Roman" w:cs="Times New Roman"/>
          <w:sz w:val="24"/>
          <w:szCs w:val="24"/>
        </w:rPr>
        <w:t xml:space="preserve">. Mėginys turi būti paimtas </w:t>
      </w:r>
      <w:r w:rsidR="00B572F4">
        <w:rPr>
          <w:rFonts w:ascii="Times New Roman" w:hAnsi="Times New Roman" w:cs="Times New Roman"/>
          <w:sz w:val="24"/>
          <w:szCs w:val="24"/>
        </w:rPr>
        <w:t>š.</w:t>
      </w:r>
      <w:r>
        <w:rPr>
          <w:rFonts w:ascii="Times New Roman" w:hAnsi="Times New Roman" w:cs="Times New Roman"/>
          <w:sz w:val="24"/>
          <w:szCs w:val="24"/>
        </w:rPr>
        <w:t xml:space="preserve"> m. spalio – lapkričio mėn.; </w:t>
      </w:r>
    </w:p>
    <w:p w:rsidR="006D596F" w:rsidRPr="006D596F" w:rsidRDefault="001E15D6" w:rsidP="006D596F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596F" w:rsidRPr="006D596F">
        <w:rPr>
          <w:rFonts w:ascii="Times New Roman" w:hAnsi="Times New Roman" w:cs="Times New Roman"/>
          <w:sz w:val="24"/>
          <w:szCs w:val="24"/>
        </w:rPr>
        <w:t>.2. parengti 2020-2024 m. vykdyto monitoringo apibendrina</w:t>
      </w:r>
      <w:r w:rsidR="00CB5047">
        <w:rPr>
          <w:rFonts w:ascii="Times New Roman" w:hAnsi="Times New Roman" w:cs="Times New Roman"/>
          <w:sz w:val="24"/>
          <w:szCs w:val="24"/>
        </w:rPr>
        <w:t>nčią</w:t>
      </w:r>
      <w:r w:rsidR="006D596F" w:rsidRPr="006D596F">
        <w:rPr>
          <w:rFonts w:ascii="Times New Roman" w:hAnsi="Times New Roman" w:cs="Times New Roman"/>
          <w:sz w:val="24"/>
          <w:szCs w:val="24"/>
        </w:rPr>
        <w:t xml:space="preserve"> ataskaitą (toliau – </w:t>
      </w:r>
      <w:r>
        <w:rPr>
          <w:rFonts w:ascii="Times New Roman" w:hAnsi="Times New Roman" w:cs="Times New Roman"/>
          <w:sz w:val="24"/>
          <w:szCs w:val="24"/>
        </w:rPr>
        <w:t xml:space="preserve">apibendrinanti </w:t>
      </w:r>
      <w:r w:rsidR="006D596F" w:rsidRPr="006D596F">
        <w:rPr>
          <w:rFonts w:ascii="Times New Roman" w:hAnsi="Times New Roman" w:cs="Times New Roman"/>
          <w:sz w:val="24"/>
          <w:szCs w:val="24"/>
        </w:rPr>
        <w:t>ataskaita)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596F" w:rsidRDefault="001E15D6" w:rsidP="006D596F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596F" w:rsidRPr="006D596F">
        <w:rPr>
          <w:rFonts w:ascii="Times New Roman" w:hAnsi="Times New Roman" w:cs="Times New Roman"/>
          <w:sz w:val="24"/>
          <w:szCs w:val="24"/>
        </w:rPr>
        <w:t>.</w:t>
      </w:r>
      <w:r w:rsidR="006D596F">
        <w:rPr>
          <w:rFonts w:ascii="Times New Roman" w:hAnsi="Times New Roman" w:cs="Times New Roman"/>
          <w:sz w:val="24"/>
          <w:szCs w:val="24"/>
        </w:rPr>
        <w:t>3</w:t>
      </w:r>
      <w:r w:rsidR="006D596F" w:rsidRPr="006D596F">
        <w:rPr>
          <w:rFonts w:ascii="Times New Roman" w:hAnsi="Times New Roman" w:cs="Times New Roman"/>
          <w:sz w:val="24"/>
          <w:szCs w:val="24"/>
        </w:rPr>
        <w:t>. parengti naują</w:t>
      </w:r>
      <w:r w:rsidR="00CB5047">
        <w:rPr>
          <w:rFonts w:ascii="Times New Roman" w:hAnsi="Times New Roman" w:cs="Times New Roman"/>
          <w:sz w:val="24"/>
          <w:szCs w:val="24"/>
        </w:rPr>
        <w:t>ją</w:t>
      </w:r>
      <w:r w:rsidR="006D596F" w:rsidRPr="006D596F">
        <w:rPr>
          <w:rFonts w:ascii="Times New Roman" w:hAnsi="Times New Roman" w:cs="Times New Roman"/>
          <w:sz w:val="24"/>
          <w:szCs w:val="24"/>
        </w:rPr>
        <w:t xml:space="preserve"> monitoringo programą sekančiam penkerių metų laikotarpiui </w:t>
      </w:r>
      <w:r w:rsidR="00CB5047" w:rsidRPr="006D596F">
        <w:rPr>
          <w:rFonts w:ascii="Times New Roman" w:hAnsi="Times New Roman" w:cs="Times New Roman"/>
          <w:sz w:val="24"/>
          <w:szCs w:val="24"/>
        </w:rPr>
        <w:t>–</w:t>
      </w:r>
      <w:r w:rsidR="00CB5047">
        <w:rPr>
          <w:rFonts w:ascii="Times New Roman" w:hAnsi="Times New Roman" w:cs="Times New Roman"/>
          <w:sz w:val="24"/>
          <w:szCs w:val="24"/>
        </w:rPr>
        <w:t xml:space="preserve"> 2025-2029 m. </w:t>
      </w:r>
      <w:r w:rsidR="006D596F" w:rsidRPr="006D596F">
        <w:rPr>
          <w:rFonts w:ascii="Times New Roman" w:hAnsi="Times New Roman" w:cs="Times New Roman"/>
          <w:sz w:val="24"/>
          <w:szCs w:val="24"/>
        </w:rPr>
        <w:t>(toliau – naujoji programa);</w:t>
      </w:r>
    </w:p>
    <w:p w:rsidR="00CB5047" w:rsidRDefault="00CB5047" w:rsidP="006D596F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parengtas </w:t>
      </w:r>
      <w:r w:rsidRPr="006D596F">
        <w:rPr>
          <w:rFonts w:ascii="Times New Roman" w:hAnsi="Times New Roman" w:cs="Times New Roman"/>
          <w:sz w:val="24"/>
          <w:szCs w:val="24"/>
        </w:rPr>
        <w:t>apibendrinan</w:t>
      </w:r>
      <w:r>
        <w:rPr>
          <w:rFonts w:ascii="Times New Roman" w:hAnsi="Times New Roman" w:cs="Times New Roman"/>
          <w:sz w:val="24"/>
          <w:szCs w:val="24"/>
        </w:rPr>
        <w:t>čią</w:t>
      </w:r>
      <w:r w:rsidR="006F34B8">
        <w:rPr>
          <w:rFonts w:ascii="Times New Roman" w:hAnsi="Times New Roman" w:cs="Times New Roman"/>
          <w:sz w:val="24"/>
          <w:szCs w:val="24"/>
        </w:rPr>
        <w:t xml:space="preserve"> ataskaitą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6D596F">
        <w:rPr>
          <w:rFonts w:ascii="Times New Roman" w:hAnsi="Times New Roman" w:cs="Times New Roman"/>
          <w:sz w:val="24"/>
          <w:szCs w:val="24"/>
        </w:rPr>
        <w:t xml:space="preserve"> nauj</w:t>
      </w:r>
      <w:r>
        <w:rPr>
          <w:rFonts w:ascii="Times New Roman" w:hAnsi="Times New Roman" w:cs="Times New Roman"/>
          <w:sz w:val="24"/>
          <w:szCs w:val="24"/>
        </w:rPr>
        <w:t>ąją</w:t>
      </w:r>
      <w:r w:rsidRPr="006D596F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D596F">
        <w:rPr>
          <w:rFonts w:ascii="Times New Roman" w:hAnsi="Times New Roman" w:cs="Times New Roman"/>
          <w:sz w:val="24"/>
          <w:szCs w:val="24"/>
        </w:rPr>
        <w:t xml:space="preserve"> pateik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596F">
        <w:rPr>
          <w:rFonts w:ascii="Times New Roman" w:hAnsi="Times New Roman" w:cs="Times New Roman"/>
          <w:sz w:val="24"/>
          <w:szCs w:val="24"/>
        </w:rPr>
        <w:t xml:space="preserve">i Pirkėjui ne vėliau kaip iki </w:t>
      </w:r>
      <w:r w:rsidR="00603D51">
        <w:rPr>
          <w:rFonts w:ascii="Times New Roman" w:hAnsi="Times New Roman" w:cs="Times New Roman"/>
          <w:sz w:val="24"/>
          <w:szCs w:val="24"/>
        </w:rPr>
        <w:t xml:space="preserve">š. m. </w:t>
      </w:r>
      <w:r w:rsidRPr="006D596F">
        <w:rPr>
          <w:rFonts w:ascii="Times New Roman" w:hAnsi="Times New Roman" w:cs="Times New Roman"/>
          <w:sz w:val="24"/>
          <w:szCs w:val="24"/>
        </w:rPr>
        <w:t>gruodžio 1 d.</w:t>
      </w:r>
      <w:r w:rsidR="006F34B8">
        <w:rPr>
          <w:rFonts w:ascii="Times New Roman" w:hAnsi="Times New Roman" w:cs="Times New Roman"/>
          <w:sz w:val="24"/>
          <w:szCs w:val="24"/>
        </w:rPr>
        <w:t xml:space="preserve"> </w:t>
      </w:r>
      <w:r w:rsidR="006F34B8" w:rsidRPr="006D596F">
        <w:rPr>
          <w:rFonts w:ascii="Times New Roman" w:hAnsi="Times New Roman" w:cs="Times New Roman"/>
          <w:sz w:val="24"/>
          <w:szCs w:val="24"/>
        </w:rPr>
        <w:t xml:space="preserve"> (po 2 egz.) bei jos skaitmenines kopijas (*.</w:t>
      </w:r>
      <w:proofErr w:type="spellStart"/>
      <w:r w:rsidR="006F34B8" w:rsidRPr="006D596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6F34B8" w:rsidRPr="006D596F">
        <w:rPr>
          <w:rFonts w:ascii="Times New Roman" w:hAnsi="Times New Roman" w:cs="Times New Roman"/>
          <w:sz w:val="24"/>
          <w:szCs w:val="24"/>
        </w:rPr>
        <w:t xml:space="preserve"> ir *.</w:t>
      </w:r>
      <w:proofErr w:type="spellStart"/>
      <w:r w:rsidR="006F34B8" w:rsidRPr="006D596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6F34B8" w:rsidRPr="006D596F">
        <w:rPr>
          <w:rFonts w:ascii="Times New Roman" w:hAnsi="Times New Roman" w:cs="Times New Roman"/>
          <w:sz w:val="24"/>
          <w:szCs w:val="24"/>
        </w:rPr>
        <w:t xml:space="preserve"> formatu) </w:t>
      </w:r>
      <w:r w:rsidR="006F34B8">
        <w:rPr>
          <w:rFonts w:ascii="Times New Roman" w:hAnsi="Times New Roman" w:cs="Times New Roman"/>
          <w:sz w:val="24"/>
          <w:szCs w:val="24"/>
        </w:rPr>
        <w:t>tiesiogiai arba siunčiant paštu</w:t>
      </w:r>
      <w:r w:rsidR="00B572F4">
        <w:rPr>
          <w:rFonts w:ascii="Times New Roman" w:hAnsi="Times New Roman" w:cs="Times New Roman"/>
          <w:sz w:val="24"/>
          <w:szCs w:val="24"/>
        </w:rPr>
        <w:t>. Kartu pateikti Lietuvos geologijos tarnybos pritarimą naujajai programai</w:t>
      </w:r>
      <w:r w:rsidR="006F34B8">
        <w:rPr>
          <w:rFonts w:ascii="Times New Roman" w:hAnsi="Times New Roman" w:cs="Times New Roman"/>
          <w:sz w:val="24"/>
          <w:szCs w:val="24"/>
        </w:rPr>
        <w:t>;</w:t>
      </w:r>
    </w:p>
    <w:p w:rsidR="001E15D6" w:rsidRDefault="001E15D6" w:rsidP="006D596F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72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34B8">
        <w:rPr>
          <w:rFonts w:ascii="Times New Roman" w:hAnsi="Times New Roman" w:cs="Times New Roman"/>
          <w:sz w:val="24"/>
          <w:szCs w:val="24"/>
        </w:rPr>
        <w:t xml:space="preserve">atlikti </w:t>
      </w:r>
      <w:r w:rsidR="00CB5047">
        <w:rPr>
          <w:rFonts w:ascii="Times New Roman" w:hAnsi="Times New Roman" w:cs="Times New Roman"/>
          <w:sz w:val="24"/>
          <w:szCs w:val="24"/>
        </w:rPr>
        <w:t>2025, 2026, 2027 m. tyrimus naujojoje programoje numatytu periodiškumu ir apimtim</w:t>
      </w:r>
      <w:r w:rsidR="006F34B8">
        <w:rPr>
          <w:rFonts w:ascii="Times New Roman" w:hAnsi="Times New Roman" w:cs="Times New Roman"/>
          <w:sz w:val="24"/>
          <w:szCs w:val="24"/>
        </w:rPr>
        <w:t>is;</w:t>
      </w:r>
      <w:r w:rsidR="00CB5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4B8" w:rsidRDefault="001E15D6" w:rsidP="006D596F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72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34B8">
        <w:rPr>
          <w:rFonts w:ascii="Times New Roman" w:hAnsi="Times New Roman" w:cs="Times New Roman"/>
          <w:sz w:val="24"/>
          <w:szCs w:val="24"/>
        </w:rPr>
        <w:t xml:space="preserve">pateikti </w:t>
      </w:r>
      <w:r w:rsidR="00603D51">
        <w:rPr>
          <w:rFonts w:ascii="Times New Roman" w:hAnsi="Times New Roman" w:cs="Times New Roman"/>
          <w:sz w:val="24"/>
          <w:szCs w:val="24"/>
        </w:rPr>
        <w:t xml:space="preserve">2025, </w:t>
      </w:r>
      <w:r w:rsidR="006F34B8">
        <w:rPr>
          <w:rFonts w:ascii="Times New Roman" w:hAnsi="Times New Roman" w:cs="Times New Roman"/>
          <w:sz w:val="24"/>
          <w:szCs w:val="24"/>
        </w:rPr>
        <w:t>2026</w:t>
      </w:r>
      <w:r w:rsidR="00603D51">
        <w:rPr>
          <w:rFonts w:ascii="Times New Roman" w:hAnsi="Times New Roman" w:cs="Times New Roman"/>
          <w:sz w:val="24"/>
          <w:szCs w:val="24"/>
        </w:rPr>
        <w:t xml:space="preserve"> m. m</w:t>
      </w:r>
      <w:r w:rsidRPr="006D596F">
        <w:rPr>
          <w:rFonts w:ascii="Times New Roman" w:hAnsi="Times New Roman" w:cs="Times New Roman"/>
          <w:sz w:val="24"/>
          <w:szCs w:val="24"/>
        </w:rPr>
        <w:t>onitoringo ataskaitas</w:t>
      </w:r>
      <w:r w:rsidR="006F34B8">
        <w:rPr>
          <w:rFonts w:ascii="Times New Roman" w:hAnsi="Times New Roman" w:cs="Times New Roman"/>
          <w:sz w:val="24"/>
          <w:szCs w:val="24"/>
        </w:rPr>
        <w:t xml:space="preserve"> Pirkėjui iki einamųjų metų gruodžio 1 d. - </w:t>
      </w:r>
      <w:r w:rsidR="006F34B8" w:rsidRPr="006D596F">
        <w:rPr>
          <w:rFonts w:ascii="Times New Roman" w:hAnsi="Times New Roman" w:cs="Times New Roman"/>
          <w:sz w:val="24"/>
          <w:szCs w:val="24"/>
        </w:rPr>
        <w:t>po 2 egz. bei jos skaitmenines kopijas (*.</w:t>
      </w:r>
      <w:proofErr w:type="spellStart"/>
      <w:r w:rsidR="006F34B8" w:rsidRPr="006D596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6F34B8" w:rsidRPr="006D596F">
        <w:rPr>
          <w:rFonts w:ascii="Times New Roman" w:hAnsi="Times New Roman" w:cs="Times New Roman"/>
          <w:sz w:val="24"/>
          <w:szCs w:val="24"/>
        </w:rPr>
        <w:t xml:space="preserve"> ir *.</w:t>
      </w:r>
      <w:proofErr w:type="spellStart"/>
      <w:r w:rsidR="006F34B8" w:rsidRPr="006D596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6F34B8" w:rsidRPr="006D596F">
        <w:rPr>
          <w:rFonts w:ascii="Times New Roman" w:hAnsi="Times New Roman" w:cs="Times New Roman"/>
          <w:sz w:val="24"/>
          <w:szCs w:val="24"/>
        </w:rPr>
        <w:t xml:space="preserve"> formatu) tiesiogiai arba siunčiant paštu.</w:t>
      </w:r>
      <w:r w:rsidR="006F34B8">
        <w:rPr>
          <w:rFonts w:ascii="Times New Roman" w:hAnsi="Times New Roman" w:cs="Times New Roman"/>
          <w:sz w:val="24"/>
          <w:szCs w:val="24"/>
        </w:rPr>
        <w:t xml:space="preserve"> 2027 m. ataskaitą pateikti Pirkėjui iki sutarties pabaigos - </w:t>
      </w:r>
      <w:r w:rsidR="006F34B8" w:rsidRPr="006D596F">
        <w:rPr>
          <w:rFonts w:ascii="Times New Roman" w:hAnsi="Times New Roman" w:cs="Times New Roman"/>
          <w:sz w:val="24"/>
          <w:szCs w:val="24"/>
        </w:rPr>
        <w:t>po 2 egz. bei jos skaitmenines kopijas (*.</w:t>
      </w:r>
      <w:proofErr w:type="spellStart"/>
      <w:r w:rsidR="006F34B8" w:rsidRPr="006D596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6F34B8" w:rsidRPr="006D596F">
        <w:rPr>
          <w:rFonts w:ascii="Times New Roman" w:hAnsi="Times New Roman" w:cs="Times New Roman"/>
          <w:sz w:val="24"/>
          <w:szCs w:val="24"/>
        </w:rPr>
        <w:t xml:space="preserve"> ir *.</w:t>
      </w:r>
      <w:proofErr w:type="spellStart"/>
      <w:r w:rsidR="006F34B8" w:rsidRPr="006D596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6F34B8" w:rsidRPr="006D596F">
        <w:rPr>
          <w:rFonts w:ascii="Times New Roman" w:hAnsi="Times New Roman" w:cs="Times New Roman"/>
          <w:sz w:val="24"/>
          <w:szCs w:val="24"/>
        </w:rPr>
        <w:t xml:space="preserve"> formatu) </w:t>
      </w:r>
      <w:r w:rsidR="006F34B8">
        <w:rPr>
          <w:rFonts w:ascii="Times New Roman" w:hAnsi="Times New Roman" w:cs="Times New Roman"/>
          <w:sz w:val="24"/>
          <w:szCs w:val="24"/>
        </w:rPr>
        <w:t xml:space="preserve">tiesiogiai arba siunčiant paštu. </w:t>
      </w:r>
      <w:r w:rsidRPr="006D596F">
        <w:rPr>
          <w:rFonts w:ascii="Times New Roman" w:hAnsi="Times New Roman" w:cs="Times New Roman"/>
          <w:sz w:val="24"/>
          <w:szCs w:val="24"/>
        </w:rPr>
        <w:t>Lietuvos geologijos tarnybai</w:t>
      </w:r>
      <w:r w:rsidR="006F34B8">
        <w:rPr>
          <w:rFonts w:ascii="Times New Roman" w:hAnsi="Times New Roman" w:cs="Times New Roman"/>
          <w:sz w:val="24"/>
          <w:szCs w:val="24"/>
        </w:rPr>
        <w:t xml:space="preserve"> ataskaitas teiks Pirkėjas.</w:t>
      </w:r>
    </w:p>
    <w:p w:rsidR="006D596F" w:rsidRPr="006D596F" w:rsidRDefault="00B572F4" w:rsidP="006F34B8">
      <w:pP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596F" w:rsidRPr="006D596F">
        <w:rPr>
          <w:rFonts w:ascii="Times New Roman" w:eastAsia="Times New Roman" w:hAnsi="Times New Roman" w:cs="Times New Roman"/>
          <w:sz w:val="24"/>
          <w:szCs w:val="24"/>
        </w:rPr>
        <w:t>3. Monitoringo vykdymui įrengtas gręžin</w:t>
      </w:r>
      <w:r w:rsidR="006F34B8">
        <w:rPr>
          <w:rFonts w:ascii="Times New Roman" w:eastAsia="Times New Roman" w:hAnsi="Times New Roman" w:cs="Times New Roman"/>
          <w:sz w:val="24"/>
          <w:szCs w:val="24"/>
        </w:rPr>
        <w:t>ys Nr</w:t>
      </w:r>
      <w:r w:rsidR="006D596F" w:rsidRPr="006D5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4B8">
        <w:rPr>
          <w:rFonts w:ascii="Times New Roman" w:eastAsia="Times New Roman" w:hAnsi="Times New Roman" w:cs="Times New Roman"/>
          <w:sz w:val="24"/>
          <w:szCs w:val="24"/>
        </w:rPr>
        <w:t xml:space="preserve"> 73497. </w:t>
      </w:r>
      <w:r w:rsidR="006D596F" w:rsidRPr="006D5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34B8" w:rsidRDefault="006F34B8" w:rsidP="006F34B8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="006D596F" w:rsidRPr="006D596F">
        <w:rPr>
          <w:rFonts w:ascii="Times New Roman" w:eastAsiaTheme="minorEastAsia" w:hAnsi="Times New Roman" w:cs="Times New Roman"/>
          <w:sz w:val="24"/>
          <w:szCs w:val="24"/>
          <w:lang w:eastAsia="lt-LT"/>
        </w:rPr>
        <w:t>. M</w:t>
      </w:r>
      <w:r w:rsidR="006D596F" w:rsidRPr="006D596F">
        <w:rPr>
          <w:rFonts w:ascii="Times New Roman" w:hAnsi="Times New Roman" w:cs="Times New Roman"/>
          <w:sz w:val="24"/>
          <w:szCs w:val="24"/>
        </w:rPr>
        <w:t xml:space="preserve">onitoringo duomenys (laboratorinių tyrimų protokolų kopijos) turi būti pateikiami Pirkėjui nevėliau, kaip per 30 dienų nuo mėginių paėmimo dienos, siunčiant juos el. paštu: </w:t>
      </w:r>
      <w:hyperlink r:id="rId6" w:history="1">
        <w:r w:rsidRPr="00B85E9A">
          <w:rPr>
            <w:rStyle w:val="Hyperlink"/>
            <w:rFonts w:ascii="Times New Roman" w:hAnsi="Times New Roman" w:cs="Times New Roman"/>
            <w:sz w:val="24"/>
            <w:szCs w:val="24"/>
          </w:rPr>
          <w:t>edvard.sablovskij</w:t>
        </w:r>
        <w:r w:rsidRPr="00B85E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</w:t>
        </w:r>
        <w:proofErr w:type="spellStart"/>
        <w:r w:rsidRPr="00B85E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mil.lt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34B8" w:rsidRPr="006F34B8" w:rsidRDefault="006F34B8" w:rsidP="00B572F4">
      <w:pPr>
        <w:tabs>
          <w:tab w:val="left" w:pos="567"/>
        </w:tabs>
        <w:ind w:right="-14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F34B8">
        <w:rPr>
          <w:rFonts w:ascii="Times New Roman" w:hAnsi="Times New Roman" w:cs="Times New Roman"/>
          <w:sz w:val="24"/>
          <w:szCs w:val="24"/>
        </w:rPr>
        <w:t xml:space="preserve">5. Ataskaitos ir </w:t>
      </w:r>
      <w:r w:rsidR="00B572F4">
        <w:rPr>
          <w:rFonts w:ascii="Times New Roman" w:hAnsi="Times New Roman" w:cs="Times New Roman"/>
          <w:sz w:val="24"/>
          <w:szCs w:val="24"/>
        </w:rPr>
        <w:t xml:space="preserve">naujoji </w:t>
      </w:r>
      <w:r w:rsidRPr="006F34B8">
        <w:rPr>
          <w:rFonts w:ascii="Times New Roman" w:hAnsi="Times New Roman" w:cs="Times New Roman"/>
          <w:sz w:val="24"/>
          <w:szCs w:val="24"/>
        </w:rPr>
        <w:t>programa tur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F34B8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6F34B8">
        <w:rPr>
          <w:rFonts w:ascii="Times New Roman" w:hAnsi="Times New Roman" w:cs="Times New Roman"/>
          <w:sz w:val="24"/>
          <w:szCs w:val="24"/>
        </w:rPr>
        <w:t>ti rengiami vadovaujantis Ūkio subjektų aplinkos monitoringo nuostatais, patvirtintais Aplinkos ministro 2009 m. rugsėjo 16 d. įsakymu Nr. D1 – 546 (su pakeitimais).</w:t>
      </w:r>
    </w:p>
    <w:p w:rsidR="006D596F" w:rsidRPr="006F34B8" w:rsidRDefault="006F34B8" w:rsidP="006F34B8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6D596F" w:rsidRPr="006F34B8">
        <w:rPr>
          <w:rFonts w:ascii="Times New Roman" w:hAnsi="Times New Roman" w:cs="Times New Roman"/>
          <w:sz w:val="24"/>
          <w:szCs w:val="24"/>
        </w:rPr>
        <w:t xml:space="preserve">. </w:t>
      </w:r>
      <w:r w:rsidR="00336547">
        <w:rPr>
          <w:rFonts w:ascii="Times New Roman" w:hAnsi="Times New Roman" w:cs="Times New Roman"/>
          <w:sz w:val="24"/>
          <w:szCs w:val="24"/>
        </w:rPr>
        <w:t>Dėl patekimo į karinę teritoriją, mėginių paėmimo ir</w:t>
      </w:r>
      <w:r w:rsidR="006D596F" w:rsidRPr="006F3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ankstesnių tyrimų duomenų, reikalingų apibendrinančios ataskaitos parengimui</w:t>
      </w:r>
      <w:r w:rsidR="00336547">
        <w:rPr>
          <w:rFonts w:ascii="Times New Roman" w:hAnsi="Times New Roman" w:cs="Times New Roman"/>
          <w:sz w:val="24"/>
          <w:szCs w:val="24"/>
        </w:rPr>
        <w:t>, gal</w:t>
      </w:r>
      <w:r w:rsidR="006D596F" w:rsidRPr="006F34B8">
        <w:rPr>
          <w:rFonts w:ascii="Times New Roman" w:hAnsi="Times New Roman" w:cs="Times New Roman"/>
          <w:sz w:val="24"/>
          <w:szCs w:val="24"/>
        </w:rPr>
        <w:t xml:space="preserve">ima </w:t>
      </w:r>
      <w:r w:rsidR="006D596F" w:rsidRPr="006F34B8">
        <w:rPr>
          <w:rFonts w:ascii="Times New Roman" w:hAnsi="Times New Roman" w:cs="Times New Roman"/>
          <w:sz w:val="24"/>
          <w:szCs w:val="24"/>
        </w:rPr>
        <w:lastRenderedPageBreak/>
        <w:t xml:space="preserve">kreiptis į Įgulų aptarnavimo tarnybos </w:t>
      </w:r>
      <w:r w:rsidR="00336547">
        <w:rPr>
          <w:rFonts w:ascii="Times New Roman" w:hAnsi="Times New Roman" w:cs="Times New Roman"/>
          <w:sz w:val="24"/>
          <w:szCs w:val="24"/>
        </w:rPr>
        <w:t>Pabradės</w:t>
      </w:r>
      <w:r w:rsidR="006D596F" w:rsidRPr="006F34B8">
        <w:rPr>
          <w:rFonts w:ascii="Times New Roman" w:hAnsi="Times New Roman" w:cs="Times New Roman"/>
          <w:sz w:val="24"/>
          <w:szCs w:val="24"/>
        </w:rPr>
        <w:t xml:space="preserve"> įgulos aptarnavimo centro darbų saugos organizator</w:t>
      </w:r>
      <w:r w:rsidR="00336547">
        <w:rPr>
          <w:rFonts w:ascii="Times New Roman" w:hAnsi="Times New Roman" w:cs="Times New Roman"/>
          <w:sz w:val="24"/>
          <w:szCs w:val="24"/>
        </w:rPr>
        <w:t xml:space="preserve">ių Edvardą </w:t>
      </w:r>
      <w:proofErr w:type="spellStart"/>
      <w:r w:rsidR="00336547">
        <w:rPr>
          <w:rFonts w:ascii="Times New Roman" w:hAnsi="Times New Roman" w:cs="Times New Roman"/>
          <w:sz w:val="24"/>
          <w:szCs w:val="24"/>
        </w:rPr>
        <w:t>Šablovskį</w:t>
      </w:r>
      <w:proofErr w:type="spellEnd"/>
      <w:r w:rsidR="006D596F" w:rsidRPr="006F34B8">
        <w:rPr>
          <w:rFonts w:ascii="Times New Roman" w:hAnsi="Times New Roman" w:cs="Times New Roman"/>
          <w:sz w:val="24"/>
          <w:szCs w:val="24"/>
        </w:rPr>
        <w:t xml:space="preserve">, tel. </w:t>
      </w:r>
      <w:r w:rsidR="00336547" w:rsidRPr="00525B6F">
        <w:rPr>
          <w:rFonts w:ascii="Times New Roman" w:hAnsi="Times New Roman" w:cs="Times New Roman"/>
          <w:sz w:val="24"/>
          <w:szCs w:val="24"/>
        </w:rPr>
        <w:t>8</w:t>
      </w:r>
      <w:r w:rsidR="00336547">
        <w:rPr>
          <w:rFonts w:ascii="Times New Roman" w:hAnsi="Times New Roman" w:cs="Times New Roman"/>
          <w:sz w:val="24"/>
          <w:szCs w:val="24"/>
        </w:rPr>
        <w:t xml:space="preserve"> </w:t>
      </w:r>
      <w:r w:rsidR="00336547" w:rsidRPr="00525B6F">
        <w:rPr>
          <w:rFonts w:ascii="Times New Roman" w:hAnsi="Times New Roman" w:cs="Times New Roman"/>
          <w:sz w:val="24"/>
          <w:szCs w:val="24"/>
        </w:rPr>
        <w:t>682 39689</w:t>
      </w:r>
      <w:r w:rsidR="006D596F" w:rsidRPr="006F34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596F" w:rsidRPr="00B572F4" w:rsidRDefault="006D596F" w:rsidP="00B572F4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0D7" w:rsidRDefault="006020D7" w:rsidP="006020D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505C" w:rsidRPr="00DF1C13" w:rsidRDefault="00D0505C" w:rsidP="00336547">
      <w:pPr>
        <w:pStyle w:val="ListParagraph"/>
        <w:spacing w:line="240" w:lineRule="auto"/>
        <w:ind w:left="5184" w:right="282" w:hanging="5184"/>
        <w:jc w:val="both"/>
        <w:rPr>
          <w:rFonts w:ascii="Times New Roman" w:hAnsi="Times New Roman" w:cs="Times New Roman"/>
          <w:sz w:val="24"/>
          <w:szCs w:val="24"/>
        </w:rPr>
      </w:pPr>
      <w:r w:rsidRPr="00DF1C13">
        <w:rPr>
          <w:rFonts w:ascii="Times New Roman" w:hAnsi="Times New Roman" w:cs="Times New Roman"/>
          <w:sz w:val="24"/>
          <w:szCs w:val="24"/>
        </w:rPr>
        <w:t>1 lentelė. Poveikio požemini</w:t>
      </w:r>
      <w:r w:rsidR="00DC49B8">
        <w:rPr>
          <w:rFonts w:ascii="Times New Roman" w:hAnsi="Times New Roman" w:cs="Times New Roman"/>
          <w:sz w:val="24"/>
          <w:szCs w:val="24"/>
        </w:rPr>
        <w:t xml:space="preserve">am vandeniui monitoringo </w:t>
      </w:r>
      <w:r w:rsidR="00336547">
        <w:rPr>
          <w:rFonts w:ascii="Times New Roman" w:hAnsi="Times New Roman" w:cs="Times New Roman"/>
          <w:sz w:val="24"/>
          <w:szCs w:val="24"/>
        </w:rPr>
        <w:t>p</w:t>
      </w:r>
      <w:r w:rsidR="00540490">
        <w:rPr>
          <w:rFonts w:ascii="Times New Roman" w:hAnsi="Times New Roman" w:cs="Times New Roman"/>
          <w:sz w:val="24"/>
          <w:szCs w:val="24"/>
        </w:rPr>
        <w:t>lanas 2024 m.</w:t>
      </w:r>
      <w:r w:rsidR="00336547">
        <w:rPr>
          <w:rFonts w:ascii="Times New Roman" w:hAnsi="Times New Roman" w:cs="Times New Roman"/>
          <w:sz w:val="24"/>
          <w:szCs w:val="24"/>
        </w:rPr>
        <w:t xml:space="preserve"> (</w:t>
      </w:r>
      <w:r w:rsidR="00540490">
        <w:rPr>
          <w:rFonts w:ascii="Times New Roman" w:hAnsi="Times New Roman" w:cs="Times New Roman"/>
          <w:sz w:val="24"/>
          <w:szCs w:val="24"/>
        </w:rPr>
        <w:t xml:space="preserve">programos </w:t>
      </w:r>
      <w:r w:rsidR="00336547">
        <w:rPr>
          <w:rFonts w:ascii="Times New Roman" w:hAnsi="Times New Roman" w:cs="Times New Roman"/>
          <w:sz w:val="24"/>
          <w:szCs w:val="24"/>
        </w:rPr>
        <w:t>ištrauka)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8818"/>
      </w:tblGrid>
      <w:tr w:rsidR="00A02064" w:rsidRPr="00574F13" w:rsidTr="00540490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74F1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Eil. Nr.</w:t>
            </w: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574F1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Nustatomi parametrai</w:t>
            </w:r>
          </w:p>
        </w:tc>
      </w:tr>
      <w:tr w:rsidR="00A02064" w:rsidRPr="00574F13" w:rsidTr="00540490">
        <w:trPr>
          <w:cantSplit/>
          <w:trHeight w:val="28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4" w:rsidRPr="00574F13" w:rsidRDefault="001E15D6" w:rsidP="00A020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</w:tr>
      <w:tr w:rsidR="00A02064" w:rsidRPr="00574F13" w:rsidTr="00540490">
        <w:trPr>
          <w:cantSplit/>
          <w:trHeight w:val="18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Statinis vandens lygis</w:t>
            </w:r>
          </w:p>
        </w:tc>
      </w:tr>
      <w:tr w:rsidR="00A02064" w:rsidRPr="00574F13" w:rsidTr="00540490">
        <w:trPr>
          <w:cantSplit/>
          <w:trHeight w:val="231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pH </w:t>
            </w:r>
          </w:p>
        </w:tc>
      </w:tr>
      <w:tr w:rsidR="00A02064" w:rsidRPr="00574F13" w:rsidTr="00540490">
        <w:trPr>
          <w:cantSplit/>
          <w:trHeight w:val="13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Permanganato indeksas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ChDS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>cr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</w:t>
            </w: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bichromato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skaičius)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Savitasis elektros </w:t>
            </w: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laidis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(µS/cm)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Chloridai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Sulfatai (mg/l)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Hidrokarbonatai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Bendras kietumas (mg-</w:t>
            </w: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ekv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./I)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CO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 xml:space="preserve">3 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CO</w:t>
            </w:r>
            <w:r w:rsidRPr="00A02064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>2</w:t>
            </w: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perscript"/>
                <w:lang w:eastAsia="hi-IN" w:bidi="hi-IN"/>
              </w:rPr>
              <w:t xml:space="preserve">- 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Nitratai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Nitritai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Natris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Kalis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Kalcis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Magnis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Amonis (mg/I)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Ištirpusių mineralinių medžiagų suma (mg/I)</w:t>
            </w:r>
          </w:p>
        </w:tc>
      </w:tr>
      <w:tr w:rsidR="00A02064" w:rsidRPr="00574F13" w:rsidTr="00540490">
        <w:trPr>
          <w:cantSplit/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Benzenas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(µg/l)</w:t>
            </w:r>
          </w:p>
        </w:tc>
      </w:tr>
      <w:tr w:rsidR="00A02064" w:rsidRPr="00574F13" w:rsidTr="00540490">
        <w:trPr>
          <w:cantSplit/>
          <w:trHeight w:val="7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Toluenas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(µg/l)</w:t>
            </w:r>
          </w:p>
        </w:tc>
      </w:tr>
      <w:tr w:rsidR="00A02064" w:rsidRPr="00574F13" w:rsidTr="00540490">
        <w:trPr>
          <w:cantSplit/>
          <w:trHeight w:val="7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Etil-benzenas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(µg/l)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Ksilenų</w:t>
            </w:r>
            <w:proofErr w:type="spellEnd"/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suma (µg/l)</w:t>
            </w:r>
          </w:p>
        </w:tc>
      </w:tr>
      <w:tr w:rsidR="00A02064" w:rsidRPr="00574F13" w:rsidTr="00540490">
        <w:trPr>
          <w:cantSplit/>
          <w:trHeight w:val="2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TMB suma (µg/l)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Aromatinių angliavandenilių suma (µg/l)</w:t>
            </w:r>
          </w:p>
        </w:tc>
      </w:tr>
      <w:tr w:rsidR="00A02064" w:rsidRPr="00574F13" w:rsidTr="00540490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BEA (C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>6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-C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>10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suma) (mg/I)</w:t>
            </w:r>
          </w:p>
        </w:tc>
      </w:tr>
      <w:tr w:rsidR="00A02064" w:rsidRPr="00574F13" w:rsidTr="00540490">
        <w:trPr>
          <w:cantSplit/>
          <w:trHeight w:val="2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574F1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DEA (C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>10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-C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bscript"/>
                <w:lang w:eastAsia="hi-IN" w:bidi="hi-IN"/>
              </w:rPr>
              <w:t xml:space="preserve">28 </w:t>
            </w:r>
            <w:r w:rsidRPr="00574F1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suma) (mg/I)</w:t>
            </w:r>
          </w:p>
        </w:tc>
      </w:tr>
      <w:tr w:rsidR="00A02064" w:rsidRPr="00D0505C" w:rsidTr="00540490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8D539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Švinas</w:t>
            </w:r>
          </w:p>
        </w:tc>
      </w:tr>
      <w:tr w:rsidR="00A02064" w:rsidRPr="00D0505C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8D539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Nikelis</w:t>
            </w:r>
          </w:p>
        </w:tc>
      </w:tr>
      <w:tr w:rsidR="00A02064" w:rsidRPr="00D0505C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8D539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Cinkas</w:t>
            </w:r>
          </w:p>
        </w:tc>
      </w:tr>
      <w:tr w:rsidR="00A02064" w:rsidRPr="00D0505C" w:rsidTr="00540490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064" w:rsidRPr="00A02064" w:rsidRDefault="00A02064" w:rsidP="00A02064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2064" w:rsidRPr="008D5393" w:rsidRDefault="00A02064" w:rsidP="00A020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Manganas</w:t>
            </w:r>
          </w:p>
        </w:tc>
      </w:tr>
    </w:tbl>
    <w:p w:rsidR="00AA48A5" w:rsidRDefault="00AA48A5" w:rsidP="00C23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788B" w:rsidRPr="00332CE1" w:rsidRDefault="00CF788B" w:rsidP="00CF788B">
      <w:pPr>
        <w:spacing w:after="0" w:line="240" w:lineRule="auto"/>
        <w:rPr>
          <w:rFonts w:ascii="Times New Roman" w:hAnsi="Times New Roman" w:cs="Times New Roman"/>
          <w:b/>
        </w:rPr>
      </w:pPr>
      <w:r w:rsidRPr="00332CE1">
        <w:rPr>
          <w:rFonts w:ascii="Times New Roman" w:hAnsi="Times New Roman" w:cs="Times New Roman"/>
          <w:b/>
        </w:rPr>
        <w:t>Pirkėjas</w:t>
      </w:r>
      <w:r w:rsidRPr="00332CE1">
        <w:rPr>
          <w:rFonts w:ascii="Times New Roman" w:hAnsi="Times New Roman" w:cs="Times New Roman"/>
          <w:b/>
        </w:rPr>
        <w:tab/>
      </w:r>
      <w:r w:rsidRPr="00332CE1">
        <w:rPr>
          <w:rFonts w:ascii="Times New Roman" w:hAnsi="Times New Roman" w:cs="Times New Roman"/>
          <w:b/>
        </w:rPr>
        <w:tab/>
      </w:r>
      <w:r w:rsidRPr="00332CE1">
        <w:rPr>
          <w:rFonts w:ascii="Times New Roman" w:hAnsi="Times New Roman" w:cs="Times New Roman"/>
          <w:b/>
        </w:rPr>
        <w:tab/>
      </w:r>
      <w:r w:rsidRPr="00332CE1">
        <w:rPr>
          <w:rFonts w:ascii="Times New Roman" w:hAnsi="Times New Roman" w:cs="Times New Roman"/>
          <w:b/>
        </w:rPr>
        <w:tab/>
      </w:r>
      <w:r w:rsidRPr="00332CE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</w:t>
      </w:r>
      <w:r w:rsidRPr="00332CE1">
        <w:rPr>
          <w:rFonts w:ascii="Times New Roman" w:hAnsi="Times New Roman" w:cs="Times New Roman"/>
          <w:b/>
        </w:rPr>
        <w:t>Teikėjas</w:t>
      </w:r>
    </w:p>
    <w:p w:rsidR="00CF788B" w:rsidRDefault="00CF788B" w:rsidP="00CF788B">
      <w:pPr>
        <w:spacing w:after="0" w:line="240" w:lineRule="auto"/>
        <w:rPr>
          <w:rFonts w:ascii="Times New Roman" w:hAnsi="Times New Roman" w:cs="Times New Roman"/>
        </w:rPr>
      </w:pPr>
    </w:p>
    <w:p w:rsidR="00CF788B" w:rsidRPr="00332CE1" w:rsidRDefault="00CF788B" w:rsidP="00CF788B">
      <w:pPr>
        <w:spacing w:after="0" w:line="240" w:lineRule="auto"/>
        <w:rPr>
          <w:rFonts w:ascii="Times New Roman" w:hAnsi="Times New Roman" w:cs="Times New Roman"/>
        </w:rPr>
      </w:pPr>
      <w:r w:rsidRPr="00332CE1">
        <w:rPr>
          <w:rFonts w:ascii="Times New Roman" w:hAnsi="Times New Roman" w:cs="Times New Roman"/>
        </w:rPr>
        <w:t>Vadas</w:t>
      </w:r>
      <w:r w:rsidRPr="00332C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Direktorius</w:t>
      </w:r>
    </w:p>
    <w:p w:rsidR="00CF788B" w:rsidRPr="00332CE1" w:rsidRDefault="00CF788B" w:rsidP="00CF788B">
      <w:pPr>
        <w:spacing w:after="0" w:line="240" w:lineRule="auto"/>
        <w:rPr>
          <w:rFonts w:ascii="Times New Roman" w:hAnsi="Times New Roman" w:cs="Times New Roman"/>
        </w:rPr>
      </w:pPr>
    </w:p>
    <w:p w:rsidR="00CF788B" w:rsidRPr="00332CE1" w:rsidRDefault="00CF788B" w:rsidP="00CF788B">
      <w:pPr>
        <w:spacing w:after="0" w:line="240" w:lineRule="auto"/>
        <w:rPr>
          <w:rFonts w:ascii="Times New Roman" w:hAnsi="Times New Roman" w:cs="Times New Roman"/>
        </w:rPr>
      </w:pPr>
      <w:r w:rsidRPr="00332CE1">
        <w:rPr>
          <w:rFonts w:ascii="Times New Roman" w:hAnsi="Times New Roman" w:cs="Times New Roman"/>
        </w:rPr>
        <w:t xml:space="preserve">plk. ltn. Mindaugas </w:t>
      </w:r>
      <w:proofErr w:type="spellStart"/>
      <w:r w:rsidRPr="00332CE1">
        <w:rPr>
          <w:rFonts w:ascii="Times New Roman" w:hAnsi="Times New Roman" w:cs="Times New Roman"/>
        </w:rPr>
        <w:t>Juotkus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Robertas </w:t>
      </w:r>
      <w:proofErr w:type="spellStart"/>
      <w:r>
        <w:rPr>
          <w:rFonts w:ascii="Times New Roman" w:hAnsi="Times New Roman" w:cs="Times New Roman"/>
        </w:rPr>
        <w:t>Smukas</w:t>
      </w:r>
      <w:proofErr w:type="spellEnd"/>
    </w:p>
    <w:p w:rsidR="00AA48A5" w:rsidRPr="00DF1C13" w:rsidRDefault="00AA48A5" w:rsidP="00CF78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48A5" w:rsidRPr="00DF1C13" w:rsidSect="000A10FE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DejaVu Sans">
    <w:altName w:val="Times New Roman"/>
    <w:charset w:val="BA"/>
    <w:family w:val="swiss"/>
    <w:pitch w:val="variable"/>
    <w:sig w:usb0="E7002EFF" w:usb1="D200FDFF" w:usb2="0A246029" w:usb3="00000000" w:csb0="8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1047"/>
    <w:multiLevelType w:val="hybridMultilevel"/>
    <w:tmpl w:val="F18AC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F7A"/>
    <w:multiLevelType w:val="hybridMultilevel"/>
    <w:tmpl w:val="885E1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66DA1"/>
    <w:multiLevelType w:val="hybridMultilevel"/>
    <w:tmpl w:val="FC1C88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1D29"/>
    <w:multiLevelType w:val="hybridMultilevel"/>
    <w:tmpl w:val="A378A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A189C"/>
    <w:multiLevelType w:val="hybridMultilevel"/>
    <w:tmpl w:val="35E299C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E70C1"/>
    <w:multiLevelType w:val="hybridMultilevel"/>
    <w:tmpl w:val="38209FB0"/>
    <w:lvl w:ilvl="0" w:tplc="0427000F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8" w:hanging="360"/>
      </w:pPr>
    </w:lvl>
    <w:lvl w:ilvl="2" w:tplc="0427001B" w:tentative="1">
      <w:start w:val="1"/>
      <w:numFmt w:val="lowerRoman"/>
      <w:lvlText w:val="%3."/>
      <w:lvlJc w:val="right"/>
      <w:pPr>
        <w:ind w:left="2388" w:hanging="180"/>
      </w:pPr>
    </w:lvl>
    <w:lvl w:ilvl="3" w:tplc="0427000F" w:tentative="1">
      <w:start w:val="1"/>
      <w:numFmt w:val="decimal"/>
      <w:lvlText w:val="%4."/>
      <w:lvlJc w:val="left"/>
      <w:pPr>
        <w:ind w:left="3108" w:hanging="360"/>
      </w:pPr>
    </w:lvl>
    <w:lvl w:ilvl="4" w:tplc="04270019" w:tentative="1">
      <w:start w:val="1"/>
      <w:numFmt w:val="lowerLetter"/>
      <w:lvlText w:val="%5."/>
      <w:lvlJc w:val="left"/>
      <w:pPr>
        <w:ind w:left="3828" w:hanging="360"/>
      </w:pPr>
    </w:lvl>
    <w:lvl w:ilvl="5" w:tplc="0427001B" w:tentative="1">
      <w:start w:val="1"/>
      <w:numFmt w:val="lowerRoman"/>
      <w:lvlText w:val="%6."/>
      <w:lvlJc w:val="right"/>
      <w:pPr>
        <w:ind w:left="4548" w:hanging="180"/>
      </w:pPr>
    </w:lvl>
    <w:lvl w:ilvl="6" w:tplc="0427000F" w:tentative="1">
      <w:start w:val="1"/>
      <w:numFmt w:val="decimal"/>
      <w:lvlText w:val="%7."/>
      <w:lvlJc w:val="left"/>
      <w:pPr>
        <w:ind w:left="5268" w:hanging="360"/>
      </w:pPr>
    </w:lvl>
    <w:lvl w:ilvl="7" w:tplc="04270019" w:tentative="1">
      <w:start w:val="1"/>
      <w:numFmt w:val="lowerLetter"/>
      <w:lvlText w:val="%8."/>
      <w:lvlJc w:val="left"/>
      <w:pPr>
        <w:ind w:left="5988" w:hanging="360"/>
      </w:pPr>
    </w:lvl>
    <w:lvl w:ilvl="8" w:tplc="0427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DF"/>
    <w:rsid w:val="000008EB"/>
    <w:rsid w:val="00001C47"/>
    <w:rsid w:val="000043BC"/>
    <w:rsid w:val="00013A1C"/>
    <w:rsid w:val="00023D3D"/>
    <w:rsid w:val="00033A65"/>
    <w:rsid w:val="000346FC"/>
    <w:rsid w:val="0003754C"/>
    <w:rsid w:val="00060DBC"/>
    <w:rsid w:val="00087483"/>
    <w:rsid w:val="000879C4"/>
    <w:rsid w:val="00094F21"/>
    <w:rsid w:val="00097588"/>
    <w:rsid w:val="000A10FE"/>
    <w:rsid w:val="000A3A7C"/>
    <w:rsid w:val="000A6E68"/>
    <w:rsid w:val="000C5095"/>
    <w:rsid w:val="000D5C7A"/>
    <w:rsid w:val="000F0855"/>
    <w:rsid w:val="001030B2"/>
    <w:rsid w:val="001148CC"/>
    <w:rsid w:val="00117475"/>
    <w:rsid w:val="00125991"/>
    <w:rsid w:val="00137DB4"/>
    <w:rsid w:val="00143B2A"/>
    <w:rsid w:val="00165375"/>
    <w:rsid w:val="0017620B"/>
    <w:rsid w:val="00187C13"/>
    <w:rsid w:val="001A649F"/>
    <w:rsid w:val="001B3C62"/>
    <w:rsid w:val="001B693E"/>
    <w:rsid w:val="001C7C6F"/>
    <w:rsid w:val="001D508D"/>
    <w:rsid w:val="001E15D6"/>
    <w:rsid w:val="001E36BF"/>
    <w:rsid w:val="00213B3C"/>
    <w:rsid w:val="00222183"/>
    <w:rsid w:val="00227530"/>
    <w:rsid w:val="00243E49"/>
    <w:rsid w:val="00245186"/>
    <w:rsid w:val="00265A80"/>
    <w:rsid w:val="002738CD"/>
    <w:rsid w:val="00276EE3"/>
    <w:rsid w:val="00291F04"/>
    <w:rsid w:val="002A7FA6"/>
    <w:rsid w:val="002C1AD2"/>
    <w:rsid w:val="002C2DBB"/>
    <w:rsid w:val="002C2F2A"/>
    <w:rsid w:val="002C4C53"/>
    <w:rsid w:val="002C56CC"/>
    <w:rsid w:val="002D4EDD"/>
    <w:rsid w:val="002D762E"/>
    <w:rsid w:val="00320446"/>
    <w:rsid w:val="00327ECE"/>
    <w:rsid w:val="00336547"/>
    <w:rsid w:val="00340958"/>
    <w:rsid w:val="003612E9"/>
    <w:rsid w:val="00374C40"/>
    <w:rsid w:val="00383A44"/>
    <w:rsid w:val="003862D5"/>
    <w:rsid w:val="00391529"/>
    <w:rsid w:val="003A3EBC"/>
    <w:rsid w:val="003A485E"/>
    <w:rsid w:val="003B007F"/>
    <w:rsid w:val="003C01D1"/>
    <w:rsid w:val="003C2A2C"/>
    <w:rsid w:val="003C447E"/>
    <w:rsid w:val="003D1E84"/>
    <w:rsid w:val="003D7AD1"/>
    <w:rsid w:val="003F567E"/>
    <w:rsid w:val="00410B84"/>
    <w:rsid w:val="00421060"/>
    <w:rsid w:val="00425151"/>
    <w:rsid w:val="0042547E"/>
    <w:rsid w:val="00430519"/>
    <w:rsid w:val="004329F6"/>
    <w:rsid w:val="00442184"/>
    <w:rsid w:val="00465820"/>
    <w:rsid w:val="004700A1"/>
    <w:rsid w:val="00483B47"/>
    <w:rsid w:val="004A5EED"/>
    <w:rsid w:val="004A6554"/>
    <w:rsid w:val="004A74D3"/>
    <w:rsid w:val="004B0F6D"/>
    <w:rsid w:val="004D785E"/>
    <w:rsid w:val="004E6F5F"/>
    <w:rsid w:val="004F226C"/>
    <w:rsid w:val="004F55AD"/>
    <w:rsid w:val="00523BD8"/>
    <w:rsid w:val="0052568C"/>
    <w:rsid w:val="00525AB1"/>
    <w:rsid w:val="00525B6F"/>
    <w:rsid w:val="00526CD8"/>
    <w:rsid w:val="00533352"/>
    <w:rsid w:val="00540490"/>
    <w:rsid w:val="00547AA0"/>
    <w:rsid w:val="00550710"/>
    <w:rsid w:val="00551423"/>
    <w:rsid w:val="0056128C"/>
    <w:rsid w:val="005671C9"/>
    <w:rsid w:val="005730B9"/>
    <w:rsid w:val="00574F13"/>
    <w:rsid w:val="005809B0"/>
    <w:rsid w:val="00584CF4"/>
    <w:rsid w:val="00596B10"/>
    <w:rsid w:val="005A48B5"/>
    <w:rsid w:val="005B3CF3"/>
    <w:rsid w:val="005C05A1"/>
    <w:rsid w:val="005C587E"/>
    <w:rsid w:val="005D4F80"/>
    <w:rsid w:val="005E285A"/>
    <w:rsid w:val="005E7645"/>
    <w:rsid w:val="005F1477"/>
    <w:rsid w:val="005F72F1"/>
    <w:rsid w:val="006020D7"/>
    <w:rsid w:val="00603D51"/>
    <w:rsid w:val="0064709B"/>
    <w:rsid w:val="006666B3"/>
    <w:rsid w:val="006715CD"/>
    <w:rsid w:val="00685A4C"/>
    <w:rsid w:val="006938F4"/>
    <w:rsid w:val="006A6462"/>
    <w:rsid w:val="006C02F0"/>
    <w:rsid w:val="006D596F"/>
    <w:rsid w:val="006D6F97"/>
    <w:rsid w:val="006E3D04"/>
    <w:rsid w:val="006F34B8"/>
    <w:rsid w:val="0072577C"/>
    <w:rsid w:val="00735076"/>
    <w:rsid w:val="00736BA1"/>
    <w:rsid w:val="00740073"/>
    <w:rsid w:val="0074345F"/>
    <w:rsid w:val="00770B97"/>
    <w:rsid w:val="00774296"/>
    <w:rsid w:val="00777C24"/>
    <w:rsid w:val="00780B7A"/>
    <w:rsid w:val="00797803"/>
    <w:rsid w:val="007B0253"/>
    <w:rsid w:val="007B3C8E"/>
    <w:rsid w:val="007C20C7"/>
    <w:rsid w:val="007D283D"/>
    <w:rsid w:val="007E3B6B"/>
    <w:rsid w:val="007E447F"/>
    <w:rsid w:val="0080797C"/>
    <w:rsid w:val="008368DB"/>
    <w:rsid w:val="00843FA6"/>
    <w:rsid w:val="00844029"/>
    <w:rsid w:val="008778ED"/>
    <w:rsid w:val="00887461"/>
    <w:rsid w:val="008876B9"/>
    <w:rsid w:val="00895ECC"/>
    <w:rsid w:val="008A2E8E"/>
    <w:rsid w:val="008D3FED"/>
    <w:rsid w:val="008D5393"/>
    <w:rsid w:val="008F5E9B"/>
    <w:rsid w:val="009027F6"/>
    <w:rsid w:val="009132F5"/>
    <w:rsid w:val="00924514"/>
    <w:rsid w:val="009271A6"/>
    <w:rsid w:val="00950739"/>
    <w:rsid w:val="00950EB0"/>
    <w:rsid w:val="00961F4F"/>
    <w:rsid w:val="00962774"/>
    <w:rsid w:val="00962C4A"/>
    <w:rsid w:val="00967996"/>
    <w:rsid w:val="00971EB0"/>
    <w:rsid w:val="009934C6"/>
    <w:rsid w:val="009961B8"/>
    <w:rsid w:val="009A2429"/>
    <w:rsid w:val="009C4EA5"/>
    <w:rsid w:val="009D1941"/>
    <w:rsid w:val="009D4F7B"/>
    <w:rsid w:val="009E68A2"/>
    <w:rsid w:val="009F09E2"/>
    <w:rsid w:val="00A02064"/>
    <w:rsid w:val="00A038EE"/>
    <w:rsid w:val="00A169E5"/>
    <w:rsid w:val="00A26B74"/>
    <w:rsid w:val="00A35855"/>
    <w:rsid w:val="00A51D9D"/>
    <w:rsid w:val="00A5373A"/>
    <w:rsid w:val="00A571AE"/>
    <w:rsid w:val="00A6649D"/>
    <w:rsid w:val="00A728B5"/>
    <w:rsid w:val="00A768DD"/>
    <w:rsid w:val="00A94373"/>
    <w:rsid w:val="00AA0815"/>
    <w:rsid w:val="00AA0F01"/>
    <w:rsid w:val="00AA48A5"/>
    <w:rsid w:val="00AB32C6"/>
    <w:rsid w:val="00AB42B4"/>
    <w:rsid w:val="00AC1DDF"/>
    <w:rsid w:val="00AC3BC2"/>
    <w:rsid w:val="00AD2D42"/>
    <w:rsid w:val="00AD4E33"/>
    <w:rsid w:val="00AE5B56"/>
    <w:rsid w:val="00B25340"/>
    <w:rsid w:val="00B25C13"/>
    <w:rsid w:val="00B30744"/>
    <w:rsid w:val="00B3109C"/>
    <w:rsid w:val="00B31538"/>
    <w:rsid w:val="00B34882"/>
    <w:rsid w:val="00B42F66"/>
    <w:rsid w:val="00B507C1"/>
    <w:rsid w:val="00B52A7D"/>
    <w:rsid w:val="00B572F4"/>
    <w:rsid w:val="00B618AB"/>
    <w:rsid w:val="00B64E15"/>
    <w:rsid w:val="00B90403"/>
    <w:rsid w:val="00BB53B1"/>
    <w:rsid w:val="00BC6C72"/>
    <w:rsid w:val="00BD0BE0"/>
    <w:rsid w:val="00BE0435"/>
    <w:rsid w:val="00BE22E5"/>
    <w:rsid w:val="00BF2578"/>
    <w:rsid w:val="00C14144"/>
    <w:rsid w:val="00C17941"/>
    <w:rsid w:val="00C23D3D"/>
    <w:rsid w:val="00C27712"/>
    <w:rsid w:val="00C27F34"/>
    <w:rsid w:val="00C578C0"/>
    <w:rsid w:val="00C60243"/>
    <w:rsid w:val="00C634B9"/>
    <w:rsid w:val="00C64FCE"/>
    <w:rsid w:val="00C870C6"/>
    <w:rsid w:val="00C92150"/>
    <w:rsid w:val="00C97FBD"/>
    <w:rsid w:val="00CA3D49"/>
    <w:rsid w:val="00CA6FC9"/>
    <w:rsid w:val="00CB45A9"/>
    <w:rsid w:val="00CB5047"/>
    <w:rsid w:val="00CB5B5B"/>
    <w:rsid w:val="00CD53C8"/>
    <w:rsid w:val="00CF788B"/>
    <w:rsid w:val="00D03D3E"/>
    <w:rsid w:val="00D0505C"/>
    <w:rsid w:val="00D120E3"/>
    <w:rsid w:val="00D13C96"/>
    <w:rsid w:val="00D14017"/>
    <w:rsid w:val="00D34DBD"/>
    <w:rsid w:val="00D436D7"/>
    <w:rsid w:val="00D73B9D"/>
    <w:rsid w:val="00D9066C"/>
    <w:rsid w:val="00D93C49"/>
    <w:rsid w:val="00DA6AB4"/>
    <w:rsid w:val="00DC49B8"/>
    <w:rsid w:val="00DD19DC"/>
    <w:rsid w:val="00DD553E"/>
    <w:rsid w:val="00DE3543"/>
    <w:rsid w:val="00DF1C13"/>
    <w:rsid w:val="00DF6B48"/>
    <w:rsid w:val="00E00602"/>
    <w:rsid w:val="00E06909"/>
    <w:rsid w:val="00E11DCD"/>
    <w:rsid w:val="00E21F61"/>
    <w:rsid w:val="00E47148"/>
    <w:rsid w:val="00E52AD4"/>
    <w:rsid w:val="00E56425"/>
    <w:rsid w:val="00EB0C04"/>
    <w:rsid w:val="00EB2D26"/>
    <w:rsid w:val="00EC39BF"/>
    <w:rsid w:val="00ED4AFF"/>
    <w:rsid w:val="00EE104A"/>
    <w:rsid w:val="00EE22F5"/>
    <w:rsid w:val="00EE7F61"/>
    <w:rsid w:val="00F0678F"/>
    <w:rsid w:val="00F108DC"/>
    <w:rsid w:val="00F11580"/>
    <w:rsid w:val="00F21443"/>
    <w:rsid w:val="00F23836"/>
    <w:rsid w:val="00F23DC3"/>
    <w:rsid w:val="00F30723"/>
    <w:rsid w:val="00F36B5D"/>
    <w:rsid w:val="00F40D4F"/>
    <w:rsid w:val="00F42EC6"/>
    <w:rsid w:val="00F502C8"/>
    <w:rsid w:val="00F5744E"/>
    <w:rsid w:val="00F600ED"/>
    <w:rsid w:val="00F621BD"/>
    <w:rsid w:val="00F64E31"/>
    <w:rsid w:val="00F749DE"/>
    <w:rsid w:val="00F81E0E"/>
    <w:rsid w:val="00F850EA"/>
    <w:rsid w:val="00F971F9"/>
    <w:rsid w:val="00FA5B04"/>
    <w:rsid w:val="00FB2F20"/>
    <w:rsid w:val="00FB3204"/>
    <w:rsid w:val="00FD61D4"/>
    <w:rsid w:val="00FF474B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44A2"/>
  <w15:docId w15:val="{B5BB9A45-D06F-4349-B71E-689CFD2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E68A2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E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"/>
    <w:uiPriority w:val="99"/>
    <w:rsid w:val="005D4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9245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451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879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5C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79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1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F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vard.sablovskij@mil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26C2-98A4-4965-8EC4-BF09056C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MPB Gelezinis Vilkas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 Sarapovas</dc:creator>
  <cp:lastModifiedBy>Sandra Sveikatiene</cp:lastModifiedBy>
  <cp:revision>2</cp:revision>
  <cp:lastPrinted>2019-11-04T12:59:00Z</cp:lastPrinted>
  <dcterms:created xsi:type="dcterms:W3CDTF">2024-07-01T13:30:00Z</dcterms:created>
  <dcterms:modified xsi:type="dcterms:W3CDTF">2024-07-01T13:30:00Z</dcterms:modified>
</cp:coreProperties>
</file>