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64E3" w14:textId="77777777" w:rsidR="00A672AA" w:rsidRPr="00DB02C0" w:rsidRDefault="00A672AA">
      <w:pPr>
        <w:suppressAutoHyphens w:val="0"/>
        <w:jc w:val="center"/>
      </w:pPr>
    </w:p>
    <w:p w14:paraId="5B2F35C0" w14:textId="77777777" w:rsidR="00A672AA" w:rsidRPr="00DB02C0" w:rsidRDefault="00A672AA">
      <w:pPr>
        <w:suppressAutoHyphens w:val="0"/>
        <w:jc w:val="center"/>
      </w:pPr>
    </w:p>
    <w:p w14:paraId="3D2DE60F" w14:textId="77777777" w:rsidR="00A672AA" w:rsidRPr="00DB02C0" w:rsidRDefault="00A672AA">
      <w:pPr>
        <w:suppressAutoHyphens w:val="0"/>
        <w:jc w:val="center"/>
      </w:pPr>
    </w:p>
    <w:p w14:paraId="24DFA917" w14:textId="77777777" w:rsidR="00A672AA" w:rsidRPr="00DB02C0" w:rsidRDefault="00481EDF">
      <w:pPr>
        <w:suppressAutoHyphens w:val="0"/>
        <w:jc w:val="center"/>
      </w:pPr>
      <w:r w:rsidRPr="00DB02C0">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DB02C0" w:rsidRDefault="00A672AA">
      <w:pPr>
        <w:suppressAutoHyphens w:val="0"/>
        <w:jc w:val="center"/>
      </w:pPr>
    </w:p>
    <w:p w14:paraId="00C0755B" w14:textId="77777777" w:rsidR="00A672AA" w:rsidRPr="00DB02C0" w:rsidRDefault="00A672AA">
      <w:pPr>
        <w:suppressAutoHyphens w:val="0"/>
        <w:jc w:val="center"/>
      </w:pPr>
    </w:p>
    <w:p w14:paraId="7262D4E9" w14:textId="77777777" w:rsidR="00A672AA" w:rsidRPr="00DB02C0" w:rsidRDefault="00A672AA">
      <w:pPr>
        <w:suppressAutoHyphens w:val="0"/>
        <w:jc w:val="center"/>
      </w:pPr>
    </w:p>
    <w:p w14:paraId="548ED8F8" w14:textId="77777777" w:rsidR="00A672AA" w:rsidRPr="00DB02C0" w:rsidRDefault="00A672AA">
      <w:pPr>
        <w:suppressAutoHyphens w:val="0"/>
        <w:jc w:val="center"/>
      </w:pPr>
    </w:p>
    <w:p w14:paraId="017E2258" w14:textId="77777777" w:rsidR="00140104" w:rsidRPr="00DB02C0" w:rsidRDefault="00140104">
      <w:pPr>
        <w:suppressAutoHyphens w:val="0"/>
        <w:jc w:val="center"/>
      </w:pPr>
    </w:p>
    <w:p w14:paraId="07267DE2" w14:textId="77777777" w:rsidR="00A672AA" w:rsidRPr="00DB02C0" w:rsidRDefault="00A672AA">
      <w:pPr>
        <w:suppressAutoHyphens w:val="0"/>
      </w:pPr>
    </w:p>
    <w:p w14:paraId="6AB80E22" w14:textId="77777777" w:rsidR="00A672AA" w:rsidRPr="00DB02C0" w:rsidRDefault="00481EDF">
      <w:pPr>
        <w:suppressAutoHyphens w:val="0"/>
        <w:jc w:val="center"/>
        <w:rPr>
          <w:b/>
          <w:bCs/>
          <w:sz w:val="32"/>
          <w:szCs w:val="32"/>
        </w:rPr>
      </w:pPr>
      <w:bookmarkStart w:id="0" w:name="_Hlk133240763"/>
      <w:r w:rsidRPr="00DB02C0">
        <w:rPr>
          <w:b/>
          <w:bCs/>
          <w:sz w:val="32"/>
          <w:szCs w:val="32"/>
        </w:rPr>
        <w:t>TECHNINĖ SPECIFIKACIJA</w:t>
      </w:r>
    </w:p>
    <w:bookmarkEnd w:id="0"/>
    <w:p w14:paraId="42D9DF7A" w14:textId="0B2929FF" w:rsidR="0011608C" w:rsidRPr="00DB02C0" w:rsidRDefault="002F1ED8" w:rsidP="0011608C">
      <w:pPr>
        <w:suppressAutoHyphens w:val="0"/>
        <w:jc w:val="center"/>
        <w:rPr>
          <w:caps/>
          <w:sz w:val="28"/>
          <w:szCs w:val="28"/>
        </w:rPr>
      </w:pPr>
      <w:r>
        <w:rPr>
          <w:caps/>
          <w:sz w:val="28"/>
          <w:szCs w:val="28"/>
        </w:rPr>
        <w:t xml:space="preserve">Integruoto planavimo modelio ir </w:t>
      </w:r>
      <w:r w:rsidR="00BB3785" w:rsidRPr="00DB02C0">
        <w:rPr>
          <w:caps/>
          <w:sz w:val="28"/>
          <w:szCs w:val="28"/>
        </w:rPr>
        <w:t xml:space="preserve">Dešimties metų </w:t>
      </w:r>
      <w:r w:rsidR="00C47E60" w:rsidRPr="00DB02C0">
        <w:rPr>
          <w:caps/>
          <w:sz w:val="28"/>
          <w:szCs w:val="28"/>
        </w:rPr>
        <w:t>šilumos ūkio plėtros investicijų plano parengimo paslauga</w:t>
      </w:r>
    </w:p>
    <w:p w14:paraId="2EAD0CC3" w14:textId="77777777" w:rsidR="0011608C" w:rsidRPr="00DB02C0" w:rsidRDefault="0011608C" w:rsidP="0011608C">
      <w:pPr>
        <w:suppressAutoHyphens w:val="0"/>
        <w:jc w:val="center"/>
        <w:rPr>
          <w:sz w:val="28"/>
          <w:szCs w:val="28"/>
        </w:rPr>
      </w:pPr>
    </w:p>
    <w:p w14:paraId="10BF5E73" w14:textId="77777777" w:rsidR="0011608C" w:rsidRPr="00DB02C0" w:rsidRDefault="0011608C" w:rsidP="0011608C">
      <w:pPr>
        <w:suppressAutoHyphens w:val="0"/>
        <w:jc w:val="center"/>
        <w:rPr>
          <w:sz w:val="28"/>
          <w:szCs w:val="28"/>
        </w:rPr>
      </w:pPr>
    </w:p>
    <w:p w14:paraId="52D8DDC4" w14:textId="77777777" w:rsidR="00EF31E8" w:rsidRPr="00DB02C0" w:rsidRDefault="00EF31E8">
      <w:pPr>
        <w:suppressAutoHyphens w:val="0"/>
        <w:jc w:val="center"/>
        <w:rPr>
          <w:sz w:val="28"/>
          <w:szCs w:val="28"/>
        </w:rPr>
      </w:pPr>
    </w:p>
    <w:p w14:paraId="04D500D6" w14:textId="77777777" w:rsidR="00A672AA" w:rsidRPr="00DB02C0" w:rsidRDefault="00A672AA">
      <w:pPr>
        <w:suppressAutoHyphens w:val="0"/>
        <w:jc w:val="center"/>
        <w:rPr>
          <w:sz w:val="28"/>
          <w:szCs w:val="28"/>
        </w:rPr>
      </w:pPr>
    </w:p>
    <w:p w14:paraId="2329A02B" w14:textId="77777777" w:rsidR="00A672AA" w:rsidRPr="00DB02C0" w:rsidRDefault="00A672AA">
      <w:pPr>
        <w:suppressAutoHyphens w:val="0"/>
        <w:jc w:val="center"/>
      </w:pPr>
    </w:p>
    <w:p w14:paraId="61B97242" w14:textId="77777777" w:rsidR="00140104" w:rsidRPr="00DB02C0" w:rsidRDefault="00140104">
      <w:pPr>
        <w:suppressAutoHyphens w:val="0"/>
        <w:jc w:val="center"/>
      </w:pPr>
    </w:p>
    <w:p w14:paraId="095A53E3" w14:textId="77777777" w:rsidR="00140104" w:rsidRPr="00DB02C0" w:rsidRDefault="00140104">
      <w:pPr>
        <w:suppressAutoHyphens w:val="0"/>
        <w:jc w:val="center"/>
      </w:pPr>
    </w:p>
    <w:p w14:paraId="5FC786BD" w14:textId="77777777" w:rsidR="00140104" w:rsidRPr="00DB02C0" w:rsidRDefault="00140104">
      <w:pPr>
        <w:suppressAutoHyphens w:val="0"/>
        <w:jc w:val="center"/>
      </w:pPr>
    </w:p>
    <w:p w14:paraId="10F3F505" w14:textId="77777777" w:rsidR="00140104" w:rsidRPr="00DB02C0" w:rsidRDefault="00140104">
      <w:pPr>
        <w:suppressAutoHyphens w:val="0"/>
        <w:jc w:val="center"/>
      </w:pPr>
    </w:p>
    <w:p w14:paraId="267E9BA4" w14:textId="77777777" w:rsidR="00140104" w:rsidRPr="00DB02C0" w:rsidRDefault="00140104">
      <w:pPr>
        <w:suppressAutoHyphens w:val="0"/>
        <w:jc w:val="center"/>
      </w:pPr>
    </w:p>
    <w:p w14:paraId="5AC03D4E" w14:textId="77777777" w:rsidR="00140104" w:rsidRPr="00DB02C0" w:rsidRDefault="00140104">
      <w:pPr>
        <w:suppressAutoHyphens w:val="0"/>
        <w:jc w:val="center"/>
      </w:pPr>
    </w:p>
    <w:p w14:paraId="47D75E01" w14:textId="77777777" w:rsidR="00140104" w:rsidRPr="00DB02C0" w:rsidRDefault="00140104">
      <w:pPr>
        <w:suppressAutoHyphens w:val="0"/>
        <w:jc w:val="center"/>
      </w:pPr>
    </w:p>
    <w:p w14:paraId="6615F887" w14:textId="77777777" w:rsidR="00140104" w:rsidRPr="00DB02C0" w:rsidRDefault="00140104">
      <w:pPr>
        <w:suppressAutoHyphens w:val="0"/>
        <w:jc w:val="center"/>
      </w:pPr>
    </w:p>
    <w:p w14:paraId="49E6C4B7" w14:textId="77777777" w:rsidR="00140104" w:rsidRPr="00DB02C0" w:rsidRDefault="00140104">
      <w:pPr>
        <w:suppressAutoHyphens w:val="0"/>
        <w:jc w:val="center"/>
      </w:pPr>
    </w:p>
    <w:p w14:paraId="17274941" w14:textId="77777777" w:rsidR="00140104" w:rsidRPr="00DB02C0" w:rsidRDefault="00140104">
      <w:pPr>
        <w:suppressAutoHyphens w:val="0"/>
        <w:jc w:val="center"/>
      </w:pPr>
    </w:p>
    <w:p w14:paraId="6C3667F9" w14:textId="77777777" w:rsidR="00140104" w:rsidRPr="00DB02C0" w:rsidRDefault="00140104">
      <w:pPr>
        <w:suppressAutoHyphens w:val="0"/>
        <w:jc w:val="center"/>
      </w:pPr>
    </w:p>
    <w:p w14:paraId="6DA798CB" w14:textId="77777777" w:rsidR="00140104" w:rsidRPr="00DB02C0" w:rsidRDefault="00140104">
      <w:pPr>
        <w:suppressAutoHyphens w:val="0"/>
        <w:jc w:val="center"/>
      </w:pPr>
    </w:p>
    <w:p w14:paraId="27E0F070" w14:textId="77777777" w:rsidR="00140104" w:rsidRPr="00DB02C0" w:rsidRDefault="00140104">
      <w:pPr>
        <w:suppressAutoHyphens w:val="0"/>
        <w:jc w:val="center"/>
      </w:pPr>
    </w:p>
    <w:p w14:paraId="4BDCF54B" w14:textId="77777777" w:rsidR="00140104" w:rsidRPr="00DB02C0" w:rsidRDefault="00140104">
      <w:pPr>
        <w:suppressAutoHyphens w:val="0"/>
        <w:jc w:val="center"/>
      </w:pPr>
    </w:p>
    <w:p w14:paraId="0EF24421" w14:textId="77777777" w:rsidR="00A672AA" w:rsidRPr="00DB02C0" w:rsidRDefault="00A672AA">
      <w:pPr>
        <w:suppressAutoHyphens w:val="0"/>
        <w:jc w:val="center"/>
      </w:pPr>
    </w:p>
    <w:p w14:paraId="7F2C5A6F" w14:textId="77777777" w:rsidR="00A672AA" w:rsidRPr="00DB02C0" w:rsidRDefault="00A672AA">
      <w:pPr>
        <w:suppressAutoHyphens w:val="0"/>
        <w:jc w:val="center"/>
      </w:pPr>
    </w:p>
    <w:p w14:paraId="63965A38" w14:textId="77777777" w:rsidR="00A672AA" w:rsidRPr="00DB02C0"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962"/>
        <w:gridCol w:w="562"/>
        <w:gridCol w:w="4438"/>
      </w:tblGrid>
      <w:tr w:rsidR="00DB02C0" w:rsidRPr="00DB02C0" w14:paraId="617DE23B" w14:textId="77777777" w:rsidTr="00A9795B">
        <w:trPr>
          <w:trHeight w:val="397"/>
        </w:trPr>
        <w:tc>
          <w:tcPr>
            <w:tcW w:w="4962" w:type="dxa"/>
            <w:shd w:val="clear" w:color="auto" w:fill="auto"/>
            <w:tcMar>
              <w:top w:w="0" w:type="dxa"/>
              <w:left w:w="108" w:type="dxa"/>
              <w:bottom w:w="0" w:type="dxa"/>
              <w:right w:w="108" w:type="dxa"/>
            </w:tcMar>
            <w:vAlign w:val="center"/>
          </w:tcPr>
          <w:p w14:paraId="1A1006F7" w14:textId="77777777" w:rsidR="00A672AA" w:rsidRPr="00DB02C0" w:rsidRDefault="00481EDF">
            <w:pPr>
              <w:suppressAutoHyphens w:val="0"/>
              <w:rPr>
                <w:b/>
                <w:bCs/>
              </w:rPr>
            </w:pPr>
            <w:r w:rsidRPr="00DB02C0">
              <w:rPr>
                <w:b/>
                <w:bCs/>
              </w:rPr>
              <w:t>PARENGĖ:</w:t>
            </w:r>
          </w:p>
        </w:tc>
        <w:tc>
          <w:tcPr>
            <w:tcW w:w="562" w:type="dxa"/>
            <w:shd w:val="clear" w:color="auto" w:fill="auto"/>
            <w:tcMar>
              <w:top w:w="0" w:type="dxa"/>
              <w:left w:w="108" w:type="dxa"/>
              <w:bottom w:w="0" w:type="dxa"/>
              <w:right w:w="108" w:type="dxa"/>
            </w:tcMar>
            <w:vAlign w:val="center"/>
          </w:tcPr>
          <w:p w14:paraId="73E7E56E" w14:textId="77777777" w:rsidR="00A672AA" w:rsidRPr="00DB02C0"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DB02C0" w:rsidRDefault="00481EDF">
            <w:pPr>
              <w:suppressAutoHyphens w:val="0"/>
              <w:rPr>
                <w:b/>
                <w:bCs/>
              </w:rPr>
            </w:pPr>
            <w:r w:rsidRPr="00DB02C0">
              <w:rPr>
                <w:b/>
                <w:bCs/>
              </w:rPr>
              <w:t>TVIRTIN</w:t>
            </w:r>
            <w:r w:rsidR="009B257F" w:rsidRPr="00DB02C0">
              <w:rPr>
                <w:b/>
                <w:bCs/>
              </w:rPr>
              <w:t>O</w:t>
            </w:r>
            <w:r w:rsidRPr="00DB02C0">
              <w:rPr>
                <w:b/>
                <w:bCs/>
              </w:rPr>
              <w:t>:</w:t>
            </w:r>
          </w:p>
        </w:tc>
      </w:tr>
    </w:tbl>
    <w:p w14:paraId="29972BC9" w14:textId="77777777" w:rsidR="008803AC" w:rsidRPr="00DB02C0" w:rsidRDefault="008803AC">
      <w:pPr>
        <w:suppressAutoHyphens w:val="0"/>
        <w:rPr>
          <w:b/>
          <w:bCs/>
        </w:rPr>
      </w:pPr>
    </w:p>
    <w:p w14:paraId="0DC5797C" w14:textId="77777777" w:rsidR="00A672AA" w:rsidRPr="00DB02C0" w:rsidRDefault="00A672AA">
      <w:pPr>
        <w:pageBreakBefore/>
        <w:suppressAutoHyphens w:val="0"/>
      </w:pPr>
    </w:p>
    <w:p w14:paraId="6BD23C3F" w14:textId="77777777" w:rsidR="00A672AA" w:rsidRPr="00DB02C0" w:rsidRDefault="00481EDF">
      <w:pPr>
        <w:pStyle w:val="Pavadinimas"/>
        <w:rPr>
          <w:color w:val="auto"/>
        </w:rPr>
      </w:pPr>
      <w:r w:rsidRPr="00DB02C0">
        <w:rPr>
          <w:color w:val="auto"/>
        </w:rPr>
        <w:t>TURINYS</w:t>
      </w:r>
    </w:p>
    <w:p w14:paraId="7B5E318C" w14:textId="77777777" w:rsidR="00A672AA" w:rsidRPr="00DB02C0" w:rsidRDefault="00A672AA"/>
    <w:p w14:paraId="49827FB6" w14:textId="23A838E0" w:rsidR="00C96E35" w:rsidRDefault="00481EDF">
      <w:pPr>
        <w:pStyle w:val="Turinys1"/>
        <w:rPr>
          <w:rFonts w:asciiTheme="minorHAnsi" w:eastAsiaTheme="minorEastAsia" w:hAnsiTheme="minorHAnsi" w:cstheme="minorBidi"/>
          <w:noProof/>
          <w:kern w:val="2"/>
          <w:sz w:val="24"/>
          <w:szCs w:val="24"/>
          <w:lang w:val="en-US"/>
          <w14:ligatures w14:val="standardContextual"/>
        </w:rPr>
      </w:pPr>
      <w:r w:rsidRPr="00DB02C0">
        <w:fldChar w:fldCharType="begin"/>
      </w:r>
      <w:r w:rsidRPr="00DB02C0">
        <w:instrText xml:space="preserve"> TOC \o "1-1" \u \h </w:instrText>
      </w:r>
      <w:r w:rsidRPr="00DB02C0">
        <w:fldChar w:fldCharType="separate"/>
      </w:r>
      <w:hyperlink w:anchor="_Toc167181186" w:history="1">
        <w:r w:rsidR="00C96E35" w:rsidRPr="00010736">
          <w:rPr>
            <w:rStyle w:val="Hipersaitas"/>
            <w:noProof/>
          </w:rPr>
          <w:t>1</w:t>
        </w:r>
        <w:r w:rsidR="00C96E35">
          <w:rPr>
            <w:rFonts w:asciiTheme="minorHAnsi" w:eastAsiaTheme="minorEastAsia" w:hAnsiTheme="minorHAnsi" w:cstheme="minorBidi"/>
            <w:noProof/>
            <w:kern w:val="2"/>
            <w:sz w:val="24"/>
            <w:szCs w:val="24"/>
            <w:lang w:val="en-US"/>
            <w14:ligatures w14:val="standardContextual"/>
          </w:rPr>
          <w:tab/>
        </w:r>
        <w:r w:rsidR="00C96E35" w:rsidRPr="00010736">
          <w:rPr>
            <w:rStyle w:val="Hipersaitas"/>
            <w:noProof/>
          </w:rPr>
          <w:t>SKYRIUS :  Pirkimo objektas</w:t>
        </w:r>
        <w:r w:rsidR="00C96E35">
          <w:rPr>
            <w:noProof/>
          </w:rPr>
          <w:tab/>
        </w:r>
        <w:r w:rsidR="00C96E35">
          <w:rPr>
            <w:noProof/>
          </w:rPr>
          <w:fldChar w:fldCharType="begin"/>
        </w:r>
        <w:r w:rsidR="00C96E35">
          <w:rPr>
            <w:noProof/>
          </w:rPr>
          <w:instrText xml:space="preserve"> PAGEREF _Toc167181186 \h </w:instrText>
        </w:r>
        <w:r w:rsidR="00C96E35">
          <w:rPr>
            <w:noProof/>
          </w:rPr>
        </w:r>
        <w:r w:rsidR="00C96E35">
          <w:rPr>
            <w:noProof/>
          </w:rPr>
          <w:fldChar w:fldCharType="separate"/>
        </w:r>
        <w:r w:rsidR="00C96E35">
          <w:rPr>
            <w:noProof/>
          </w:rPr>
          <w:t>3</w:t>
        </w:r>
        <w:r w:rsidR="00C96E35">
          <w:rPr>
            <w:noProof/>
          </w:rPr>
          <w:fldChar w:fldCharType="end"/>
        </w:r>
      </w:hyperlink>
    </w:p>
    <w:p w14:paraId="2E6A3B64" w14:textId="38242F45" w:rsidR="00C96E35" w:rsidRDefault="00000000">
      <w:pPr>
        <w:pStyle w:val="Turinys1"/>
        <w:rPr>
          <w:rFonts w:asciiTheme="minorHAnsi" w:eastAsiaTheme="minorEastAsia" w:hAnsiTheme="minorHAnsi" w:cstheme="minorBidi"/>
          <w:noProof/>
          <w:kern w:val="2"/>
          <w:sz w:val="24"/>
          <w:szCs w:val="24"/>
          <w:lang w:val="en-US"/>
          <w14:ligatures w14:val="standardContextual"/>
        </w:rPr>
      </w:pPr>
      <w:hyperlink w:anchor="_Toc167181187" w:history="1">
        <w:r w:rsidR="00C96E35" w:rsidRPr="00010736">
          <w:rPr>
            <w:rStyle w:val="Hipersaitas"/>
            <w:noProof/>
          </w:rPr>
          <w:t>2</w:t>
        </w:r>
        <w:r w:rsidR="00C96E35">
          <w:rPr>
            <w:rFonts w:asciiTheme="minorHAnsi" w:eastAsiaTheme="minorEastAsia" w:hAnsiTheme="minorHAnsi" w:cstheme="minorBidi"/>
            <w:noProof/>
            <w:kern w:val="2"/>
            <w:sz w:val="24"/>
            <w:szCs w:val="24"/>
            <w:lang w:val="en-US"/>
            <w14:ligatures w14:val="standardContextual"/>
          </w:rPr>
          <w:tab/>
        </w:r>
        <w:r w:rsidR="00C96E35" w:rsidRPr="00010736">
          <w:rPr>
            <w:rStyle w:val="Hipersaitas"/>
            <w:noProof/>
          </w:rPr>
          <w:t>SKYRIUS :  Pagrindiniai reikalavimai Investicijų planavimo modeliui</w:t>
        </w:r>
        <w:r w:rsidR="00C96E35">
          <w:rPr>
            <w:noProof/>
          </w:rPr>
          <w:tab/>
        </w:r>
        <w:r w:rsidR="00C96E35">
          <w:rPr>
            <w:noProof/>
          </w:rPr>
          <w:fldChar w:fldCharType="begin"/>
        </w:r>
        <w:r w:rsidR="00C96E35">
          <w:rPr>
            <w:noProof/>
          </w:rPr>
          <w:instrText xml:space="preserve"> PAGEREF _Toc167181187 \h </w:instrText>
        </w:r>
        <w:r w:rsidR="00C96E35">
          <w:rPr>
            <w:noProof/>
          </w:rPr>
        </w:r>
        <w:r w:rsidR="00C96E35">
          <w:rPr>
            <w:noProof/>
          </w:rPr>
          <w:fldChar w:fldCharType="separate"/>
        </w:r>
        <w:r w:rsidR="00C96E35">
          <w:rPr>
            <w:noProof/>
          </w:rPr>
          <w:t>4</w:t>
        </w:r>
        <w:r w:rsidR="00C96E35">
          <w:rPr>
            <w:noProof/>
          </w:rPr>
          <w:fldChar w:fldCharType="end"/>
        </w:r>
      </w:hyperlink>
    </w:p>
    <w:p w14:paraId="3C752FBD" w14:textId="57E25F12" w:rsidR="00C96E35" w:rsidRDefault="00000000">
      <w:pPr>
        <w:pStyle w:val="Turinys1"/>
        <w:rPr>
          <w:rFonts w:asciiTheme="minorHAnsi" w:eastAsiaTheme="minorEastAsia" w:hAnsiTheme="minorHAnsi" w:cstheme="minorBidi"/>
          <w:noProof/>
          <w:kern w:val="2"/>
          <w:sz w:val="24"/>
          <w:szCs w:val="24"/>
          <w:lang w:val="en-US"/>
          <w14:ligatures w14:val="standardContextual"/>
        </w:rPr>
      </w:pPr>
      <w:hyperlink w:anchor="_Toc167181188" w:history="1">
        <w:r w:rsidR="00C96E35" w:rsidRPr="00010736">
          <w:rPr>
            <w:rStyle w:val="Hipersaitas"/>
            <w:noProof/>
          </w:rPr>
          <w:t>3</w:t>
        </w:r>
        <w:r w:rsidR="00C96E35">
          <w:rPr>
            <w:rFonts w:asciiTheme="minorHAnsi" w:eastAsiaTheme="minorEastAsia" w:hAnsiTheme="minorHAnsi" w:cstheme="minorBidi"/>
            <w:noProof/>
            <w:kern w:val="2"/>
            <w:sz w:val="24"/>
            <w:szCs w:val="24"/>
            <w:lang w:val="en-US"/>
            <w14:ligatures w14:val="standardContextual"/>
          </w:rPr>
          <w:tab/>
        </w:r>
        <w:r w:rsidR="00C96E35" w:rsidRPr="00010736">
          <w:rPr>
            <w:rStyle w:val="Hipersaitas"/>
            <w:noProof/>
          </w:rPr>
          <w:t>SKYRIUS :  Pagrindiniai reikalavimai Investicijų planui</w:t>
        </w:r>
        <w:r w:rsidR="00C96E35">
          <w:rPr>
            <w:noProof/>
          </w:rPr>
          <w:tab/>
        </w:r>
        <w:r w:rsidR="00C96E35">
          <w:rPr>
            <w:noProof/>
          </w:rPr>
          <w:fldChar w:fldCharType="begin"/>
        </w:r>
        <w:r w:rsidR="00C96E35">
          <w:rPr>
            <w:noProof/>
          </w:rPr>
          <w:instrText xml:space="preserve"> PAGEREF _Toc167181188 \h </w:instrText>
        </w:r>
        <w:r w:rsidR="00C96E35">
          <w:rPr>
            <w:noProof/>
          </w:rPr>
        </w:r>
        <w:r w:rsidR="00C96E35">
          <w:rPr>
            <w:noProof/>
          </w:rPr>
          <w:fldChar w:fldCharType="separate"/>
        </w:r>
        <w:r w:rsidR="00C96E35">
          <w:rPr>
            <w:noProof/>
          </w:rPr>
          <w:t>5</w:t>
        </w:r>
        <w:r w:rsidR="00C96E35">
          <w:rPr>
            <w:noProof/>
          </w:rPr>
          <w:fldChar w:fldCharType="end"/>
        </w:r>
      </w:hyperlink>
    </w:p>
    <w:p w14:paraId="76B53947" w14:textId="5BCECD3C" w:rsidR="00C96E35" w:rsidRDefault="00000000">
      <w:pPr>
        <w:pStyle w:val="Turinys1"/>
        <w:rPr>
          <w:rFonts w:asciiTheme="minorHAnsi" w:eastAsiaTheme="minorEastAsia" w:hAnsiTheme="minorHAnsi" w:cstheme="minorBidi"/>
          <w:noProof/>
          <w:kern w:val="2"/>
          <w:sz w:val="24"/>
          <w:szCs w:val="24"/>
          <w:lang w:val="en-US"/>
          <w14:ligatures w14:val="standardContextual"/>
        </w:rPr>
      </w:pPr>
      <w:hyperlink w:anchor="_Toc167181189" w:history="1">
        <w:r w:rsidR="00C96E35" w:rsidRPr="00010736">
          <w:rPr>
            <w:rStyle w:val="Hipersaitas"/>
            <w:noProof/>
          </w:rPr>
          <w:t>4</w:t>
        </w:r>
        <w:r w:rsidR="00C96E35">
          <w:rPr>
            <w:rFonts w:asciiTheme="minorHAnsi" w:eastAsiaTheme="minorEastAsia" w:hAnsiTheme="minorHAnsi" w:cstheme="minorBidi"/>
            <w:noProof/>
            <w:kern w:val="2"/>
            <w:sz w:val="24"/>
            <w:szCs w:val="24"/>
            <w:lang w:val="en-US"/>
            <w14:ligatures w14:val="standardContextual"/>
          </w:rPr>
          <w:tab/>
        </w:r>
        <w:r w:rsidR="00C96E35" w:rsidRPr="00010736">
          <w:rPr>
            <w:rStyle w:val="Hipersaitas"/>
            <w:noProof/>
          </w:rPr>
          <w:t>SKYRIUS :  Bendrieji ir papildomi reikalavimai</w:t>
        </w:r>
        <w:r w:rsidR="00C96E35">
          <w:rPr>
            <w:noProof/>
          </w:rPr>
          <w:tab/>
        </w:r>
        <w:r w:rsidR="00C96E35">
          <w:rPr>
            <w:noProof/>
          </w:rPr>
          <w:fldChar w:fldCharType="begin"/>
        </w:r>
        <w:r w:rsidR="00C96E35">
          <w:rPr>
            <w:noProof/>
          </w:rPr>
          <w:instrText xml:space="preserve"> PAGEREF _Toc167181189 \h </w:instrText>
        </w:r>
        <w:r w:rsidR="00C96E35">
          <w:rPr>
            <w:noProof/>
          </w:rPr>
        </w:r>
        <w:r w:rsidR="00C96E35">
          <w:rPr>
            <w:noProof/>
          </w:rPr>
          <w:fldChar w:fldCharType="separate"/>
        </w:r>
        <w:r w:rsidR="00C96E35">
          <w:rPr>
            <w:noProof/>
          </w:rPr>
          <w:t>7</w:t>
        </w:r>
        <w:r w:rsidR="00C96E35">
          <w:rPr>
            <w:noProof/>
          </w:rPr>
          <w:fldChar w:fldCharType="end"/>
        </w:r>
      </w:hyperlink>
    </w:p>
    <w:p w14:paraId="31EAC765" w14:textId="21634DE8" w:rsidR="00626A2F" w:rsidRPr="00DB02C0" w:rsidRDefault="00481EDF">
      <w:r w:rsidRPr="00DB02C0">
        <w:fldChar w:fldCharType="end"/>
      </w:r>
    </w:p>
    <w:p w14:paraId="1968239C" w14:textId="4F8FCC95" w:rsidR="00A672AA" w:rsidRPr="00DB02C0" w:rsidRDefault="007C2CDE" w:rsidP="007C2CDE">
      <w:pPr>
        <w:suppressAutoHyphens w:val="0"/>
      </w:pPr>
      <w:r w:rsidRPr="00DB02C0">
        <w:br w:type="page"/>
      </w:r>
    </w:p>
    <w:p w14:paraId="0094A74D" w14:textId="272EAAA0" w:rsidR="00A672AA" w:rsidRPr="00DB02C0" w:rsidRDefault="00481EDF">
      <w:pPr>
        <w:pStyle w:val="Antrat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167181186"/>
      <w:r w:rsidRPr="00DB02C0">
        <w:lastRenderedPageBreak/>
        <w:t xml:space="preserve">SKYRIUS : </w:t>
      </w:r>
      <w:r w:rsidRPr="00DB02C0">
        <w:br/>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05B8C" w:rsidRPr="00DB02C0">
        <w:t>Pirkimo objektas</w:t>
      </w:r>
      <w:bookmarkEnd w:id="16"/>
    </w:p>
    <w:p w14:paraId="61E2EAD8" w14:textId="77777777" w:rsidR="00A672AA" w:rsidRPr="00DB02C0" w:rsidRDefault="00A672AA" w:rsidP="004A6A97">
      <w:pPr>
        <w:pStyle w:val="Antrat2"/>
        <w:numPr>
          <w:ilvl w:val="0"/>
          <w:numId w:val="0"/>
        </w:numPr>
        <w:rPr>
          <w:color w:val="auto"/>
        </w:rPr>
      </w:pPr>
    </w:p>
    <w:p w14:paraId="394FFE8F" w14:textId="307908D5" w:rsidR="00F86A96" w:rsidRPr="00DB02C0" w:rsidRDefault="00F86A96" w:rsidP="00D9369A">
      <w:pPr>
        <w:pStyle w:val="Antrat2"/>
        <w:numPr>
          <w:ilvl w:val="1"/>
          <w:numId w:val="25"/>
        </w:numPr>
        <w:jc w:val="both"/>
        <w:rPr>
          <w:color w:val="auto"/>
        </w:rPr>
      </w:pPr>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r w:rsidRPr="00DB02C0">
        <w:rPr>
          <w:color w:val="auto"/>
        </w:rPr>
        <w:t xml:space="preserve">Pirkimo objektas – „AB „Kauno energija“ </w:t>
      </w:r>
      <w:r w:rsidR="005B7666" w:rsidRPr="00DB02C0">
        <w:rPr>
          <w:color w:val="auto"/>
        </w:rPr>
        <w:t xml:space="preserve"> integruoto</w:t>
      </w:r>
      <w:r w:rsidR="00623F4D" w:rsidRPr="00DB02C0">
        <w:rPr>
          <w:color w:val="auto"/>
        </w:rPr>
        <w:t xml:space="preserve"> investicijų planavimo modelio (toliau – Planavimo modelis) ir </w:t>
      </w:r>
      <w:r w:rsidRPr="00DB02C0">
        <w:rPr>
          <w:color w:val="auto"/>
        </w:rPr>
        <w:t>dešimties metų šilumos ūkio plėtros investicijų plano</w:t>
      </w:r>
      <w:r w:rsidR="00ED3D24" w:rsidRPr="00DB02C0">
        <w:rPr>
          <w:color w:val="auto"/>
        </w:rPr>
        <w:t xml:space="preserve"> (toliau  - Investicijų plano)</w:t>
      </w:r>
      <w:r w:rsidRPr="00DB02C0">
        <w:rPr>
          <w:color w:val="auto"/>
        </w:rPr>
        <w:t xml:space="preserve"> paren</w:t>
      </w:r>
      <w:r w:rsidR="00142707" w:rsidRPr="00DB02C0">
        <w:rPr>
          <w:color w:val="auto"/>
        </w:rPr>
        <w:t xml:space="preserve">gimo paslauga </w:t>
      </w:r>
      <w:r w:rsidRPr="00DB02C0">
        <w:rPr>
          <w:color w:val="auto"/>
        </w:rPr>
        <w:t>(toliau – Paslauga)</w:t>
      </w:r>
      <w:r w:rsidR="00142707" w:rsidRPr="00DB02C0">
        <w:rPr>
          <w:color w:val="auto"/>
        </w:rPr>
        <w:t>.</w:t>
      </w:r>
    </w:p>
    <w:p w14:paraId="1E58B590" w14:textId="1CC73922" w:rsidR="0073439D" w:rsidRPr="00DB02C0" w:rsidRDefault="00EE36CE" w:rsidP="00D9369A">
      <w:pPr>
        <w:pStyle w:val="Antrat2"/>
        <w:numPr>
          <w:ilvl w:val="1"/>
          <w:numId w:val="25"/>
        </w:numPr>
        <w:jc w:val="both"/>
        <w:rPr>
          <w:color w:val="auto"/>
        </w:rPr>
      </w:pPr>
      <w:r w:rsidRPr="00DB02C0">
        <w:rPr>
          <w:color w:val="auto"/>
        </w:rPr>
        <w:t>Šio pirkimo tikslas</w:t>
      </w:r>
      <w:r w:rsidR="006C30CC" w:rsidRPr="00DB02C0">
        <w:rPr>
          <w:color w:val="auto"/>
        </w:rPr>
        <w:t xml:space="preserve"> </w:t>
      </w:r>
      <w:r w:rsidR="00EF4D21" w:rsidRPr="00DB02C0">
        <w:rPr>
          <w:color w:val="auto"/>
        </w:rPr>
        <w:t>-</w:t>
      </w:r>
      <w:r w:rsidR="00CD2F7F" w:rsidRPr="00DB02C0">
        <w:rPr>
          <w:color w:val="auto"/>
        </w:rPr>
        <w:t xml:space="preserve"> </w:t>
      </w:r>
      <w:r w:rsidR="00CD2F7F" w:rsidRPr="00DB02C0">
        <w:rPr>
          <w:rFonts w:eastAsia="Calibri" w:cstheme="minorHAnsi"/>
          <w:color w:val="auto"/>
        </w:rPr>
        <w:t xml:space="preserve">sudaryti pirkimo sutartį dėl AB „Kauno energija“ (toliau – </w:t>
      </w:r>
      <w:r w:rsidR="00EA0B38" w:rsidRPr="00DB02C0">
        <w:rPr>
          <w:rFonts w:eastAsia="Calibri" w:cstheme="minorHAnsi"/>
          <w:color w:val="auto"/>
        </w:rPr>
        <w:t>Bendrovė</w:t>
      </w:r>
      <w:r w:rsidR="00D13008" w:rsidRPr="00DB02C0">
        <w:rPr>
          <w:rFonts w:eastAsia="Calibri" w:cstheme="minorHAnsi"/>
          <w:color w:val="auto"/>
        </w:rPr>
        <w:t xml:space="preserve"> arba </w:t>
      </w:r>
      <w:r w:rsidR="00EA0B38" w:rsidRPr="00DB02C0">
        <w:rPr>
          <w:rFonts w:eastAsia="Calibri" w:cstheme="minorHAnsi"/>
          <w:color w:val="auto"/>
        </w:rPr>
        <w:t>Užsakovas</w:t>
      </w:r>
      <w:r w:rsidR="00CD2F7F" w:rsidRPr="00DB02C0">
        <w:rPr>
          <w:rFonts w:eastAsia="Calibri" w:cstheme="minorHAnsi"/>
          <w:color w:val="auto"/>
        </w:rPr>
        <w:t>) Investicijų planavimo modelio ir</w:t>
      </w:r>
      <w:r w:rsidR="00CD2F7F" w:rsidRPr="00DB02C0">
        <w:rPr>
          <w:rFonts w:eastAsia="Calibri" w:cstheme="minorHAnsi"/>
          <w:b/>
          <w:bCs/>
          <w:color w:val="auto"/>
        </w:rPr>
        <w:t xml:space="preserve"> </w:t>
      </w:r>
      <w:r w:rsidR="00CD2F7F" w:rsidRPr="00DB02C0">
        <w:rPr>
          <w:rFonts w:eastAsia="Calibri" w:cstheme="minorHAnsi"/>
          <w:color w:val="auto"/>
        </w:rPr>
        <w:t>Investicijų plano parengimo paslaugų</w:t>
      </w:r>
      <w:r w:rsidR="0073439D" w:rsidRPr="00DB02C0">
        <w:rPr>
          <w:rFonts w:eastAsia="Calibri" w:cstheme="minorHAnsi"/>
          <w:color w:val="auto"/>
        </w:rPr>
        <w:t>.</w:t>
      </w:r>
    </w:p>
    <w:p w14:paraId="5028CF4C" w14:textId="4CCCA032" w:rsidR="00CA6C32" w:rsidRPr="00CA6C32" w:rsidRDefault="002F5A47" w:rsidP="00CA6C32">
      <w:pPr>
        <w:pStyle w:val="Antrat2"/>
        <w:numPr>
          <w:ilvl w:val="1"/>
          <w:numId w:val="25"/>
        </w:numPr>
        <w:jc w:val="both"/>
        <w:rPr>
          <w:color w:val="auto"/>
        </w:rPr>
      </w:pPr>
      <w:r w:rsidRPr="00CA6C32">
        <w:rPr>
          <w:color w:val="auto"/>
        </w:rPr>
        <w:t>Paslaugos</w:t>
      </w:r>
      <w:r w:rsidR="0073439D" w:rsidRPr="00CA6C32">
        <w:rPr>
          <w:color w:val="auto"/>
        </w:rPr>
        <w:t xml:space="preserve"> užduotis</w:t>
      </w:r>
      <w:r w:rsidR="00EF4D21" w:rsidRPr="00CA6C32">
        <w:rPr>
          <w:color w:val="auto"/>
        </w:rPr>
        <w:t xml:space="preserve"> </w:t>
      </w:r>
      <w:r w:rsidR="00FE771C" w:rsidRPr="00CA6C32">
        <w:rPr>
          <w:color w:val="auto"/>
        </w:rPr>
        <w:t>–</w:t>
      </w:r>
      <w:r w:rsidR="002F0A73" w:rsidRPr="00CA6C32">
        <w:rPr>
          <w:color w:val="auto"/>
        </w:rPr>
        <w:t xml:space="preserve"> Paslaugos teikėjas</w:t>
      </w:r>
      <w:r w:rsidR="002B5382" w:rsidRPr="00CA6C32">
        <w:rPr>
          <w:color w:val="auto"/>
        </w:rPr>
        <w:t xml:space="preserve"> (toliau  - Teikėjas)</w:t>
      </w:r>
      <w:r w:rsidR="002F0A73" w:rsidRPr="00CA6C32">
        <w:rPr>
          <w:color w:val="auto"/>
        </w:rPr>
        <w:t>, remdamasis nurodytais techninės specifikacijos uždaviniais turi parengti Bendrovei Investicijų planavimo modelį</w:t>
      </w:r>
      <w:r w:rsidR="00731E68" w:rsidRPr="00CA6C32">
        <w:rPr>
          <w:color w:val="auto"/>
        </w:rPr>
        <w:t xml:space="preserve"> </w:t>
      </w:r>
      <w:r w:rsidR="002F0A73" w:rsidRPr="00CA6C32">
        <w:rPr>
          <w:color w:val="auto"/>
        </w:rPr>
        <w:t xml:space="preserve"> ir Investicijų planą, atitinkantį aktualios redakcijos Šilumos ūkio įstatymo</w:t>
      </w:r>
      <w:r w:rsidR="00223044" w:rsidRPr="00CA6C32">
        <w:rPr>
          <w:color w:val="auto"/>
        </w:rPr>
        <w:t xml:space="preserve"> </w:t>
      </w:r>
      <w:r w:rsidR="002F0A73" w:rsidRPr="00CA6C32">
        <w:rPr>
          <w:color w:val="auto"/>
        </w:rPr>
        <w:t>82 straipsnio nuostatas</w:t>
      </w:r>
      <w:r w:rsidR="0070358A" w:rsidRPr="00CA6C32">
        <w:rPr>
          <w:color w:val="auto"/>
        </w:rPr>
        <w:t>, o taip pat Kauno miesto, Kauno rajono, bei Jurbarko rajono šilumos ūkio specialiųjų planų tikslus ir priemones</w:t>
      </w:r>
      <w:r w:rsidR="0006537A" w:rsidRPr="00CA6C32">
        <w:rPr>
          <w:color w:val="auto"/>
        </w:rPr>
        <w:t>.</w:t>
      </w:r>
      <w:r w:rsidR="00B960BE" w:rsidRPr="00CA6C32">
        <w:rPr>
          <w:color w:val="auto"/>
        </w:rPr>
        <w:t xml:space="preserve"> </w:t>
      </w:r>
      <w:r w:rsidR="00CA6C32" w:rsidRPr="00CA6C32">
        <w:rPr>
          <w:color w:val="auto"/>
        </w:rPr>
        <w:t xml:space="preserve">Investicijų planavimo modelis </w:t>
      </w:r>
      <w:r w:rsidR="00CA6C32">
        <w:rPr>
          <w:color w:val="auto"/>
        </w:rPr>
        <w:t xml:space="preserve">- </w:t>
      </w:r>
      <w:r w:rsidR="00CA6C32" w:rsidRPr="00CA6C32">
        <w:rPr>
          <w:color w:val="auto"/>
        </w:rPr>
        <w:t>išsamia inžinerine analize ir ekonominiu modeliavimu pagrįst</w:t>
      </w:r>
      <w:r w:rsidR="00CA6C32">
        <w:rPr>
          <w:color w:val="auto"/>
        </w:rPr>
        <w:t xml:space="preserve">as </w:t>
      </w:r>
      <w:r w:rsidR="00CA6C32" w:rsidRPr="00CA6C32">
        <w:rPr>
          <w:color w:val="auto"/>
        </w:rPr>
        <w:t>strategin</w:t>
      </w:r>
      <w:r w:rsidR="00CA6C32">
        <w:rPr>
          <w:color w:val="auto"/>
        </w:rPr>
        <w:t>is</w:t>
      </w:r>
      <w:r w:rsidR="00CA6C32" w:rsidRPr="00CA6C32">
        <w:rPr>
          <w:color w:val="auto"/>
        </w:rPr>
        <w:t xml:space="preserve"> dokument</w:t>
      </w:r>
      <w:r w:rsidR="00CA6C32">
        <w:rPr>
          <w:color w:val="auto"/>
        </w:rPr>
        <w:t>as</w:t>
      </w:r>
      <w:r w:rsidR="00CA6C32" w:rsidRPr="00CA6C32">
        <w:rPr>
          <w:color w:val="auto"/>
        </w:rPr>
        <w:t xml:space="preserve"> su dinaminiu </w:t>
      </w:r>
      <w:r w:rsidR="00CA6C32">
        <w:rPr>
          <w:color w:val="auto"/>
        </w:rPr>
        <w:t>centralizuoto šilumos tiekimo</w:t>
      </w:r>
      <w:r w:rsidR="00CA6C32" w:rsidRPr="00CA6C32">
        <w:rPr>
          <w:color w:val="auto"/>
        </w:rPr>
        <w:t xml:space="preserve"> infrastruktūros</w:t>
      </w:r>
      <w:r w:rsidR="001D6674">
        <w:rPr>
          <w:color w:val="auto"/>
        </w:rPr>
        <w:t xml:space="preserve"> ir veiklos</w:t>
      </w:r>
      <w:r w:rsidR="00CA6C32" w:rsidRPr="00CA6C32">
        <w:rPr>
          <w:color w:val="auto"/>
        </w:rPr>
        <w:t xml:space="preserve"> planavimo modeliu, kuris bus naudojamas ir ateityje </w:t>
      </w:r>
      <w:r w:rsidR="001D6674">
        <w:rPr>
          <w:color w:val="auto"/>
        </w:rPr>
        <w:t>Bendrovės</w:t>
      </w:r>
      <w:r w:rsidR="00CA6C32" w:rsidRPr="00CA6C32">
        <w:rPr>
          <w:color w:val="auto"/>
        </w:rPr>
        <w:t xml:space="preserve"> ilgalaikiam planavimui.</w:t>
      </w:r>
    </w:p>
    <w:p w14:paraId="3FC71B7F" w14:textId="48A56CA0" w:rsidR="0070358A" w:rsidRPr="00DB02C0" w:rsidRDefault="0070358A" w:rsidP="00CA6C32">
      <w:pPr>
        <w:pStyle w:val="Antrat2"/>
        <w:numPr>
          <w:ilvl w:val="0"/>
          <w:numId w:val="0"/>
        </w:numPr>
        <w:ind w:left="576"/>
        <w:jc w:val="both"/>
        <w:rPr>
          <w:color w:val="auto"/>
        </w:rPr>
      </w:pPr>
    </w:p>
    <w:p w14:paraId="0F4163DA" w14:textId="5476A596" w:rsidR="002F0A73" w:rsidRPr="00DB02C0" w:rsidRDefault="002F0A73" w:rsidP="0006537A">
      <w:pPr>
        <w:pStyle w:val="Antrat2"/>
        <w:numPr>
          <w:ilvl w:val="0"/>
          <w:numId w:val="0"/>
        </w:numPr>
        <w:ind w:left="576"/>
        <w:rPr>
          <w:color w:val="auto"/>
        </w:rPr>
      </w:pPr>
    </w:p>
    <w:p w14:paraId="682BC501" w14:textId="77777777" w:rsidR="00CB7236" w:rsidRPr="00DB02C0" w:rsidRDefault="00CB7236" w:rsidP="00CB7236"/>
    <w:p w14:paraId="74AA51E5" w14:textId="77777777" w:rsidR="00CB7236" w:rsidRPr="00DB02C0" w:rsidRDefault="00CB7236" w:rsidP="00CB7236"/>
    <w:p w14:paraId="12CB673C" w14:textId="20C2B9B5" w:rsidR="00261B16" w:rsidRPr="00DB02C0" w:rsidRDefault="00261B16" w:rsidP="00261B16">
      <w:pPr>
        <w:suppressAutoHyphens w:val="0"/>
      </w:pPr>
    </w:p>
    <w:p w14:paraId="55AFE77F" w14:textId="7D3538FA" w:rsidR="00A672AA" w:rsidRPr="00DB02C0" w:rsidRDefault="00481EDF" w:rsidP="00004461">
      <w:pPr>
        <w:pStyle w:val="Antrat1"/>
        <w:pageBreakBefore/>
        <w:ind w:left="431" w:hanging="431"/>
      </w:pPr>
      <w:bookmarkStart w:id="32" w:name="_Toc167181187"/>
      <w:r w:rsidRPr="00DB02C0">
        <w:lastRenderedPageBreak/>
        <w:t xml:space="preserve">SKYRIUS : </w:t>
      </w:r>
      <w:r w:rsidRPr="00DB02C0">
        <w:br/>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3D64A3" w:rsidRPr="00DB02C0">
        <w:t xml:space="preserve">Pagrindiniai reikalavimai </w:t>
      </w:r>
      <w:r w:rsidR="001E4504" w:rsidRPr="00DB02C0">
        <w:t>Investicijų planavimo modeliui</w:t>
      </w:r>
      <w:bookmarkEnd w:id="32"/>
    </w:p>
    <w:p w14:paraId="08DCA77A" w14:textId="1237EDD0" w:rsidR="00626A2F" w:rsidRPr="00DB02C0" w:rsidRDefault="004A6A97" w:rsidP="004A6A97">
      <w:pPr>
        <w:pStyle w:val="Antrat2"/>
        <w:numPr>
          <w:ilvl w:val="0"/>
          <w:numId w:val="0"/>
        </w:numPr>
        <w:rPr>
          <w:rStyle w:val="Rykuspabraukimas"/>
          <w:i w:val="0"/>
          <w:iCs w:val="0"/>
          <w:color w:val="auto"/>
        </w:rPr>
      </w:pPr>
      <w:r w:rsidRPr="00DB02C0">
        <w:rPr>
          <w:rStyle w:val="Rykuspabraukimas"/>
          <w:i w:val="0"/>
          <w:iCs w:val="0"/>
          <w:color w:val="auto"/>
        </w:rPr>
        <w:t>`</w:t>
      </w:r>
    </w:p>
    <w:p w14:paraId="0F6BED86" w14:textId="77777777" w:rsidR="00FE253A" w:rsidRPr="00DB02C0" w:rsidRDefault="00FE253A" w:rsidP="00723955">
      <w:pPr>
        <w:pStyle w:val="Antrat2"/>
        <w:keepNext w:val="0"/>
        <w:jc w:val="both"/>
        <w:rPr>
          <w:b/>
          <w:bCs/>
          <w:color w:val="auto"/>
        </w:rPr>
      </w:pPr>
      <w:r w:rsidRPr="00DB02C0">
        <w:rPr>
          <w:b/>
          <w:bCs/>
          <w:color w:val="auto"/>
        </w:rPr>
        <w:t>Investicijų planavimo modelis turi būti realizuotas integralioje skaičiuoklėje, patiekiant visų Investicijų planui parengti reikalingų duomenų ir rodiklių 10 metų prognozę:</w:t>
      </w:r>
    </w:p>
    <w:p w14:paraId="3A83EC18" w14:textId="77777777" w:rsidR="00FE253A" w:rsidRPr="00DB02C0" w:rsidRDefault="00FE253A" w:rsidP="00723955">
      <w:pPr>
        <w:pStyle w:val="Antrat3"/>
        <w:keepNext w:val="0"/>
        <w:jc w:val="both"/>
        <w:rPr>
          <w:color w:val="auto"/>
        </w:rPr>
      </w:pPr>
      <w:r w:rsidRPr="00DB02C0">
        <w:rPr>
          <w:color w:val="auto"/>
        </w:rPr>
        <w:t>Investicijų įgyvendinimo pagrįstumą (kaštai/ nauda).</w:t>
      </w:r>
    </w:p>
    <w:p w14:paraId="72053A52" w14:textId="77777777" w:rsidR="00FE253A" w:rsidRPr="00DB02C0" w:rsidRDefault="00FE253A" w:rsidP="00723955">
      <w:pPr>
        <w:pStyle w:val="Antrat3"/>
        <w:keepNext w:val="0"/>
        <w:jc w:val="both"/>
        <w:rPr>
          <w:color w:val="auto"/>
        </w:rPr>
      </w:pPr>
      <w:r w:rsidRPr="00DB02C0">
        <w:rPr>
          <w:color w:val="auto"/>
        </w:rPr>
        <w:t>Lėšų reikalingų investicijų įgyvendinimui poreikį.</w:t>
      </w:r>
    </w:p>
    <w:p w14:paraId="4D9B4151" w14:textId="77777777" w:rsidR="00FE253A" w:rsidRPr="00DB02C0" w:rsidRDefault="00FE253A" w:rsidP="00723955">
      <w:pPr>
        <w:pStyle w:val="Antrat3"/>
        <w:keepNext w:val="0"/>
        <w:jc w:val="both"/>
        <w:rPr>
          <w:color w:val="auto"/>
        </w:rPr>
      </w:pPr>
      <w:r w:rsidRPr="00DB02C0">
        <w:rPr>
          <w:color w:val="auto"/>
        </w:rPr>
        <w:t>Finansavimo poreikį (įvertinant Bendrovės rodiklius įtakojančius galimybes skolintis).</w:t>
      </w:r>
    </w:p>
    <w:p w14:paraId="58259F0F" w14:textId="77777777" w:rsidR="00FE253A" w:rsidRPr="00DB02C0" w:rsidRDefault="00FE253A" w:rsidP="00723955">
      <w:pPr>
        <w:pStyle w:val="Antrat3"/>
        <w:keepNext w:val="0"/>
        <w:jc w:val="both"/>
        <w:rPr>
          <w:color w:val="auto"/>
        </w:rPr>
      </w:pPr>
      <w:r w:rsidRPr="00DB02C0">
        <w:rPr>
          <w:color w:val="auto"/>
        </w:rPr>
        <w:t>Įtaką Bendrovės paslaugų kainai.</w:t>
      </w:r>
    </w:p>
    <w:p w14:paraId="3653EC19" w14:textId="77777777" w:rsidR="00FE253A" w:rsidRPr="00DB02C0" w:rsidRDefault="00FE253A" w:rsidP="00723955">
      <w:pPr>
        <w:pStyle w:val="Antrat3"/>
        <w:keepNext w:val="0"/>
        <w:jc w:val="both"/>
        <w:rPr>
          <w:color w:val="auto"/>
        </w:rPr>
      </w:pPr>
      <w:r w:rsidRPr="00DB02C0">
        <w:rPr>
          <w:color w:val="auto"/>
        </w:rPr>
        <w:t>Įtaką Bendrovės finansiniams rezultatams (pajamos, sąnaudos, pelnas ir kt.).</w:t>
      </w:r>
    </w:p>
    <w:p w14:paraId="4C955944" w14:textId="77777777" w:rsidR="00FE253A" w:rsidRPr="00DB02C0" w:rsidRDefault="00FE253A" w:rsidP="00723955">
      <w:pPr>
        <w:pStyle w:val="Antrat3"/>
        <w:keepNext w:val="0"/>
        <w:jc w:val="both"/>
        <w:rPr>
          <w:color w:val="auto"/>
        </w:rPr>
      </w:pPr>
      <w:r w:rsidRPr="00DB02C0">
        <w:rPr>
          <w:color w:val="auto"/>
        </w:rPr>
        <w:t>Įtaką Bendrovės anglies dioksido (CO2) pėdsakui.</w:t>
      </w:r>
    </w:p>
    <w:p w14:paraId="188E6BE8" w14:textId="45BA1706" w:rsidR="00FE253A" w:rsidRPr="00DB02C0" w:rsidRDefault="00FE253A" w:rsidP="00723955">
      <w:pPr>
        <w:pStyle w:val="Antrat3"/>
        <w:keepNext w:val="0"/>
        <w:jc w:val="both"/>
        <w:rPr>
          <w:color w:val="auto"/>
        </w:rPr>
      </w:pPr>
      <w:r w:rsidRPr="00DB02C0">
        <w:rPr>
          <w:color w:val="auto"/>
        </w:rPr>
        <w:t xml:space="preserve">Įtaką kitiems, Bendrovės veiklai ir </w:t>
      </w:r>
      <w:r w:rsidR="009B7D9B" w:rsidRPr="00DB02C0">
        <w:rPr>
          <w:color w:val="auto"/>
        </w:rPr>
        <w:t>centralizuoto šilumos tiekimo</w:t>
      </w:r>
      <w:r w:rsidRPr="00DB02C0">
        <w:rPr>
          <w:color w:val="auto"/>
        </w:rPr>
        <w:t xml:space="preserve"> sektoriui svarbiems rodikliams</w:t>
      </w:r>
      <w:r w:rsidR="004F0D7C" w:rsidRPr="00DB02C0">
        <w:rPr>
          <w:color w:val="auto"/>
        </w:rPr>
        <w:t xml:space="preserve">, </w:t>
      </w:r>
      <w:r w:rsidRPr="00DB02C0">
        <w:rPr>
          <w:color w:val="auto"/>
        </w:rPr>
        <w:t>reikalingiems Investiciniam planui parengti.</w:t>
      </w:r>
    </w:p>
    <w:p w14:paraId="2ACE73D5" w14:textId="77777777" w:rsidR="00FE253A" w:rsidRPr="00DB02C0" w:rsidRDefault="00FE253A" w:rsidP="00723955">
      <w:pPr>
        <w:pStyle w:val="Antrat2"/>
        <w:keepNext w:val="0"/>
        <w:jc w:val="both"/>
        <w:rPr>
          <w:b/>
          <w:bCs/>
          <w:color w:val="auto"/>
        </w:rPr>
      </w:pPr>
      <w:r w:rsidRPr="00DB02C0">
        <w:rPr>
          <w:b/>
          <w:bCs/>
          <w:color w:val="auto"/>
        </w:rPr>
        <w:t>Investicijų planavimo modelis  turi sudaryti galimybę operatyviai modeliuoti investicijų įgyvendinimo įtaką punkte aukščiau nurodytiems Bendrovės rodikliams t.y., modelyje turi būti realizuota galimybė operatyviai keisti investicijų įgyvendinimo apimtis, laikotarpius, finansavimo šaltinius ir kitus parametrus bei operatyviai matyti šių pokyčių įtaką Bendrovės rodikliams.</w:t>
      </w:r>
    </w:p>
    <w:p w14:paraId="116DFC53" w14:textId="0ADCDA35" w:rsidR="00D53B1A" w:rsidRPr="00DB02C0" w:rsidRDefault="00261B16" w:rsidP="00261B16">
      <w:pPr>
        <w:suppressAutoHyphens w:val="0"/>
      </w:pPr>
      <w:r w:rsidRPr="00DB02C0">
        <w:br w:type="page"/>
      </w:r>
    </w:p>
    <w:p w14:paraId="6D41E869" w14:textId="69BDBCAE" w:rsidR="00995D88" w:rsidRPr="00DB02C0" w:rsidRDefault="00481EDF" w:rsidP="00004461">
      <w:pPr>
        <w:pStyle w:val="Antrat1"/>
        <w:pageBreakBefore/>
        <w:ind w:left="431" w:hanging="431"/>
      </w:pPr>
      <w:bookmarkStart w:id="33" w:name="_Toc103342345"/>
      <w:bookmarkStart w:id="34" w:name="_Toc103584533"/>
      <w:bookmarkStart w:id="35" w:name="_Toc103601647"/>
      <w:bookmarkStart w:id="36" w:name="_Toc103602741"/>
      <w:bookmarkStart w:id="37" w:name="_Toc103610440"/>
      <w:bookmarkStart w:id="38" w:name="_Toc103672197"/>
      <w:bookmarkStart w:id="39" w:name="_Toc103689641"/>
      <w:bookmarkStart w:id="40" w:name="_Toc103839757"/>
      <w:bookmarkStart w:id="41" w:name="_Toc167181188"/>
      <w:r w:rsidRPr="00DB02C0">
        <w:lastRenderedPageBreak/>
        <w:t xml:space="preserve">SKYRIUS : </w:t>
      </w:r>
      <w:r w:rsidRPr="00DB02C0">
        <w:br/>
      </w:r>
      <w:bookmarkEnd w:id="33"/>
      <w:bookmarkEnd w:id="34"/>
      <w:bookmarkEnd w:id="35"/>
      <w:bookmarkEnd w:id="36"/>
      <w:bookmarkEnd w:id="37"/>
      <w:bookmarkEnd w:id="38"/>
      <w:bookmarkEnd w:id="39"/>
      <w:bookmarkEnd w:id="40"/>
      <w:r w:rsidR="001E4504" w:rsidRPr="00DB02C0">
        <w:t xml:space="preserve">Pagrindiniai reikalavimai </w:t>
      </w:r>
      <w:r w:rsidR="00305B8C" w:rsidRPr="00DB02C0">
        <w:t>Investicijų planui</w:t>
      </w:r>
      <w:bookmarkEnd w:id="41"/>
    </w:p>
    <w:p w14:paraId="67F4A990" w14:textId="77777777" w:rsidR="004A6A97" w:rsidRPr="00DB02C0" w:rsidRDefault="004A6A97" w:rsidP="004A6A97">
      <w:pPr>
        <w:pStyle w:val="Antrat2"/>
        <w:numPr>
          <w:ilvl w:val="0"/>
          <w:numId w:val="0"/>
        </w:numPr>
        <w:rPr>
          <w:color w:val="auto"/>
        </w:rPr>
      </w:pPr>
    </w:p>
    <w:p w14:paraId="53985259" w14:textId="4632D49E" w:rsidR="00B07C64" w:rsidRPr="00DB02C0" w:rsidRDefault="00B07C64" w:rsidP="00D9369A">
      <w:pPr>
        <w:pStyle w:val="Antrat2"/>
        <w:numPr>
          <w:ilvl w:val="1"/>
          <w:numId w:val="25"/>
        </w:numPr>
        <w:rPr>
          <w:b/>
          <w:bCs/>
          <w:color w:val="auto"/>
        </w:rPr>
      </w:pPr>
      <w:bookmarkStart w:id="42" w:name="_Toc103342347"/>
      <w:bookmarkStart w:id="43" w:name="_Toc103584535"/>
      <w:bookmarkStart w:id="44" w:name="_Toc103601649"/>
      <w:bookmarkStart w:id="45" w:name="_Toc103602743"/>
      <w:bookmarkStart w:id="46" w:name="_Toc103610442"/>
      <w:bookmarkStart w:id="47" w:name="_Toc103672199"/>
      <w:bookmarkStart w:id="48" w:name="_Toc103689643"/>
      <w:bookmarkStart w:id="49" w:name="_Toc103839759"/>
      <w:r w:rsidRPr="00DB02C0">
        <w:rPr>
          <w:b/>
          <w:bCs/>
          <w:color w:val="auto"/>
        </w:rPr>
        <w:t xml:space="preserve">Vadovaujantis </w:t>
      </w:r>
      <w:r w:rsidR="000C13D7" w:rsidRPr="00DB02C0">
        <w:rPr>
          <w:b/>
          <w:bCs/>
          <w:color w:val="auto"/>
        </w:rPr>
        <w:t xml:space="preserve">aktualios redakcijos </w:t>
      </w:r>
      <w:r w:rsidRPr="00DB02C0">
        <w:rPr>
          <w:b/>
          <w:bCs/>
          <w:color w:val="auto"/>
        </w:rPr>
        <w:t>Šilumos ūkio įstatymo 8</w:t>
      </w:r>
      <w:r w:rsidRPr="00DB02C0">
        <w:rPr>
          <w:b/>
          <w:bCs/>
          <w:color w:val="auto"/>
          <w:vertAlign w:val="superscript"/>
        </w:rPr>
        <w:t>2</w:t>
      </w:r>
      <w:r w:rsidRPr="00DB02C0">
        <w:rPr>
          <w:b/>
          <w:bCs/>
          <w:color w:val="auto"/>
        </w:rPr>
        <w:t xml:space="preserve"> straipsnio 2 dalies nuostatomis, Dešimties metų investicijų plane nurodoma:</w:t>
      </w:r>
    </w:p>
    <w:p w14:paraId="159C1320" w14:textId="77777777" w:rsidR="00B07C64" w:rsidRPr="00DB02C0" w:rsidRDefault="00B07C64" w:rsidP="00D9369A">
      <w:pPr>
        <w:pStyle w:val="Antrat3"/>
        <w:numPr>
          <w:ilvl w:val="2"/>
          <w:numId w:val="25"/>
        </w:numPr>
        <w:rPr>
          <w:color w:val="auto"/>
        </w:rPr>
      </w:pPr>
      <w:r w:rsidRPr="00DB02C0">
        <w:rPr>
          <w:color w:val="auto"/>
        </w:rPr>
        <w:t>Šilumos tiekimo sistemos plėtros ir modernizavimo planas, šilumos tiekimo sistemos plėtros perspektyvinės zonos;</w:t>
      </w:r>
    </w:p>
    <w:p w14:paraId="1F967098" w14:textId="77777777" w:rsidR="00B07C64" w:rsidRPr="00DB02C0" w:rsidRDefault="00B07C64" w:rsidP="00D9369A">
      <w:pPr>
        <w:pStyle w:val="Antrat3"/>
        <w:numPr>
          <w:ilvl w:val="2"/>
          <w:numId w:val="25"/>
        </w:numPr>
        <w:rPr>
          <w:color w:val="auto"/>
        </w:rPr>
      </w:pPr>
      <w:r w:rsidRPr="00DB02C0">
        <w:rPr>
          <w:color w:val="auto"/>
        </w:rPr>
        <w:t>Kaštų ir naudos analize pagrįstos šilumos tiekimo sistemos plėtros planuojamos investicijos, įgyvendinimo terminai ir potencialūs finansavimo šaltiniai;</w:t>
      </w:r>
    </w:p>
    <w:p w14:paraId="696A3302" w14:textId="77777777" w:rsidR="00B07C64" w:rsidRPr="00DB02C0" w:rsidRDefault="00B07C64" w:rsidP="00D9369A">
      <w:pPr>
        <w:pStyle w:val="Antrat3"/>
        <w:numPr>
          <w:ilvl w:val="2"/>
          <w:numId w:val="25"/>
        </w:numPr>
        <w:rPr>
          <w:color w:val="auto"/>
        </w:rPr>
      </w:pPr>
      <w:r w:rsidRPr="00DB02C0">
        <w:rPr>
          <w:color w:val="auto"/>
        </w:rPr>
        <w:t>Energijos išteklių poreikio prognozės pagal kuro rūšis;</w:t>
      </w:r>
    </w:p>
    <w:p w14:paraId="2A33D1FB" w14:textId="77777777" w:rsidR="00B07C64" w:rsidRPr="00DB02C0" w:rsidRDefault="00B07C64" w:rsidP="00D9369A">
      <w:pPr>
        <w:pStyle w:val="Antrat3"/>
        <w:numPr>
          <w:ilvl w:val="2"/>
          <w:numId w:val="25"/>
        </w:numPr>
        <w:rPr>
          <w:color w:val="auto"/>
        </w:rPr>
      </w:pPr>
      <w:r w:rsidRPr="00DB02C0">
        <w:rPr>
          <w:color w:val="auto"/>
        </w:rPr>
        <w:t>Naujų šilumos gamybos įrenginių poreikis (galingumas (MW), prijungimo prie centralizuotai tiekiamos šilumos sistemos vieta ir planuojama eksploatacijos pradžia), prioritetą teikiant šiltnamio efektą sukeliančių dujų kiekį mažinančioms technologijoms;</w:t>
      </w:r>
    </w:p>
    <w:p w14:paraId="210B667F" w14:textId="77777777" w:rsidR="00B07C64" w:rsidRPr="00DB02C0" w:rsidRDefault="00B07C64" w:rsidP="00D9369A">
      <w:pPr>
        <w:pStyle w:val="Antrat3"/>
        <w:numPr>
          <w:ilvl w:val="2"/>
          <w:numId w:val="25"/>
        </w:numPr>
        <w:rPr>
          <w:color w:val="auto"/>
        </w:rPr>
      </w:pPr>
      <w:r w:rsidRPr="00DB02C0">
        <w:rPr>
          <w:color w:val="auto"/>
        </w:rPr>
        <w:t>Energijos vartojimo efektyvumo didinimo ir šilumos suvartojimo paklausos mažinimo planas;</w:t>
      </w:r>
    </w:p>
    <w:p w14:paraId="4D67E795" w14:textId="77777777" w:rsidR="00B07C64" w:rsidRPr="00DB02C0" w:rsidRDefault="00B07C64" w:rsidP="00D9369A">
      <w:pPr>
        <w:pStyle w:val="Antrat3"/>
        <w:numPr>
          <w:ilvl w:val="2"/>
          <w:numId w:val="25"/>
        </w:numPr>
        <w:rPr>
          <w:color w:val="auto"/>
        </w:rPr>
      </w:pPr>
      <w:r w:rsidRPr="00DB02C0">
        <w:rPr>
          <w:color w:val="auto"/>
        </w:rPr>
        <w:t>Šilumos tiekėjo teikiamų paslaugų plėtra ir šių paslaugų kokybės gerinimo planas;</w:t>
      </w:r>
    </w:p>
    <w:p w14:paraId="262C29FB" w14:textId="77777777" w:rsidR="00B07C64" w:rsidRPr="00DB02C0" w:rsidRDefault="00B07C64" w:rsidP="00D9369A">
      <w:pPr>
        <w:pStyle w:val="Antrat3"/>
        <w:numPr>
          <w:ilvl w:val="2"/>
          <w:numId w:val="25"/>
        </w:numPr>
        <w:rPr>
          <w:color w:val="auto"/>
        </w:rPr>
      </w:pPr>
      <w:r w:rsidRPr="00DB02C0">
        <w:rPr>
          <w:color w:val="auto"/>
        </w:rPr>
        <w:t>Poveikio rodikliais pagrįstos energijos nepritekliaus mažinimo, energijos vartojimo efektyvumo didinimo, šilumos tiekimo patikimumo ir konkurencijos didinimo priemonės;</w:t>
      </w:r>
    </w:p>
    <w:p w14:paraId="0753366A" w14:textId="77777777" w:rsidR="00B07C64" w:rsidRPr="00DB02C0" w:rsidRDefault="00B07C64" w:rsidP="00D9369A">
      <w:pPr>
        <w:pStyle w:val="Antrat3"/>
        <w:numPr>
          <w:ilvl w:val="2"/>
          <w:numId w:val="25"/>
        </w:numPr>
        <w:rPr>
          <w:color w:val="auto"/>
        </w:rPr>
      </w:pPr>
      <w:r w:rsidRPr="00DB02C0">
        <w:rPr>
          <w:color w:val="auto"/>
        </w:rPr>
        <w:t>Galimi atsinaujinančių energijos išteklių, šilumos talpyklų, atliekinės šilumos panaudojimo šaltiniai ir jų integravimo būdai ir priemonės šilumos tiekimo sistemoje, jų vystymas, planuojamas ilguoju laikotarpiu.</w:t>
      </w:r>
    </w:p>
    <w:p w14:paraId="1E5B24C7" w14:textId="77777777" w:rsidR="00B07C64" w:rsidRPr="00DB02C0" w:rsidRDefault="00B07C64" w:rsidP="004A6A97">
      <w:pPr>
        <w:pStyle w:val="Antrat2"/>
        <w:numPr>
          <w:ilvl w:val="0"/>
          <w:numId w:val="0"/>
        </w:numPr>
        <w:rPr>
          <w:color w:val="auto"/>
        </w:rPr>
      </w:pPr>
    </w:p>
    <w:p w14:paraId="299E9679" w14:textId="77777777" w:rsidR="00B07C64" w:rsidRPr="00DB02C0" w:rsidRDefault="00B07C64" w:rsidP="00D9369A">
      <w:pPr>
        <w:pStyle w:val="Antrat2"/>
        <w:numPr>
          <w:ilvl w:val="1"/>
          <w:numId w:val="25"/>
        </w:numPr>
        <w:rPr>
          <w:b/>
          <w:bCs/>
          <w:color w:val="auto"/>
        </w:rPr>
      </w:pPr>
      <w:r w:rsidRPr="00DB02C0">
        <w:rPr>
          <w:b/>
          <w:bCs/>
          <w:color w:val="auto"/>
        </w:rPr>
        <w:t>Investicijų plano apimtis:</w:t>
      </w:r>
    </w:p>
    <w:p w14:paraId="43FF71EE" w14:textId="77777777" w:rsidR="00B07C64" w:rsidRPr="00DB02C0" w:rsidRDefault="00B07C64" w:rsidP="00D9369A">
      <w:pPr>
        <w:pStyle w:val="Antrat3"/>
        <w:numPr>
          <w:ilvl w:val="2"/>
          <w:numId w:val="25"/>
        </w:numPr>
        <w:rPr>
          <w:b/>
          <w:bCs/>
          <w:color w:val="auto"/>
        </w:rPr>
      </w:pPr>
      <w:r w:rsidRPr="00DB02C0">
        <w:rPr>
          <w:b/>
          <w:bCs/>
          <w:color w:val="auto"/>
        </w:rPr>
        <w:t>Esamos situacijos aprašymas</w:t>
      </w:r>
    </w:p>
    <w:p w14:paraId="39C2865C" w14:textId="77777777" w:rsidR="00B07C64" w:rsidRPr="00DB02C0" w:rsidRDefault="00B07C64" w:rsidP="00D9369A">
      <w:pPr>
        <w:pStyle w:val="Antrat3"/>
        <w:numPr>
          <w:ilvl w:val="2"/>
          <w:numId w:val="25"/>
        </w:numPr>
        <w:rPr>
          <w:color w:val="auto"/>
        </w:rPr>
      </w:pPr>
      <w:r w:rsidRPr="00DB02C0">
        <w:rPr>
          <w:color w:val="auto"/>
        </w:rPr>
        <w:t>Aprašoma bendra Bendrovės valdomos infrastruktūros struktūra, nurodant schemą, kurioje būtų vaizduojamas integruotas šilumos tiekimo tinklas ir mažesnės centralizuoto šilumos tiekimo sistemos.</w:t>
      </w:r>
    </w:p>
    <w:p w14:paraId="76A95B86" w14:textId="77777777" w:rsidR="00B07C64" w:rsidRPr="00DB02C0" w:rsidRDefault="00B07C64" w:rsidP="00D9369A">
      <w:pPr>
        <w:pStyle w:val="Antrat3"/>
        <w:numPr>
          <w:ilvl w:val="2"/>
          <w:numId w:val="25"/>
        </w:numPr>
        <w:rPr>
          <w:color w:val="auto"/>
        </w:rPr>
      </w:pPr>
      <w:r w:rsidRPr="00DB02C0">
        <w:rPr>
          <w:color w:val="auto"/>
        </w:rPr>
        <w:t xml:space="preserve">Pateikti bendri duomenys apie esamus šilumos vartotojus, esamas šilumos poreikis, bendra informacija apie šilumos tinklus, esami nuostoliai tinkluose, informacija apie esamus šilumos šaltinius integruotame šilumos tinkle ir kiti Investicinio plano kontekste svarbūs esamos situacijos parametrai. </w:t>
      </w:r>
    </w:p>
    <w:p w14:paraId="5A29174B" w14:textId="77777777" w:rsidR="00B07C64" w:rsidRPr="00DB02C0" w:rsidRDefault="00B07C64" w:rsidP="00D9369A">
      <w:pPr>
        <w:pStyle w:val="Antrat3"/>
        <w:numPr>
          <w:ilvl w:val="2"/>
          <w:numId w:val="25"/>
        </w:numPr>
        <w:rPr>
          <w:color w:val="auto"/>
        </w:rPr>
      </w:pPr>
      <w:r w:rsidRPr="00DB02C0">
        <w:rPr>
          <w:color w:val="auto"/>
        </w:rPr>
        <w:t>CŠTS vartotojų šilumos poreikių prognozė (2025-2034)</w:t>
      </w:r>
    </w:p>
    <w:p w14:paraId="756F7C92" w14:textId="77777777" w:rsidR="00B07C64" w:rsidRPr="00DB02C0" w:rsidRDefault="00B07C64" w:rsidP="00D9369A">
      <w:pPr>
        <w:pStyle w:val="Antrat3"/>
        <w:numPr>
          <w:ilvl w:val="2"/>
          <w:numId w:val="25"/>
        </w:numPr>
        <w:rPr>
          <w:color w:val="auto"/>
        </w:rPr>
      </w:pPr>
      <w:r w:rsidRPr="00DB02C0">
        <w:rPr>
          <w:color w:val="auto"/>
        </w:rPr>
        <w:t>Esamų CŠTS  vartotojų šilumos poreikių prognozė.</w:t>
      </w:r>
    </w:p>
    <w:p w14:paraId="510AF58F" w14:textId="77777777" w:rsidR="00B07C64" w:rsidRPr="00DB02C0" w:rsidRDefault="00B07C64" w:rsidP="00D9369A">
      <w:pPr>
        <w:pStyle w:val="Antrat3"/>
        <w:numPr>
          <w:ilvl w:val="2"/>
          <w:numId w:val="25"/>
        </w:numPr>
        <w:rPr>
          <w:color w:val="auto"/>
        </w:rPr>
      </w:pPr>
      <w:r w:rsidRPr="00DB02C0">
        <w:rPr>
          <w:color w:val="auto"/>
        </w:rPr>
        <w:t>Potencialių naujų vartotojų prijungimo galimybių prie integruoto CŠT tinklo vertinimas (CŠTS plėtros perspektyvinių  zonų nustatymas) remiantis kaštų- naudos analize ir sudarant naujų CŠTS  vartotojų šilumos poreikių prognozę.</w:t>
      </w:r>
    </w:p>
    <w:p w14:paraId="2C7B46FE" w14:textId="77777777" w:rsidR="00B07C64" w:rsidRPr="00DB02C0" w:rsidRDefault="00B07C64" w:rsidP="00D9369A">
      <w:pPr>
        <w:pStyle w:val="Antrat3"/>
        <w:numPr>
          <w:ilvl w:val="2"/>
          <w:numId w:val="25"/>
        </w:numPr>
        <w:rPr>
          <w:color w:val="auto"/>
        </w:rPr>
      </w:pPr>
      <w:r w:rsidRPr="00DB02C0">
        <w:rPr>
          <w:color w:val="auto"/>
        </w:rPr>
        <w:t>Pastatų renovacijos eiga, planai ir įtakos CŠTS šilumos poreikiui vertinimas.</w:t>
      </w:r>
    </w:p>
    <w:p w14:paraId="105F4229" w14:textId="77777777" w:rsidR="00B07C64" w:rsidRPr="00DB02C0" w:rsidRDefault="00B07C64" w:rsidP="00D9369A">
      <w:pPr>
        <w:pStyle w:val="Antrat3"/>
        <w:numPr>
          <w:ilvl w:val="2"/>
          <w:numId w:val="25"/>
        </w:numPr>
        <w:rPr>
          <w:color w:val="auto"/>
        </w:rPr>
      </w:pPr>
      <w:r w:rsidRPr="00DB02C0">
        <w:rPr>
          <w:color w:val="auto"/>
        </w:rPr>
        <w:t>Kitų veiksnių įtakos vertinimas (klimato kaita, vartotojų atsijungimai, demografiniai pokyčiai ir pan.).</w:t>
      </w:r>
    </w:p>
    <w:p w14:paraId="3179E81A" w14:textId="77777777" w:rsidR="00B07C64" w:rsidRPr="00DB02C0" w:rsidRDefault="00B07C64" w:rsidP="00D9369A">
      <w:pPr>
        <w:pStyle w:val="Antrat3"/>
        <w:numPr>
          <w:ilvl w:val="2"/>
          <w:numId w:val="25"/>
        </w:numPr>
        <w:rPr>
          <w:color w:val="auto"/>
        </w:rPr>
      </w:pPr>
      <w:r w:rsidRPr="00DB02C0">
        <w:rPr>
          <w:color w:val="auto"/>
        </w:rPr>
        <w:t>Energijos vartojimo efektyvumo didinimo ir šilumos suvartojimo paklausos mažinimo plane numatytų priemonių įtakos vertinimas</w:t>
      </w:r>
    </w:p>
    <w:p w14:paraId="2CC9F2AE" w14:textId="77777777" w:rsidR="00B07C64" w:rsidRPr="00DB02C0" w:rsidRDefault="00B07C64" w:rsidP="00D9369A">
      <w:pPr>
        <w:pStyle w:val="Antrat2"/>
        <w:numPr>
          <w:ilvl w:val="1"/>
          <w:numId w:val="25"/>
        </w:numPr>
        <w:rPr>
          <w:b/>
          <w:bCs/>
          <w:color w:val="auto"/>
        </w:rPr>
      </w:pPr>
      <w:r w:rsidRPr="00DB02C0">
        <w:rPr>
          <w:b/>
          <w:bCs/>
          <w:color w:val="auto"/>
        </w:rPr>
        <w:t>Energijos vartojimo efektyvumo didinimo ir šilumos suvartojimo paklausos mažinimo planas (2025-2034)</w:t>
      </w:r>
    </w:p>
    <w:p w14:paraId="5A6FD0C1" w14:textId="77777777" w:rsidR="00B07C64" w:rsidRPr="00DB02C0" w:rsidRDefault="00B07C64" w:rsidP="00D9369A">
      <w:pPr>
        <w:pStyle w:val="Antrat3"/>
        <w:numPr>
          <w:ilvl w:val="2"/>
          <w:numId w:val="25"/>
        </w:numPr>
        <w:rPr>
          <w:color w:val="auto"/>
          <w:szCs w:val="26"/>
        </w:rPr>
      </w:pPr>
      <w:r w:rsidRPr="00DB02C0">
        <w:rPr>
          <w:color w:val="auto"/>
          <w:szCs w:val="26"/>
        </w:rPr>
        <w:t xml:space="preserve">Energijos vartojimo </w:t>
      </w:r>
      <w:r w:rsidRPr="00DB02C0">
        <w:rPr>
          <w:color w:val="auto"/>
        </w:rPr>
        <w:t>efektyvumo didinimo ir šilumos suvartojimo paklausos mažinimo priemonių nustatymas ir aprašymas.</w:t>
      </w:r>
    </w:p>
    <w:p w14:paraId="0EA86A43" w14:textId="77777777" w:rsidR="00B07C64" w:rsidRPr="00DB02C0" w:rsidRDefault="00B07C64" w:rsidP="00D9369A">
      <w:pPr>
        <w:pStyle w:val="Antrat3"/>
        <w:numPr>
          <w:ilvl w:val="2"/>
          <w:numId w:val="25"/>
        </w:numPr>
        <w:rPr>
          <w:color w:val="auto"/>
        </w:rPr>
      </w:pPr>
      <w:r w:rsidRPr="00DB02C0">
        <w:rPr>
          <w:color w:val="auto"/>
        </w:rPr>
        <w:t>CŠTS  vartotojų šilumos poreikių prognozės tikslinimas atsižvelgiant į planuojamus priemonių rezultatus.</w:t>
      </w:r>
    </w:p>
    <w:p w14:paraId="6E014043" w14:textId="10BC1A8F" w:rsidR="00B07C64" w:rsidRPr="00DB02C0" w:rsidRDefault="00B07C64" w:rsidP="00D9369A">
      <w:pPr>
        <w:pStyle w:val="Antrat2"/>
        <w:numPr>
          <w:ilvl w:val="1"/>
          <w:numId w:val="25"/>
        </w:numPr>
        <w:rPr>
          <w:b/>
          <w:bCs/>
          <w:color w:val="auto"/>
        </w:rPr>
      </w:pPr>
      <w:r w:rsidRPr="00DB02C0">
        <w:rPr>
          <w:b/>
          <w:bCs/>
          <w:color w:val="auto"/>
        </w:rPr>
        <w:t>Šilumos tiekimo tinklo vystymo KE veiklos teritorijoje planas (2025-2034</w:t>
      </w:r>
      <w:r w:rsidR="008D5EF3" w:rsidRPr="00DB02C0">
        <w:rPr>
          <w:b/>
          <w:bCs/>
          <w:color w:val="auto"/>
        </w:rPr>
        <w:t xml:space="preserve"> metai</w:t>
      </w:r>
      <w:r w:rsidRPr="00DB02C0">
        <w:rPr>
          <w:b/>
          <w:bCs/>
          <w:color w:val="auto"/>
        </w:rPr>
        <w:t>) atsižvelgiant į paklausos poreikių prognozę</w:t>
      </w:r>
    </w:p>
    <w:p w14:paraId="410B45D2" w14:textId="77777777" w:rsidR="00B07C64" w:rsidRPr="00DB02C0" w:rsidRDefault="00B07C64" w:rsidP="00D9369A">
      <w:pPr>
        <w:pStyle w:val="Antrat3"/>
        <w:numPr>
          <w:ilvl w:val="2"/>
          <w:numId w:val="25"/>
        </w:numPr>
        <w:rPr>
          <w:color w:val="auto"/>
        </w:rPr>
      </w:pPr>
      <w:r w:rsidRPr="00DB02C0">
        <w:rPr>
          <w:color w:val="auto"/>
        </w:rPr>
        <w:t>Investicijų reikalingų naujų  vartotojų prijungimui prie CŠT tinklo poreikio vertinimas.</w:t>
      </w:r>
    </w:p>
    <w:p w14:paraId="68827050" w14:textId="77777777" w:rsidR="00B07C64" w:rsidRPr="00DB02C0" w:rsidRDefault="00B07C64" w:rsidP="00D9369A">
      <w:pPr>
        <w:pStyle w:val="Antrat3"/>
        <w:numPr>
          <w:ilvl w:val="2"/>
          <w:numId w:val="25"/>
        </w:numPr>
        <w:rPr>
          <w:color w:val="auto"/>
        </w:rPr>
      </w:pPr>
      <w:r w:rsidRPr="00DB02C0">
        <w:rPr>
          <w:color w:val="auto"/>
        </w:rPr>
        <w:t>Investicijų reikalingų esamo CŠTS tinklo būklės palaikymui ir efektyvumo didinimui vertinimas. Vertinant turi būti atsižvelgiama į naujos kartos žemų temperatūrų šilumos tiekimo tinklų vystymo perspektyvas.</w:t>
      </w:r>
    </w:p>
    <w:p w14:paraId="6F1BA3E5" w14:textId="77777777" w:rsidR="00B07C64" w:rsidRPr="00DB02C0" w:rsidRDefault="00B07C64" w:rsidP="00D9369A">
      <w:pPr>
        <w:pStyle w:val="Antrat3"/>
        <w:numPr>
          <w:ilvl w:val="2"/>
          <w:numId w:val="25"/>
        </w:numPr>
        <w:rPr>
          <w:color w:val="auto"/>
        </w:rPr>
      </w:pPr>
      <w:r w:rsidRPr="00DB02C0">
        <w:rPr>
          <w:color w:val="auto"/>
        </w:rPr>
        <w:t>Investicijų įtakos šilumos gamybos šaltinių poreikiui dėl mažėjančių šilumos nuostolių vertinimas.</w:t>
      </w:r>
    </w:p>
    <w:p w14:paraId="126B8B8B" w14:textId="3B4E13F4" w:rsidR="00B07C64" w:rsidRPr="00DB02C0" w:rsidRDefault="00B07C64" w:rsidP="00D9369A">
      <w:pPr>
        <w:pStyle w:val="Antrat2"/>
        <w:numPr>
          <w:ilvl w:val="1"/>
          <w:numId w:val="25"/>
        </w:numPr>
        <w:rPr>
          <w:b/>
          <w:bCs/>
          <w:color w:val="auto"/>
        </w:rPr>
      </w:pPr>
      <w:r w:rsidRPr="00DB02C0">
        <w:rPr>
          <w:b/>
          <w:bCs/>
          <w:color w:val="auto"/>
        </w:rPr>
        <w:t>Šilumos gamybos šaltinių vystymo planas  (2025-2034</w:t>
      </w:r>
      <w:r w:rsidR="008D5EF3" w:rsidRPr="00DB02C0">
        <w:rPr>
          <w:b/>
          <w:bCs/>
          <w:color w:val="auto"/>
        </w:rPr>
        <w:t xml:space="preserve"> metai</w:t>
      </w:r>
      <w:r w:rsidRPr="00DB02C0">
        <w:rPr>
          <w:b/>
          <w:bCs/>
          <w:color w:val="auto"/>
        </w:rPr>
        <w:t>) atsižvelgiant į paklausos poreikių prognozę</w:t>
      </w:r>
    </w:p>
    <w:p w14:paraId="42D51702" w14:textId="77777777" w:rsidR="00B07C64" w:rsidRPr="00DB02C0" w:rsidRDefault="00B07C64" w:rsidP="00D9369A">
      <w:pPr>
        <w:pStyle w:val="Antrat3"/>
        <w:numPr>
          <w:ilvl w:val="2"/>
          <w:numId w:val="25"/>
        </w:numPr>
        <w:rPr>
          <w:color w:val="auto"/>
        </w:rPr>
      </w:pPr>
      <w:r w:rsidRPr="00DB02C0">
        <w:rPr>
          <w:color w:val="auto"/>
        </w:rPr>
        <w:lastRenderedPageBreak/>
        <w:t>Šilumos gamybos šaltinių galios bei šilumos gamybos poreikių prognozė atsižvelgiant į šilumos paklausos prognozę ir šilumos tiekimo tinklo modernizavimo poveikį (šilumos nuostolių mažėjimą).</w:t>
      </w:r>
    </w:p>
    <w:p w14:paraId="03E07475" w14:textId="77777777" w:rsidR="00B07C64" w:rsidRPr="00DB02C0" w:rsidRDefault="00B07C64" w:rsidP="00D9369A">
      <w:pPr>
        <w:pStyle w:val="Antrat3"/>
        <w:numPr>
          <w:ilvl w:val="2"/>
          <w:numId w:val="25"/>
        </w:numPr>
        <w:rPr>
          <w:color w:val="auto"/>
        </w:rPr>
      </w:pPr>
      <w:r w:rsidRPr="00DB02C0">
        <w:rPr>
          <w:color w:val="auto"/>
        </w:rPr>
        <w:t>Investicijų į šilumos gamybos įrenginius poreikio vertinimas,  prioritetą teikiant šiltnamio efektą sukeliančių dujų kiekį mažinančioms technologijoms (saulės, šilumos siurblių ar liekamosios energijos ir kt.) bei numatant prijungimo prie CŠT sistemos vietą ir planuojamą eksploatacijos pradžią.</w:t>
      </w:r>
    </w:p>
    <w:p w14:paraId="54E05FFB" w14:textId="77777777" w:rsidR="00B07C64" w:rsidRPr="00DB02C0" w:rsidRDefault="00B07C64" w:rsidP="00D9369A">
      <w:pPr>
        <w:pStyle w:val="Antrat3"/>
        <w:numPr>
          <w:ilvl w:val="2"/>
          <w:numId w:val="25"/>
        </w:numPr>
        <w:rPr>
          <w:color w:val="auto"/>
        </w:rPr>
      </w:pPr>
      <w:r w:rsidRPr="00DB02C0">
        <w:rPr>
          <w:color w:val="auto"/>
        </w:rPr>
        <w:t>Energijos išteklių poreikio pagal kuro rūšis  prognozė, numatant iškastinio kuro atsisakymą ir perėjimą prie AEI bei vietinės energijos gamybos.</w:t>
      </w:r>
    </w:p>
    <w:p w14:paraId="3ECEF1DB" w14:textId="77777777" w:rsidR="00B07C64" w:rsidRPr="00DB02C0" w:rsidRDefault="00B07C64" w:rsidP="00D9369A">
      <w:pPr>
        <w:pStyle w:val="Antrat2"/>
        <w:numPr>
          <w:ilvl w:val="1"/>
          <w:numId w:val="25"/>
        </w:numPr>
        <w:rPr>
          <w:b/>
          <w:bCs/>
          <w:color w:val="auto"/>
        </w:rPr>
      </w:pPr>
      <w:r w:rsidRPr="00DB02C0">
        <w:rPr>
          <w:b/>
          <w:bCs/>
          <w:color w:val="auto"/>
        </w:rPr>
        <w:t>Šilumos tiekėjo teikiamų naujų paslaugų plėtra ir šių paslaugų kokybės gerinimo planas</w:t>
      </w:r>
    </w:p>
    <w:p w14:paraId="242137F3" w14:textId="77777777" w:rsidR="00B07C64" w:rsidRPr="00DB02C0" w:rsidRDefault="00B07C64" w:rsidP="00D9369A">
      <w:pPr>
        <w:pStyle w:val="Antrat3"/>
        <w:numPr>
          <w:ilvl w:val="2"/>
          <w:numId w:val="25"/>
        </w:numPr>
        <w:rPr>
          <w:color w:val="auto"/>
        </w:rPr>
      </w:pPr>
      <w:r w:rsidRPr="00DB02C0">
        <w:rPr>
          <w:color w:val="auto"/>
        </w:rPr>
        <w:t>Elektros energetikos sistemos lankstumo - balansavimo paslaugų teikimo galimybių įvertinimas.</w:t>
      </w:r>
    </w:p>
    <w:p w14:paraId="296C3381" w14:textId="77777777" w:rsidR="00B07C64" w:rsidRPr="00DB02C0" w:rsidRDefault="00B07C64" w:rsidP="00D9369A">
      <w:pPr>
        <w:pStyle w:val="Antrat3"/>
        <w:numPr>
          <w:ilvl w:val="2"/>
          <w:numId w:val="25"/>
        </w:numPr>
        <w:rPr>
          <w:color w:val="auto"/>
        </w:rPr>
      </w:pPr>
      <w:r w:rsidRPr="00DB02C0">
        <w:rPr>
          <w:color w:val="auto"/>
        </w:rPr>
        <w:t>Šilumos akumuliavimo sprendimų integravimas gamybos šaltinių ir CŠT tinklo efektyvesniam darbui.</w:t>
      </w:r>
    </w:p>
    <w:p w14:paraId="3700A79E" w14:textId="77777777" w:rsidR="00B07C64" w:rsidRPr="00DB02C0" w:rsidRDefault="00B07C64" w:rsidP="00D9369A">
      <w:pPr>
        <w:pStyle w:val="Antrat3"/>
        <w:numPr>
          <w:ilvl w:val="2"/>
          <w:numId w:val="25"/>
        </w:numPr>
        <w:rPr>
          <w:color w:val="auto"/>
        </w:rPr>
      </w:pPr>
      <w:r w:rsidRPr="00DB02C0">
        <w:rPr>
          <w:color w:val="auto"/>
        </w:rPr>
        <w:t>Atsinaujinančių energijos šaltinių- saulės elektrinių, saulės kolektorių, šilumos siurblių ir kt. integravimo į CŠT sistemas planas iki 2034 m.</w:t>
      </w:r>
    </w:p>
    <w:p w14:paraId="2F2B2461" w14:textId="77777777" w:rsidR="00B07C64" w:rsidRPr="00DB02C0" w:rsidRDefault="00B07C64" w:rsidP="00D9369A">
      <w:pPr>
        <w:pStyle w:val="Antrat3"/>
        <w:numPr>
          <w:ilvl w:val="2"/>
          <w:numId w:val="25"/>
        </w:numPr>
        <w:rPr>
          <w:color w:val="auto"/>
        </w:rPr>
      </w:pPr>
      <w:r w:rsidRPr="00DB02C0">
        <w:rPr>
          <w:color w:val="auto"/>
        </w:rPr>
        <w:t>Centralizuotai tiekiamos vėsumos potencialo įvertinimas ir paslaugos plėtros planas.</w:t>
      </w:r>
    </w:p>
    <w:p w14:paraId="251F57C2" w14:textId="77777777" w:rsidR="00B07C64" w:rsidRPr="00DB02C0" w:rsidRDefault="00B07C64" w:rsidP="00D9369A">
      <w:pPr>
        <w:pStyle w:val="Antrat3"/>
        <w:numPr>
          <w:ilvl w:val="2"/>
          <w:numId w:val="25"/>
        </w:numPr>
        <w:rPr>
          <w:color w:val="auto"/>
        </w:rPr>
      </w:pPr>
      <w:r w:rsidRPr="00DB02C0">
        <w:rPr>
          <w:color w:val="auto"/>
        </w:rPr>
        <w:t>Atliekinės šilumos panaudojimo potencialo vertinimas bei ilgalaikis planavimas KE CŠT sistemose.</w:t>
      </w:r>
    </w:p>
    <w:p w14:paraId="3E7681FF" w14:textId="77777777" w:rsidR="00B07C64" w:rsidRPr="00DB02C0" w:rsidRDefault="00B07C64" w:rsidP="00D9369A">
      <w:pPr>
        <w:pStyle w:val="Antrat3"/>
        <w:numPr>
          <w:ilvl w:val="2"/>
          <w:numId w:val="25"/>
        </w:numPr>
        <w:rPr>
          <w:color w:val="auto"/>
        </w:rPr>
      </w:pPr>
      <w:r w:rsidRPr="00DB02C0">
        <w:rPr>
          <w:color w:val="auto"/>
        </w:rPr>
        <w:t>Išmanios apskaitos sprendimai.</w:t>
      </w:r>
    </w:p>
    <w:p w14:paraId="6365E947" w14:textId="77777777" w:rsidR="00B07C64" w:rsidRPr="00DB02C0" w:rsidRDefault="00B07C64" w:rsidP="00D9369A">
      <w:pPr>
        <w:pStyle w:val="Antrat3"/>
        <w:numPr>
          <w:ilvl w:val="2"/>
          <w:numId w:val="25"/>
        </w:numPr>
        <w:rPr>
          <w:color w:val="auto"/>
        </w:rPr>
      </w:pPr>
      <w:r w:rsidRPr="00DB02C0">
        <w:rPr>
          <w:color w:val="auto"/>
        </w:rPr>
        <w:t>Šilumos punktų priežiūros paslaugų teikimas.</w:t>
      </w:r>
    </w:p>
    <w:p w14:paraId="57B33A3C" w14:textId="77777777" w:rsidR="00B07C64" w:rsidRPr="00DB02C0" w:rsidRDefault="00B07C64" w:rsidP="00D9369A">
      <w:pPr>
        <w:pStyle w:val="Antrat3"/>
        <w:numPr>
          <w:ilvl w:val="2"/>
          <w:numId w:val="25"/>
        </w:numPr>
        <w:rPr>
          <w:color w:val="auto"/>
        </w:rPr>
      </w:pPr>
      <w:r w:rsidRPr="00DB02C0">
        <w:rPr>
          <w:color w:val="auto"/>
        </w:rPr>
        <w:t>Energetinio efektyvumo paslaugos ir jų potencialas šilumos ir vėsumos sektoriuje.</w:t>
      </w:r>
    </w:p>
    <w:p w14:paraId="187FB732" w14:textId="76A3BA6C" w:rsidR="00261B16" w:rsidRPr="00DB02C0" w:rsidRDefault="00261B16" w:rsidP="00261B16">
      <w:pPr>
        <w:suppressAutoHyphens w:val="0"/>
      </w:pPr>
      <w:r w:rsidRPr="00DB02C0">
        <w:br w:type="page"/>
      </w:r>
    </w:p>
    <w:p w14:paraId="64A66BC4" w14:textId="60ABD0FB" w:rsidR="00DD6D53" w:rsidRPr="00DB02C0" w:rsidRDefault="00DD6D53" w:rsidP="00DD6D53">
      <w:pPr>
        <w:pStyle w:val="Antrat1"/>
      </w:pPr>
      <w:bookmarkStart w:id="50" w:name="_Toc167181189"/>
      <w:r w:rsidRPr="00DB02C0">
        <w:lastRenderedPageBreak/>
        <w:t xml:space="preserve">SKYRIUS : </w:t>
      </w:r>
      <w:r w:rsidRPr="00DB02C0">
        <w:br/>
      </w:r>
      <w:r w:rsidR="00E0139B" w:rsidRPr="00DB02C0">
        <w:t>Bendrieji ir papildomi reikalavimai</w:t>
      </w:r>
      <w:bookmarkEnd w:id="50"/>
    </w:p>
    <w:p w14:paraId="157EC328" w14:textId="77777777" w:rsidR="00292438" w:rsidRPr="00DB02C0" w:rsidRDefault="00292438" w:rsidP="00292438">
      <w:pPr>
        <w:pStyle w:val="Antrat2"/>
        <w:numPr>
          <w:ilvl w:val="0"/>
          <w:numId w:val="0"/>
        </w:numPr>
        <w:ind w:left="578" w:hanging="578"/>
        <w:rPr>
          <w:color w:val="auto"/>
        </w:rPr>
      </w:pPr>
    </w:p>
    <w:p w14:paraId="60A0F594" w14:textId="197E4EA0" w:rsidR="00B73A42" w:rsidRPr="00DB02C0" w:rsidRDefault="007533C6" w:rsidP="00B73A42">
      <w:pPr>
        <w:pStyle w:val="Antrat2"/>
        <w:jc w:val="both"/>
        <w:rPr>
          <w:rFonts w:eastAsia="Calibri" w:cstheme="minorHAnsi"/>
          <w:color w:val="auto"/>
        </w:rPr>
      </w:pPr>
      <w:r>
        <w:rPr>
          <w:rFonts w:eastAsia="Calibri" w:cstheme="minorHAnsi"/>
          <w:color w:val="auto"/>
        </w:rPr>
        <w:t xml:space="preserve">Sutarties galiojimo laikotarpis – 7 (septyni) mėnesiai nuo Sutarties pasirašymo dienos. </w:t>
      </w:r>
      <w:r w:rsidR="00B73A42" w:rsidRPr="00DB02C0">
        <w:rPr>
          <w:rFonts w:eastAsia="Calibri" w:cstheme="minorHAnsi"/>
          <w:color w:val="auto"/>
        </w:rPr>
        <w:t xml:space="preserve">Paslaugos </w:t>
      </w:r>
      <w:r>
        <w:rPr>
          <w:rFonts w:eastAsia="Calibri" w:cstheme="minorHAnsi"/>
          <w:color w:val="auto"/>
        </w:rPr>
        <w:t>rezultato pateikimo</w:t>
      </w:r>
      <w:r w:rsidRPr="00DB02C0">
        <w:rPr>
          <w:rFonts w:eastAsia="Calibri" w:cstheme="minorHAnsi"/>
          <w:color w:val="auto"/>
        </w:rPr>
        <w:t xml:space="preserve"> </w:t>
      </w:r>
      <w:r w:rsidR="00B73A42" w:rsidRPr="00DB02C0">
        <w:rPr>
          <w:rFonts w:eastAsia="Calibri" w:cstheme="minorHAnsi"/>
          <w:color w:val="auto"/>
        </w:rPr>
        <w:t xml:space="preserve">terminas </w:t>
      </w:r>
      <w:r>
        <w:rPr>
          <w:rFonts w:eastAsia="Calibri" w:cstheme="minorHAnsi"/>
          <w:color w:val="auto"/>
        </w:rPr>
        <w:t>–</w:t>
      </w:r>
      <w:r w:rsidR="004E2924" w:rsidRPr="00DB02C0">
        <w:rPr>
          <w:rFonts w:eastAsia="Calibri" w:cstheme="minorHAnsi"/>
          <w:color w:val="auto"/>
        </w:rPr>
        <w:t xml:space="preserve"> </w:t>
      </w:r>
      <w:r>
        <w:rPr>
          <w:rFonts w:eastAsia="Calibri" w:cstheme="minorHAnsi"/>
          <w:color w:val="auto"/>
        </w:rPr>
        <w:t xml:space="preserve">ne vėliau kaip per </w:t>
      </w:r>
      <w:r w:rsidR="00B73A42" w:rsidRPr="00DB02C0">
        <w:rPr>
          <w:rFonts w:eastAsia="Calibri" w:cstheme="minorHAnsi"/>
          <w:color w:val="auto"/>
        </w:rPr>
        <w:t xml:space="preserve">5 </w:t>
      </w:r>
      <w:r>
        <w:rPr>
          <w:rFonts w:eastAsia="Calibri" w:cstheme="minorHAnsi"/>
          <w:color w:val="auto"/>
        </w:rPr>
        <w:t xml:space="preserve">(penkis) </w:t>
      </w:r>
      <w:r w:rsidR="00B73A42" w:rsidRPr="00DB02C0">
        <w:rPr>
          <w:rFonts w:eastAsia="Calibri" w:cstheme="minorHAnsi"/>
          <w:color w:val="auto"/>
        </w:rPr>
        <w:t>mėn</w:t>
      </w:r>
      <w:r>
        <w:rPr>
          <w:rFonts w:eastAsia="Calibri" w:cstheme="minorHAnsi"/>
          <w:color w:val="auto"/>
        </w:rPr>
        <w:t>esius</w:t>
      </w:r>
      <w:r w:rsidR="00B73A42" w:rsidRPr="00DB02C0">
        <w:rPr>
          <w:rFonts w:eastAsia="Calibri" w:cstheme="minorHAnsi"/>
          <w:color w:val="auto"/>
        </w:rPr>
        <w:t xml:space="preserve"> nuo sutarties pasirašymo dienos</w:t>
      </w:r>
      <w:r>
        <w:rPr>
          <w:rFonts w:eastAsia="Calibri" w:cstheme="minorHAnsi"/>
          <w:color w:val="auto"/>
        </w:rPr>
        <w:t>,</w:t>
      </w:r>
      <w:r w:rsidR="00B73A42" w:rsidRPr="00DB02C0">
        <w:rPr>
          <w:rFonts w:eastAsia="Calibri" w:cstheme="minorHAnsi"/>
          <w:color w:val="auto"/>
        </w:rPr>
        <w:t xml:space="preserve"> su galimybe </w:t>
      </w:r>
      <w:r>
        <w:rPr>
          <w:rFonts w:eastAsia="Calibri" w:cstheme="minorHAnsi"/>
          <w:color w:val="auto"/>
        </w:rPr>
        <w:t xml:space="preserve">šalių rašytiniu susitarimu </w:t>
      </w:r>
      <w:r w:rsidR="00B73A42" w:rsidRPr="00DB02C0">
        <w:rPr>
          <w:rFonts w:eastAsia="Calibri" w:cstheme="minorHAnsi"/>
          <w:color w:val="auto"/>
        </w:rPr>
        <w:t xml:space="preserve">pratęsti terminą 30 </w:t>
      </w:r>
      <w:r>
        <w:rPr>
          <w:rFonts w:eastAsia="Calibri" w:cstheme="minorHAnsi"/>
          <w:color w:val="auto"/>
        </w:rPr>
        <w:t xml:space="preserve">(trisdešimt) </w:t>
      </w:r>
      <w:r w:rsidR="00B73A42" w:rsidRPr="00DB02C0">
        <w:rPr>
          <w:rFonts w:eastAsia="Calibri" w:cstheme="minorHAnsi"/>
          <w:color w:val="auto"/>
        </w:rPr>
        <w:t>d</w:t>
      </w:r>
      <w:r>
        <w:rPr>
          <w:rFonts w:eastAsia="Calibri" w:cstheme="minorHAnsi"/>
          <w:color w:val="auto"/>
        </w:rPr>
        <w:t>ienų</w:t>
      </w:r>
      <w:r w:rsidR="00B73A42" w:rsidRPr="00DB02C0">
        <w:rPr>
          <w:rFonts w:eastAsia="Calibri" w:cstheme="minorHAnsi"/>
          <w:color w:val="auto"/>
        </w:rPr>
        <w:t>.</w:t>
      </w:r>
    </w:p>
    <w:p w14:paraId="5E62869A" w14:textId="7D1E323C" w:rsidR="004C0F8C" w:rsidRPr="00DB02C0" w:rsidRDefault="004C0F8C" w:rsidP="001A5155">
      <w:pPr>
        <w:pStyle w:val="Antrat2"/>
        <w:jc w:val="both"/>
        <w:rPr>
          <w:rFonts w:eastAsia="Calibri" w:cstheme="minorHAnsi"/>
          <w:color w:val="auto"/>
        </w:rPr>
      </w:pPr>
      <w:r w:rsidRPr="00DB02C0">
        <w:rPr>
          <w:rFonts w:eastAsia="Calibri" w:cstheme="minorHAnsi"/>
          <w:color w:val="auto"/>
        </w:rPr>
        <w:t>Investicijų planavimo modelio ir Investicijų plano p</w:t>
      </w:r>
      <w:r w:rsidR="00B243B6" w:rsidRPr="00DB02C0">
        <w:rPr>
          <w:rFonts w:eastAsia="Calibri" w:cstheme="minorHAnsi"/>
          <w:color w:val="auto"/>
        </w:rPr>
        <w:t>lanavimo laikotarpis 2025-2035 metai.</w:t>
      </w:r>
    </w:p>
    <w:p w14:paraId="25159F92" w14:textId="1F12AB8A" w:rsidR="00D9369A" w:rsidRDefault="00E108F6" w:rsidP="00D9369A">
      <w:pPr>
        <w:pStyle w:val="Antrat2"/>
        <w:jc w:val="both"/>
        <w:rPr>
          <w:rFonts w:eastAsia="Calibri" w:cstheme="minorHAnsi"/>
          <w:color w:val="auto"/>
        </w:rPr>
      </w:pPr>
      <w:r w:rsidRPr="00DB02C0">
        <w:rPr>
          <w:rFonts w:eastAsia="Calibri" w:cstheme="minorHAnsi"/>
          <w:color w:val="auto"/>
        </w:rPr>
        <w:t>Investicijų planavimo modelis ir Investicijų planas</w:t>
      </w:r>
      <w:r w:rsidR="00D9369A" w:rsidRPr="00DB02C0">
        <w:rPr>
          <w:rFonts w:eastAsia="Calibri" w:cstheme="minorHAnsi"/>
          <w:color w:val="auto"/>
        </w:rPr>
        <w:t xml:space="preserve"> turi būti rengiami </w:t>
      </w:r>
      <w:r w:rsidR="007E6B9E" w:rsidRPr="00DB02C0">
        <w:rPr>
          <w:rFonts w:eastAsia="Calibri" w:cstheme="minorHAnsi"/>
          <w:color w:val="auto"/>
        </w:rPr>
        <w:t>vadovaujantis</w:t>
      </w:r>
      <w:r w:rsidR="00D9369A" w:rsidRPr="00DB02C0">
        <w:rPr>
          <w:rFonts w:eastAsia="Calibri" w:cstheme="minorHAnsi"/>
          <w:color w:val="auto"/>
        </w:rPr>
        <w:t xml:space="preserve"> su pirkimo objektu susijusių teisės aktų</w:t>
      </w:r>
      <w:r w:rsidR="007E6B9E" w:rsidRPr="00DB02C0">
        <w:rPr>
          <w:rFonts w:eastAsia="Calibri" w:cstheme="minorHAnsi"/>
          <w:color w:val="auto"/>
        </w:rPr>
        <w:t xml:space="preserve"> aktualiomis redakcijomis</w:t>
      </w:r>
      <w:r w:rsidR="0049657D" w:rsidRPr="00DB02C0">
        <w:rPr>
          <w:rFonts w:eastAsia="Calibri" w:cstheme="minorHAnsi"/>
          <w:color w:val="auto"/>
        </w:rPr>
        <w:t>.</w:t>
      </w:r>
    </w:p>
    <w:p w14:paraId="5F8FB70D" w14:textId="5ECE0305" w:rsidR="001A5155" w:rsidRPr="00DB02C0" w:rsidRDefault="00D13008" w:rsidP="001A5155">
      <w:pPr>
        <w:pStyle w:val="Antrat2"/>
        <w:jc w:val="both"/>
        <w:rPr>
          <w:color w:val="auto"/>
        </w:rPr>
      </w:pPr>
      <w:r w:rsidRPr="00DB02C0">
        <w:rPr>
          <w:rFonts w:eastAsia="Calibri" w:cstheme="minorHAnsi"/>
          <w:color w:val="auto"/>
        </w:rPr>
        <w:t>Investicijų planavimo modelis ir</w:t>
      </w:r>
      <w:r w:rsidRPr="00DB02C0">
        <w:rPr>
          <w:rFonts w:eastAsia="Calibri" w:cstheme="minorHAnsi"/>
          <w:b/>
          <w:bCs/>
          <w:color w:val="auto"/>
        </w:rPr>
        <w:t xml:space="preserve"> </w:t>
      </w:r>
      <w:r w:rsidRPr="00DB02C0">
        <w:rPr>
          <w:rFonts w:eastAsia="Calibri" w:cstheme="minorHAnsi"/>
          <w:color w:val="auto"/>
        </w:rPr>
        <w:t xml:space="preserve">Investicijų planas </w:t>
      </w:r>
      <w:r w:rsidR="001A5155" w:rsidRPr="00DB02C0">
        <w:rPr>
          <w:color w:val="auto"/>
        </w:rPr>
        <w:t xml:space="preserve">turi būti suformuotas ir teikiamas Užsakovo derinimui *.pdf, *.docx, *.xlsx formatu, o esant brėžiniams, jie turi būti pateikti ir *.dwg formatu. Galutinai suderinti ir patvirtinti dokumentai </w:t>
      </w:r>
      <w:r w:rsidR="00BD5D05" w:rsidRPr="00DB02C0">
        <w:rPr>
          <w:color w:val="auto"/>
        </w:rPr>
        <w:t>Bendrovei</w:t>
      </w:r>
      <w:r w:rsidR="001A5155" w:rsidRPr="00DB02C0">
        <w:rPr>
          <w:color w:val="auto"/>
        </w:rPr>
        <w:t xml:space="preserve"> pateikiami visais </w:t>
      </w:r>
      <w:r w:rsidR="007533C6">
        <w:rPr>
          <w:color w:val="auto"/>
        </w:rPr>
        <w:t xml:space="preserve">aukščiau </w:t>
      </w:r>
      <w:r w:rsidR="001A5155" w:rsidRPr="00DB02C0">
        <w:rPr>
          <w:color w:val="auto"/>
        </w:rPr>
        <w:t>nurodytais formatais. Visi dokumentai teikiami lietuvių kalba.</w:t>
      </w:r>
    </w:p>
    <w:p w14:paraId="535CF841" w14:textId="666C4A2F" w:rsidR="002B4A94" w:rsidRPr="002B4A94" w:rsidRDefault="002B4A94" w:rsidP="00C96E35">
      <w:pPr>
        <w:pStyle w:val="Antrat2"/>
        <w:jc w:val="both"/>
        <w:rPr>
          <w:rFonts w:eastAsia="Calibri" w:cstheme="minorHAnsi"/>
          <w:color w:val="auto"/>
        </w:rPr>
      </w:pPr>
      <w:r w:rsidRPr="002B4A94">
        <w:rPr>
          <w:rFonts w:eastAsia="Calibri" w:cstheme="minorHAnsi"/>
          <w:color w:val="auto"/>
        </w:rPr>
        <w:t>Užsakovas teikia visus reikalingus duomenis,</w:t>
      </w:r>
      <w:r w:rsidR="00CF0EEA">
        <w:rPr>
          <w:rFonts w:eastAsia="Calibri" w:cstheme="minorHAnsi"/>
          <w:color w:val="auto"/>
        </w:rPr>
        <w:t xml:space="preserve"> reikalingus Paslaugos teikimui</w:t>
      </w:r>
      <w:r w:rsidR="00ED2018">
        <w:rPr>
          <w:rFonts w:eastAsia="Calibri" w:cstheme="minorHAnsi"/>
          <w:color w:val="auto"/>
        </w:rPr>
        <w:t>,</w:t>
      </w:r>
      <w:r w:rsidRPr="002B4A94">
        <w:rPr>
          <w:rFonts w:eastAsia="Calibri" w:cstheme="minorHAnsi"/>
          <w:color w:val="auto"/>
        </w:rPr>
        <w:t xml:space="preserve"> susijusius su Bendrovės strategija, šilumos ir elektros energijos gamybos, vartojimo poreikiais bei esamos infrastruktūros duomenimis.</w:t>
      </w:r>
    </w:p>
    <w:p w14:paraId="224189AE" w14:textId="6D6A8488" w:rsidR="00E24BD0" w:rsidRPr="00DB02C0" w:rsidRDefault="00E24BD0" w:rsidP="00D36961">
      <w:pPr>
        <w:pStyle w:val="Antrat2"/>
        <w:jc w:val="both"/>
        <w:rPr>
          <w:rFonts w:eastAsia="Calibri" w:cstheme="minorHAnsi"/>
          <w:color w:val="auto"/>
        </w:rPr>
      </w:pPr>
      <w:r w:rsidRPr="00DB02C0">
        <w:rPr>
          <w:rFonts w:eastAsia="Calibri" w:cstheme="minorHAnsi"/>
          <w:color w:val="auto"/>
        </w:rPr>
        <w:t xml:space="preserve">Paslaugos teikėjas ne rečiau kaip </w:t>
      </w:r>
      <w:r w:rsidR="00E06EF9">
        <w:rPr>
          <w:rFonts w:eastAsia="Calibri" w:cstheme="minorHAnsi"/>
          <w:color w:val="auto"/>
        </w:rPr>
        <w:t xml:space="preserve">1 (vieną) </w:t>
      </w:r>
      <w:r w:rsidRPr="00DB02C0">
        <w:rPr>
          <w:rFonts w:eastAsia="Calibri" w:cstheme="minorHAnsi"/>
          <w:color w:val="auto"/>
        </w:rPr>
        <w:t xml:space="preserve">kartą per 4 </w:t>
      </w:r>
      <w:r w:rsidR="00E06EF9">
        <w:rPr>
          <w:rFonts w:eastAsia="Calibri" w:cstheme="minorHAnsi"/>
          <w:color w:val="auto"/>
        </w:rPr>
        <w:t xml:space="preserve">(keturias) </w:t>
      </w:r>
      <w:r w:rsidRPr="00DB02C0">
        <w:rPr>
          <w:rFonts w:eastAsia="Calibri" w:cstheme="minorHAnsi"/>
          <w:color w:val="auto"/>
        </w:rPr>
        <w:t xml:space="preserve">savaites teikia Užsakovui </w:t>
      </w:r>
      <w:r w:rsidR="00E06EF9">
        <w:rPr>
          <w:rFonts w:eastAsia="Calibri" w:cstheme="minorHAnsi"/>
          <w:color w:val="auto"/>
        </w:rPr>
        <w:t>paslaugų teikimo</w:t>
      </w:r>
      <w:r w:rsidR="00E06EF9" w:rsidRPr="00DB02C0">
        <w:rPr>
          <w:rFonts w:eastAsia="Calibri" w:cstheme="minorHAnsi"/>
          <w:color w:val="auto"/>
        </w:rPr>
        <w:t xml:space="preserve"> </w:t>
      </w:r>
      <w:r w:rsidR="002C1B9B" w:rsidRPr="00DB02C0">
        <w:rPr>
          <w:rFonts w:eastAsia="Calibri" w:cstheme="minorHAnsi"/>
          <w:color w:val="auto"/>
        </w:rPr>
        <w:t>tarpinius</w:t>
      </w:r>
      <w:r w:rsidRPr="00DB02C0">
        <w:rPr>
          <w:rFonts w:eastAsia="Calibri" w:cstheme="minorHAnsi"/>
          <w:color w:val="auto"/>
        </w:rPr>
        <w:t xml:space="preserve"> rezultatus</w:t>
      </w:r>
      <w:r w:rsidR="002C1B9B" w:rsidRPr="00DB02C0">
        <w:rPr>
          <w:rFonts w:eastAsia="Calibri" w:cstheme="minorHAnsi"/>
          <w:color w:val="auto"/>
        </w:rPr>
        <w:t>.</w:t>
      </w:r>
    </w:p>
    <w:p w14:paraId="72DB58DA" w14:textId="1E5D97AC" w:rsidR="00D4523E" w:rsidRPr="00DB02C0" w:rsidRDefault="00D4523E" w:rsidP="00D4523E">
      <w:pPr>
        <w:pStyle w:val="Antrat2"/>
        <w:jc w:val="both"/>
        <w:rPr>
          <w:color w:val="auto"/>
        </w:rPr>
      </w:pPr>
      <w:r w:rsidRPr="00DB02C0">
        <w:rPr>
          <w:color w:val="auto"/>
        </w:rPr>
        <w:t>Tarpiniai susitikimai su Užsakovo atstovais</w:t>
      </w:r>
      <w:r w:rsidR="00E06EF9">
        <w:rPr>
          <w:color w:val="auto"/>
        </w:rPr>
        <w:t xml:space="preserve"> bus </w:t>
      </w:r>
      <w:r w:rsidRPr="00DB02C0">
        <w:rPr>
          <w:color w:val="auto"/>
        </w:rPr>
        <w:t>organizuojami pagal poreikį</w:t>
      </w:r>
      <w:r w:rsidR="00333640" w:rsidRPr="00DB02C0">
        <w:rPr>
          <w:color w:val="auto"/>
        </w:rPr>
        <w:t xml:space="preserve"> Teikėjo iniciatyva.</w:t>
      </w:r>
    </w:p>
    <w:p w14:paraId="47131E89" w14:textId="246FF255" w:rsidR="004F50B0" w:rsidRPr="00DB02C0" w:rsidRDefault="004F50B0" w:rsidP="004F50B0">
      <w:pPr>
        <w:pStyle w:val="Antrat2"/>
        <w:jc w:val="both"/>
        <w:rPr>
          <w:color w:val="auto"/>
        </w:rPr>
      </w:pPr>
      <w:r w:rsidRPr="00DB02C0">
        <w:rPr>
          <w:color w:val="auto"/>
        </w:rPr>
        <w:t xml:space="preserve">Rengiant </w:t>
      </w:r>
      <w:r w:rsidR="00D4506C" w:rsidRPr="00DB02C0">
        <w:rPr>
          <w:rFonts w:eastAsia="Calibri" w:cstheme="minorHAnsi"/>
          <w:color w:val="auto"/>
        </w:rPr>
        <w:t>Investicijų planavimo modelį ir</w:t>
      </w:r>
      <w:r w:rsidR="00D4506C" w:rsidRPr="00DB02C0">
        <w:rPr>
          <w:rFonts w:eastAsia="Calibri" w:cstheme="minorHAnsi"/>
          <w:b/>
          <w:bCs/>
          <w:color w:val="auto"/>
        </w:rPr>
        <w:t xml:space="preserve"> </w:t>
      </w:r>
      <w:r w:rsidR="00D4506C" w:rsidRPr="00DB02C0">
        <w:rPr>
          <w:rFonts w:eastAsia="Calibri" w:cstheme="minorHAnsi"/>
          <w:color w:val="auto"/>
        </w:rPr>
        <w:t>Investicijų planą</w:t>
      </w:r>
      <w:r w:rsidRPr="00DB02C0">
        <w:rPr>
          <w:color w:val="auto"/>
        </w:rPr>
        <w:t>, privaloma j</w:t>
      </w:r>
      <w:r w:rsidR="00D4506C" w:rsidRPr="00DB02C0">
        <w:rPr>
          <w:color w:val="auto"/>
        </w:rPr>
        <w:t>ų</w:t>
      </w:r>
      <w:r w:rsidRPr="00DB02C0">
        <w:rPr>
          <w:color w:val="auto"/>
        </w:rPr>
        <w:t xml:space="preserve"> sprendinius derinti su Užsakovu, kadangi gali būti teikiamos pastabos patikslinimui, ištaisyti galimiems trūkumams. Dėl pateiktų Užsakovo pastabų, galimų trūkumų Teikėjas privalo atsakyti ir informuoti Užsakovą ne vėliau kaip per 5 </w:t>
      </w:r>
      <w:r w:rsidR="00E06EF9">
        <w:rPr>
          <w:color w:val="auto"/>
        </w:rPr>
        <w:t xml:space="preserve">(penkias) </w:t>
      </w:r>
      <w:r w:rsidRPr="00DB02C0">
        <w:rPr>
          <w:color w:val="auto"/>
        </w:rPr>
        <w:t>d. d nuo pastabų iš Užsakovo gavimo dienos.</w:t>
      </w:r>
    </w:p>
    <w:p w14:paraId="43873D32" w14:textId="3BA0B125" w:rsidR="004F50B0" w:rsidRPr="00DB02C0" w:rsidRDefault="004F50B0" w:rsidP="004F50B0">
      <w:pPr>
        <w:pStyle w:val="Antrat2"/>
        <w:jc w:val="both"/>
        <w:rPr>
          <w:color w:val="auto"/>
        </w:rPr>
      </w:pPr>
      <w:r w:rsidRPr="00DB02C0">
        <w:rPr>
          <w:color w:val="auto"/>
        </w:rPr>
        <w:t xml:space="preserve">Teikėjas privalo suderinti </w:t>
      </w:r>
      <w:r w:rsidR="00D4506C" w:rsidRPr="00DB02C0">
        <w:rPr>
          <w:rFonts w:eastAsia="Calibri" w:cstheme="minorHAnsi"/>
          <w:color w:val="auto"/>
        </w:rPr>
        <w:t>Investicijų planavimo modelį ir</w:t>
      </w:r>
      <w:r w:rsidR="00D4506C" w:rsidRPr="00DB02C0">
        <w:rPr>
          <w:rFonts w:eastAsia="Calibri" w:cstheme="minorHAnsi"/>
          <w:b/>
          <w:bCs/>
          <w:color w:val="auto"/>
        </w:rPr>
        <w:t xml:space="preserve"> </w:t>
      </w:r>
      <w:r w:rsidR="00D4506C" w:rsidRPr="00DB02C0">
        <w:rPr>
          <w:rFonts w:eastAsia="Calibri" w:cstheme="minorHAnsi"/>
          <w:color w:val="auto"/>
        </w:rPr>
        <w:t xml:space="preserve">Investicijų planą </w:t>
      </w:r>
      <w:r w:rsidRPr="00DB02C0">
        <w:rPr>
          <w:color w:val="auto"/>
        </w:rPr>
        <w:t xml:space="preserve">su Užsakovu. Užsakovas vertina ir priima sprendimą patvirtinti </w:t>
      </w:r>
      <w:r w:rsidR="00D4506C" w:rsidRPr="00DB02C0">
        <w:rPr>
          <w:rFonts w:eastAsia="Calibri" w:cstheme="minorHAnsi"/>
          <w:color w:val="auto"/>
        </w:rPr>
        <w:t>Investicijų planavimo model</w:t>
      </w:r>
      <w:r w:rsidR="00121ECD" w:rsidRPr="00DB02C0">
        <w:rPr>
          <w:rFonts w:eastAsia="Calibri" w:cstheme="minorHAnsi"/>
          <w:color w:val="auto"/>
        </w:rPr>
        <w:t>į</w:t>
      </w:r>
      <w:r w:rsidR="00D4506C" w:rsidRPr="00DB02C0">
        <w:rPr>
          <w:rFonts w:eastAsia="Calibri" w:cstheme="minorHAnsi"/>
          <w:color w:val="auto"/>
        </w:rPr>
        <w:t xml:space="preserve"> ir</w:t>
      </w:r>
      <w:r w:rsidR="00D4506C" w:rsidRPr="00DB02C0">
        <w:rPr>
          <w:rFonts w:eastAsia="Calibri" w:cstheme="minorHAnsi"/>
          <w:b/>
          <w:bCs/>
          <w:color w:val="auto"/>
        </w:rPr>
        <w:t xml:space="preserve"> </w:t>
      </w:r>
      <w:r w:rsidR="00D4506C" w:rsidRPr="00DB02C0">
        <w:rPr>
          <w:rFonts w:eastAsia="Calibri" w:cstheme="minorHAnsi"/>
          <w:color w:val="auto"/>
        </w:rPr>
        <w:t>Investicijų plan</w:t>
      </w:r>
      <w:r w:rsidR="00121ECD" w:rsidRPr="00DB02C0">
        <w:rPr>
          <w:rFonts w:eastAsia="Calibri" w:cstheme="minorHAnsi"/>
          <w:color w:val="auto"/>
        </w:rPr>
        <w:t>ą</w:t>
      </w:r>
      <w:r w:rsidRPr="00DB02C0">
        <w:rPr>
          <w:color w:val="auto"/>
        </w:rPr>
        <w:t xml:space="preserve"> arba teikia jam pastabas per 10 </w:t>
      </w:r>
      <w:r w:rsidR="00E06EF9">
        <w:rPr>
          <w:color w:val="auto"/>
        </w:rPr>
        <w:t xml:space="preserve">(dešimt) </w:t>
      </w:r>
      <w:r w:rsidRPr="00DB02C0">
        <w:rPr>
          <w:color w:val="auto"/>
        </w:rPr>
        <w:t xml:space="preserve">d. d. nuo jo pateikimo Užsakovui dienos. Užsakovui pateikus pastabas </w:t>
      </w:r>
      <w:r w:rsidR="00121ECD" w:rsidRPr="00DB02C0">
        <w:rPr>
          <w:rFonts w:eastAsia="Calibri" w:cstheme="minorHAnsi"/>
          <w:color w:val="auto"/>
        </w:rPr>
        <w:t>Investicijų planavimo modelio ir</w:t>
      </w:r>
      <w:r w:rsidR="00121ECD" w:rsidRPr="00DB02C0">
        <w:rPr>
          <w:rFonts w:eastAsia="Calibri" w:cstheme="minorHAnsi"/>
          <w:b/>
          <w:bCs/>
          <w:color w:val="auto"/>
        </w:rPr>
        <w:t xml:space="preserve"> </w:t>
      </w:r>
      <w:r w:rsidR="00121ECD" w:rsidRPr="00DB02C0">
        <w:rPr>
          <w:rFonts w:eastAsia="Calibri" w:cstheme="minorHAnsi"/>
          <w:color w:val="auto"/>
        </w:rPr>
        <w:t>Investicijų plano</w:t>
      </w:r>
      <w:r w:rsidRPr="00DB02C0">
        <w:rPr>
          <w:color w:val="auto"/>
        </w:rPr>
        <w:t xml:space="preserve">, Teikėjas privalo ištaisyti nustatytus trūkumus ne vėliau kaip per 10 </w:t>
      </w:r>
      <w:r w:rsidR="00E06EF9">
        <w:rPr>
          <w:color w:val="auto"/>
        </w:rPr>
        <w:t xml:space="preserve">(dešimt) </w:t>
      </w:r>
      <w:r w:rsidRPr="00DB02C0">
        <w:rPr>
          <w:color w:val="auto"/>
        </w:rPr>
        <w:t xml:space="preserve">d. d. nuo pastabų gavimo dienos. </w:t>
      </w:r>
    </w:p>
    <w:p w14:paraId="36438653" w14:textId="7BA0034B" w:rsidR="004F50B0" w:rsidRPr="00DB02C0" w:rsidRDefault="004F50B0" w:rsidP="004F50B0">
      <w:pPr>
        <w:pStyle w:val="Antrat2"/>
        <w:jc w:val="both"/>
        <w:rPr>
          <w:color w:val="auto"/>
        </w:rPr>
      </w:pPr>
      <w:r w:rsidRPr="00DB02C0">
        <w:rPr>
          <w:color w:val="auto"/>
        </w:rPr>
        <w:t xml:space="preserve">Galutinis </w:t>
      </w:r>
      <w:r w:rsidR="00121ECD" w:rsidRPr="00DB02C0">
        <w:rPr>
          <w:rFonts w:eastAsia="Calibri" w:cstheme="minorHAnsi"/>
          <w:color w:val="auto"/>
        </w:rPr>
        <w:t>Investicijų planavimo modelio ir</w:t>
      </w:r>
      <w:r w:rsidR="00121ECD" w:rsidRPr="00DB02C0">
        <w:rPr>
          <w:rFonts w:eastAsia="Calibri" w:cstheme="minorHAnsi"/>
          <w:b/>
          <w:bCs/>
          <w:color w:val="auto"/>
        </w:rPr>
        <w:t xml:space="preserve"> </w:t>
      </w:r>
      <w:r w:rsidR="00121ECD" w:rsidRPr="00DB02C0">
        <w:rPr>
          <w:rFonts w:eastAsia="Calibri" w:cstheme="minorHAnsi"/>
          <w:color w:val="auto"/>
        </w:rPr>
        <w:t>Investicijų plano</w:t>
      </w:r>
      <w:r w:rsidRPr="00DB02C0">
        <w:rPr>
          <w:color w:val="auto"/>
        </w:rPr>
        <w:t xml:space="preserve"> priėmimas bus vykdomas j</w:t>
      </w:r>
      <w:r w:rsidR="00121ECD" w:rsidRPr="00DB02C0">
        <w:rPr>
          <w:color w:val="auto"/>
        </w:rPr>
        <w:t>uos</w:t>
      </w:r>
      <w:r w:rsidRPr="00DB02C0">
        <w:rPr>
          <w:color w:val="auto"/>
        </w:rPr>
        <w:t xml:space="preserve"> pristačius Užsakovo atstovams</w:t>
      </w:r>
      <w:r w:rsidR="003657CA">
        <w:rPr>
          <w:color w:val="auto"/>
        </w:rPr>
        <w:t xml:space="preserve"> gyvai adresu Raudondvario pl.</w:t>
      </w:r>
      <w:r w:rsidR="00F37764">
        <w:rPr>
          <w:color w:val="auto"/>
        </w:rPr>
        <w:t xml:space="preserve"> </w:t>
      </w:r>
      <w:r w:rsidR="003657CA">
        <w:rPr>
          <w:color w:val="auto"/>
        </w:rPr>
        <w:t>84</w:t>
      </w:r>
      <w:r w:rsidR="00F37764" w:rsidRPr="00F37764">
        <w:rPr>
          <w:color w:val="auto"/>
        </w:rPr>
        <w:t>, LT-47179 Kaunas</w:t>
      </w:r>
      <w:r w:rsidRPr="00DB02C0">
        <w:rPr>
          <w:color w:val="auto"/>
        </w:rPr>
        <w:t>, pateikus galutinį su Užsakovu suderintą ir Užsakovo vadovybės patvirtintą variantą elektroninėmis priemonėmis.</w:t>
      </w:r>
    </w:p>
    <w:p w14:paraId="48212FBA" w14:textId="0A2EACBB" w:rsidR="00B9270D" w:rsidRPr="00DB02C0" w:rsidRDefault="00B9270D" w:rsidP="00B9270D">
      <w:pPr>
        <w:pStyle w:val="Antrat2"/>
        <w:jc w:val="both"/>
        <w:rPr>
          <w:color w:val="auto"/>
        </w:rPr>
      </w:pPr>
      <w:r w:rsidRPr="00DB02C0">
        <w:rPr>
          <w:color w:val="auto"/>
        </w:rPr>
        <w:t xml:space="preserve">Teikėjas įsipareigoja parengtą ir suderintą </w:t>
      </w:r>
      <w:r w:rsidRPr="00DB02C0">
        <w:rPr>
          <w:rFonts w:eastAsia="Calibri" w:cstheme="minorHAnsi"/>
          <w:color w:val="auto"/>
        </w:rPr>
        <w:t>Investicijų planavimo modelį ir</w:t>
      </w:r>
      <w:r w:rsidRPr="00DB02C0">
        <w:rPr>
          <w:rFonts w:eastAsia="Calibri" w:cstheme="minorHAnsi"/>
          <w:b/>
          <w:bCs/>
          <w:color w:val="auto"/>
        </w:rPr>
        <w:t xml:space="preserve"> </w:t>
      </w:r>
      <w:r w:rsidRPr="00DB02C0">
        <w:rPr>
          <w:rFonts w:eastAsia="Calibri" w:cstheme="minorHAnsi"/>
          <w:color w:val="auto"/>
        </w:rPr>
        <w:t xml:space="preserve">Investicijų planą </w:t>
      </w:r>
      <w:r w:rsidRPr="00DB02C0">
        <w:rPr>
          <w:color w:val="auto"/>
        </w:rPr>
        <w:t xml:space="preserve">pristatyti </w:t>
      </w:r>
      <w:r w:rsidR="00A9054A">
        <w:rPr>
          <w:color w:val="auto"/>
        </w:rPr>
        <w:t xml:space="preserve">gyvai </w:t>
      </w:r>
      <w:r w:rsidRPr="00DB02C0">
        <w:rPr>
          <w:color w:val="auto"/>
        </w:rPr>
        <w:t>Bendrovės atstovams ir kitoms jo parinktoms suinteresuotosioms šalims</w:t>
      </w:r>
      <w:r w:rsidR="00B11F02">
        <w:rPr>
          <w:color w:val="auto"/>
        </w:rPr>
        <w:t xml:space="preserve">, </w:t>
      </w:r>
      <w:r w:rsidR="00482A15">
        <w:rPr>
          <w:color w:val="auto"/>
        </w:rPr>
        <w:t>į</w:t>
      </w:r>
      <w:r w:rsidR="00B11F02">
        <w:rPr>
          <w:color w:val="auto"/>
        </w:rPr>
        <w:t>skaitant, bet neapsiribojant Kauno miesto</w:t>
      </w:r>
      <w:r w:rsidR="00482A15">
        <w:rPr>
          <w:color w:val="auto"/>
        </w:rPr>
        <w:t>, Kauno bei Jurbarko rajonų</w:t>
      </w:r>
      <w:r w:rsidR="00B11F02">
        <w:rPr>
          <w:color w:val="auto"/>
        </w:rPr>
        <w:t xml:space="preserve"> savivaldyb</w:t>
      </w:r>
      <w:r w:rsidR="00482A15">
        <w:rPr>
          <w:color w:val="auto"/>
        </w:rPr>
        <w:t>ėms</w:t>
      </w:r>
      <w:r w:rsidRPr="00DB02C0">
        <w:rPr>
          <w:color w:val="auto"/>
        </w:rPr>
        <w:t xml:space="preserve"> su Užsakovu suderintu laiku. Numatoma, kad tokių pristatymų būtų ne daugiau </w:t>
      </w:r>
      <w:r w:rsidR="00C96E35">
        <w:rPr>
          <w:color w:val="auto"/>
        </w:rPr>
        <w:t xml:space="preserve">kaip </w:t>
      </w:r>
      <w:r w:rsidR="00A9054A">
        <w:rPr>
          <w:color w:val="auto"/>
        </w:rPr>
        <w:t>3</w:t>
      </w:r>
      <w:r w:rsidR="00E06EF9">
        <w:rPr>
          <w:color w:val="auto"/>
        </w:rPr>
        <w:t xml:space="preserve"> (</w:t>
      </w:r>
      <w:r w:rsidR="00A9054A">
        <w:rPr>
          <w:color w:val="auto"/>
        </w:rPr>
        <w:t>trys</w:t>
      </w:r>
      <w:r w:rsidR="00E06EF9">
        <w:rPr>
          <w:color w:val="auto"/>
        </w:rPr>
        <w:t>)</w:t>
      </w:r>
      <w:r w:rsidRPr="00DB02C0">
        <w:rPr>
          <w:color w:val="auto"/>
        </w:rPr>
        <w:t>.</w:t>
      </w:r>
    </w:p>
    <w:p w14:paraId="08BFFB87" w14:textId="77777777" w:rsidR="00B9270D" w:rsidRPr="00DB02C0" w:rsidRDefault="00B9270D" w:rsidP="00B9270D"/>
    <w:bookmarkEnd w:id="42"/>
    <w:bookmarkEnd w:id="43"/>
    <w:bookmarkEnd w:id="44"/>
    <w:bookmarkEnd w:id="45"/>
    <w:bookmarkEnd w:id="46"/>
    <w:bookmarkEnd w:id="47"/>
    <w:bookmarkEnd w:id="48"/>
    <w:bookmarkEnd w:id="49"/>
    <w:p w14:paraId="3945929E" w14:textId="77777777" w:rsidR="00C853E6" w:rsidRPr="00DB02C0" w:rsidRDefault="00C853E6" w:rsidP="00261B16">
      <w:pPr>
        <w:suppressAutoHyphens w:val="0"/>
      </w:pPr>
    </w:p>
    <w:p w14:paraId="4EAFDD61" w14:textId="3EC886E5" w:rsidR="00261B16" w:rsidRPr="00DB02C0" w:rsidRDefault="00261B16" w:rsidP="00261B16">
      <w:pPr>
        <w:suppressAutoHyphens w:val="0"/>
      </w:pPr>
    </w:p>
    <w:sectPr w:rsidR="00261B16" w:rsidRPr="00DB02C0" w:rsidSect="00FD72E8">
      <w:headerReference w:type="default" r:id="rId9"/>
      <w:footerReference w:type="default" r:id="rId10"/>
      <w:footerReference w:type="first" r:id="rId11"/>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BF31" w14:textId="77777777" w:rsidR="00EC4C9E" w:rsidRDefault="00EC4C9E">
      <w:r>
        <w:separator/>
      </w:r>
    </w:p>
  </w:endnote>
  <w:endnote w:type="continuationSeparator" w:id="0">
    <w:p w14:paraId="5E4C1BCC" w14:textId="77777777" w:rsidR="00EC4C9E" w:rsidRDefault="00EC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CC7996"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CC7996"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CC7996" w:rsidRDefault="00CC79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74F" w14:textId="660AFAAC" w:rsidR="008803AC" w:rsidRPr="008803AC" w:rsidRDefault="008803AC" w:rsidP="008803AC">
    <w:pPr>
      <w:suppressAutoHyphens w:val="0"/>
      <w:jc w:val="center"/>
      <w:rPr>
        <w:b/>
        <w:bCs/>
      </w:rPr>
    </w:pPr>
    <w:r w:rsidRPr="006718B3">
      <w:rPr>
        <w:b/>
        <w:bCs/>
      </w:rPr>
      <w:t>202</w:t>
    </w:r>
    <w:r w:rsidR="00017CCB">
      <w:rPr>
        <w:b/>
        <w:bCs/>
      </w:rPr>
      <w:t>4</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43CA" w14:textId="77777777" w:rsidR="00EC4C9E" w:rsidRDefault="00EC4C9E">
      <w:r>
        <w:rPr>
          <w:color w:val="000000"/>
        </w:rPr>
        <w:separator/>
      </w:r>
    </w:p>
  </w:footnote>
  <w:footnote w:type="continuationSeparator" w:id="0">
    <w:p w14:paraId="3EEC0572" w14:textId="77777777" w:rsidR="00EC4C9E" w:rsidRDefault="00EC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3A9" w14:textId="14689EEA" w:rsidR="00CC7996"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9"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13"/>
  </w:num>
  <w:num w:numId="3" w16cid:durableId="553126389">
    <w:abstractNumId w:val="21"/>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5"/>
  </w:num>
  <w:num w:numId="9" w16cid:durableId="897327073">
    <w:abstractNumId w:val="1"/>
  </w:num>
  <w:num w:numId="10" w16cid:durableId="471873448">
    <w:abstractNumId w:val="6"/>
  </w:num>
  <w:num w:numId="11" w16cid:durableId="1189566589">
    <w:abstractNumId w:val="19"/>
  </w:num>
  <w:num w:numId="12" w16cid:durableId="197863237">
    <w:abstractNumId w:val="20"/>
  </w:num>
  <w:num w:numId="13" w16cid:durableId="1330210567">
    <w:abstractNumId w:val="10"/>
  </w:num>
  <w:num w:numId="14" w16cid:durableId="1074549821">
    <w:abstractNumId w:val="9"/>
  </w:num>
  <w:num w:numId="15" w16cid:durableId="712770124">
    <w:abstractNumId w:val="22"/>
  </w:num>
  <w:num w:numId="16" w16cid:durableId="774056291">
    <w:abstractNumId w:val="11"/>
  </w:num>
  <w:num w:numId="17" w16cid:durableId="1198202802">
    <w:abstractNumId w:val="16"/>
  </w:num>
  <w:num w:numId="18" w16cid:durableId="49964230">
    <w:abstractNumId w:val="3"/>
  </w:num>
  <w:num w:numId="19" w16cid:durableId="712656440">
    <w:abstractNumId w:val="14"/>
  </w:num>
  <w:num w:numId="20" w16cid:durableId="981619393">
    <w:abstractNumId w:val="2"/>
  </w:num>
  <w:num w:numId="21" w16cid:durableId="1878614579">
    <w:abstractNumId w:val="17"/>
  </w:num>
  <w:num w:numId="22" w16cid:durableId="586618979">
    <w:abstractNumId w:val="0"/>
  </w:num>
  <w:num w:numId="23" w16cid:durableId="1237127659">
    <w:abstractNumId w:val="12"/>
  </w:num>
  <w:num w:numId="24" w16cid:durableId="1654482155">
    <w:abstractNumId w:val="18"/>
  </w:num>
  <w:num w:numId="25" w16cid:durableId="1516119031">
    <w:abstractNumId w:val="18"/>
    <w:lvlOverride w:ilvl="0">
      <w:lvl w:ilvl="0">
        <w:start w:val="1"/>
        <w:numFmt w:val="decimal"/>
        <w:pStyle w:val="Antrat1"/>
        <w:lvlText w:val="%1"/>
        <w:lvlJc w:val="left"/>
        <w:pPr>
          <w:ind w:left="4544"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6" w16cid:durableId="2030140511">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7" w16cid:durableId="227304289">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8" w16cid:durableId="1849249982">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9" w16cid:durableId="19861681">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0" w16cid:durableId="198250471">
    <w:abstractNumId w:val="18"/>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1002"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4461"/>
    <w:rsid w:val="00005260"/>
    <w:rsid w:val="00006E06"/>
    <w:rsid w:val="00011E6D"/>
    <w:rsid w:val="00017CCB"/>
    <w:rsid w:val="00017E95"/>
    <w:rsid w:val="000212CF"/>
    <w:rsid w:val="000223DC"/>
    <w:rsid w:val="00026608"/>
    <w:rsid w:val="00027DF7"/>
    <w:rsid w:val="00035BC8"/>
    <w:rsid w:val="00035FC5"/>
    <w:rsid w:val="0003708B"/>
    <w:rsid w:val="000607D5"/>
    <w:rsid w:val="00062FD2"/>
    <w:rsid w:val="0006537A"/>
    <w:rsid w:val="000663E9"/>
    <w:rsid w:val="0006697B"/>
    <w:rsid w:val="000701CB"/>
    <w:rsid w:val="000707E2"/>
    <w:rsid w:val="0007146D"/>
    <w:rsid w:val="00083B49"/>
    <w:rsid w:val="00091723"/>
    <w:rsid w:val="00093985"/>
    <w:rsid w:val="000960A4"/>
    <w:rsid w:val="000A1632"/>
    <w:rsid w:val="000B1618"/>
    <w:rsid w:val="000B299A"/>
    <w:rsid w:val="000B3468"/>
    <w:rsid w:val="000B5586"/>
    <w:rsid w:val="000C13D7"/>
    <w:rsid w:val="000C1C69"/>
    <w:rsid w:val="000D08B6"/>
    <w:rsid w:val="000D6F29"/>
    <w:rsid w:val="000F320E"/>
    <w:rsid w:val="000F6EEB"/>
    <w:rsid w:val="00100147"/>
    <w:rsid w:val="00101612"/>
    <w:rsid w:val="00111B21"/>
    <w:rsid w:val="0011608C"/>
    <w:rsid w:val="00121ECD"/>
    <w:rsid w:val="00122785"/>
    <w:rsid w:val="00124366"/>
    <w:rsid w:val="001311FD"/>
    <w:rsid w:val="00131510"/>
    <w:rsid w:val="001346BB"/>
    <w:rsid w:val="00140104"/>
    <w:rsid w:val="00142707"/>
    <w:rsid w:val="00143249"/>
    <w:rsid w:val="00144A1F"/>
    <w:rsid w:val="001479D7"/>
    <w:rsid w:val="001856BF"/>
    <w:rsid w:val="001863B3"/>
    <w:rsid w:val="001865CC"/>
    <w:rsid w:val="001865F9"/>
    <w:rsid w:val="001A4D24"/>
    <w:rsid w:val="001A5155"/>
    <w:rsid w:val="001A59B2"/>
    <w:rsid w:val="001B2508"/>
    <w:rsid w:val="001B6D4B"/>
    <w:rsid w:val="001C19FE"/>
    <w:rsid w:val="001C4487"/>
    <w:rsid w:val="001D3DD7"/>
    <w:rsid w:val="001D6674"/>
    <w:rsid w:val="001D7963"/>
    <w:rsid w:val="001E4504"/>
    <w:rsid w:val="00200BAC"/>
    <w:rsid w:val="00200D3A"/>
    <w:rsid w:val="002028CA"/>
    <w:rsid w:val="00202E2D"/>
    <w:rsid w:val="0020512D"/>
    <w:rsid w:val="00215A98"/>
    <w:rsid w:val="00221D82"/>
    <w:rsid w:val="00223044"/>
    <w:rsid w:val="002236C9"/>
    <w:rsid w:val="00224547"/>
    <w:rsid w:val="002303C5"/>
    <w:rsid w:val="0023378B"/>
    <w:rsid w:val="002370F2"/>
    <w:rsid w:val="00244D9B"/>
    <w:rsid w:val="002478FC"/>
    <w:rsid w:val="00253D14"/>
    <w:rsid w:val="00254874"/>
    <w:rsid w:val="0026036A"/>
    <w:rsid w:val="00261B16"/>
    <w:rsid w:val="002628FE"/>
    <w:rsid w:val="0028139D"/>
    <w:rsid w:val="0028776A"/>
    <w:rsid w:val="00292438"/>
    <w:rsid w:val="002961C6"/>
    <w:rsid w:val="002A783C"/>
    <w:rsid w:val="002B177E"/>
    <w:rsid w:val="002B24C6"/>
    <w:rsid w:val="002B2FC8"/>
    <w:rsid w:val="002B4A94"/>
    <w:rsid w:val="002B4B05"/>
    <w:rsid w:val="002B5288"/>
    <w:rsid w:val="002B5382"/>
    <w:rsid w:val="002B6038"/>
    <w:rsid w:val="002B6FDE"/>
    <w:rsid w:val="002C1B9B"/>
    <w:rsid w:val="002C63D0"/>
    <w:rsid w:val="002E23B4"/>
    <w:rsid w:val="002E4A0C"/>
    <w:rsid w:val="002F0A73"/>
    <w:rsid w:val="002F1ED8"/>
    <w:rsid w:val="002F3AA7"/>
    <w:rsid w:val="002F5A47"/>
    <w:rsid w:val="002F704C"/>
    <w:rsid w:val="00301D87"/>
    <w:rsid w:val="00305B8C"/>
    <w:rsid w:val="00307560"/>
    <w:rsid w:val="003151B6"/>
    <w:rsid w:val="00316302"/>
    <w:rsid w:val="00317D11"/>
    <w:rsid w:val="00324974"/>
    <w:rsid w:val="00327C87"/>
    <w:rsid w:val="00333640"/>
    <w:rsid w:val="00337DD4"/>
    <w:rsid w:val="003431B3"/>
    <w:rsid w:val="00344D9D"/>
    <w:rsid w:val="00346103"/>
    <w:rsid w:val="00350288"/>
    <w:rsid w:val="00350D1E"/>
    <w:rsid w:val="00361541"/>
    <w:rsid w:val="00361B6D"/>
    <w:rsid w:val="003657CA"/>
    <w:rsid w:val="00372FCA"/>
    <w:rsid w:val="003849EE"/>
    <w:rsid w:val="003863A3"/>
    <w:rsid w:val="00386777"/>
    <w:rsid w:val="003909E3"/>
    <w:rsid w:val="003924EA"/>
    <w:rsid w:val="003929DC"/>
    <w:rsid w:val="003B11C4"/>
    <w:rsid w:val="003B6799"/>
    <w:rsid w:val="003D18C3"/>
    <w:rsid w:val="003D5F94"/>
    <w:rsid w:val="003D64A3"/>
    <w:rsid w:val="003D6F45"/>
    <w:rsid w:val="003E33EB"/>
    <w:rsid w:val="003F1406"/>
    <w:rsid w:val="003F34B5"/>
    <w:rsid w:val="00401469"/>
    <w:rsid w:val="004052EF"/>
    <w:rsid w:val="00414894"/>
    <w:rsid w:val="0042546A"/>
    <w:rsid w:val="0044133F"/>
    <w:rsid w:val="0044561B"/>
    <w:rsid w:val="004472E4"/>
    <w:rsid w:val="00447CBD"/>
    <w:rsid w:val="00450079"/>
    <w:rsid w:val="00462DDA"/>
    <w:rsid w:val="00464692"/>
    <w:rsid w:val="00476BCA"/>
    <w:rsid w:val="00477E64"/>
    <w:rsid w:val="00480536"/>
    <w:rsid w:val="00481EDF"/>
    <w:rsid w:val="00482A15"/>
    <w:rsid w:val="0049657D"/>
    <w:rsid w:val="004A1D92"/>
    <w:rsid w:val="004A6A97"/>
    <w:rsid w:val="004A7DAB"/>
    <w:rsid w:val="004B5902"/>
    <w:rsid w:val="004B7AB4"/>
    <w:rsid w:val="004C0F8C"/>
    <w:rsid w:val="004C3933"/>
    <w:rsid w:val="004C6B74"/>
    <w:rsid w:val="004E2924"/>
    <w:rsid w:val="004F06B6"/>
    <w:rsid w:val="004F0D7C"/>
    <w:rsid w:val="004F233B"/>
    <w:rsid w:val="004F3457"/>
    <w:rsid w:val="004F49FD"/>
    <w:rsid w:val="004F50B0"/>
    <w:rsid w:val="004F65E1"/>
    <w:rsid w:val="00502845"/>
    <w:rsid w:val="005155B0"/>
    <w:rsid w:val="00515829"/>
    <w:rsid w:val="005228B5"/>
    <w:rsid w:val="00523B0B"/>
    <w:rsid w:val="005333AA"/>
    <w:rsid w:val="005361C9"/>
    <w:rsid w:val="0054186D"/>
    <w:rsid w:val="00543D1B"/>
    <w:rsid w:val="00556AF5"/>
    <w:rsid w:val="00556CFD"/>
    <w:rsid w:val="00560109"/>
    <w:rsid w:val="00561FBF"/>
    <w:rsid w:val="0056308B"/>
    <w:rsid w:val="00567FA5"/>
    <w:rsid w:val="0057574D"/>
    <w:rsid w:val="00592666"/>
    <w:rsid w:val="00592CC6"/>
    <w:rsid w:val="00593704"/>
    <w:rsid w:val="005B3667"/>
    <w:rsid w:val="005B7666"/>
    <w:rsid w:val="005D4636"/>
    <w:rsid w:val="005F07B8"/>
    <w:rsid w:val="005F166D"/>
    <w:rsid w:val="005F691C"/>
    <w:rsid w:val="005F6F94"/>
    <w:rsid w:val="00603061"/>
    <w:rsid w:val="0061058F"/>
    <w:rsid w:val="00614CDF"/>
    <w:rsid w:val="00617C9C"/>
    <w:rsid w:val="00623F4D"/>
    <w:rsid w:val="00626A2F"/>
    <w:rsid w:val="00633568"/>
    <w:rsid w:val="00633932"/>
    <w:rsid w:val="00653214"/>
    <w:rsid w:val="00666BFB"/>
    <w:rsid w:val="006718B3"/>
    <w:rsid w:val="00674861"/>
    <w:rsid w:val="006760CE"/>
    <w:rsid w:val="00676713"/>
    <w:rsid w:val="00690E47"/>
    <w:rsid w:val="00691B3C"/>
    <w:rsid w:val="006925DE"/>
    <w:rsid w:val="00696698"/>
    <w:rsid w:val="00697F13"/>
    <w:rsid w:val="006B2772"/>
    <w:rsid w:val="006B34B3"/>
    <w:rsid w:val="006B3946"/>
    <w:rsid w:val="006B4420"/>
    <w:rsid w:val="006B6AAB"/>
    <w:rsid w:val="006C13E6"/>
    <w:rsid w:val="006C1540"/>
    <w:rsid w:val="006C30CC"/>
    <w:rsid w:val="006C5356"/>
    <w:rsid w:val="006D2A46"/>
    <w:rsid w:val="006E2EBB"/>
    <w:rsid w:val="006F0812"/>
    <w:rsid w:val="006F7FF7"/>
    <w:rsid w:val="00702154"/>
    <w:rsid w:val="00702589"/>
    <w:rsid w:val="0070358A"/>
    <w:rsid w:val="007145F3"/>
    <w:rsid w:val="00721383"/>
    <w:rsid w:val="00721D30"/>
    <w:rsid w:val="00722825"/>
    <w:rsid w:val="00723955"/>
    <w:rsid w:val="00723AB3"/>
    <w:rsid w:val="007269BD"/>
    <w:rsid w:val="00731E68"/>
    <w:rsid w:val="0073439D"/>
    <w:rsid w:val="00734803"/>
    <w:rsid w:val="00742BAA"/>
    <w:rsid w:val="007505A8"/>
    <w:rsid w:val="00752399"/>
    <w:rsid w:val="00753141"/>
    <w:rsid w:val="007533C6"/>
    <w:rsid w:val="00767BF6"/>
    <w:rsid w:val="007705F0"/>
    <w:rsid w:val="007753D4"/>
    <w:rsid w:val="00781EC5"/>
    <w:rsid w:val="007822EC"/>
    <w:rsid w:val="00782C0A"/>
    <w:rsid w:val="00794EB7"/>
    <w:rsid w:val="007954E9"/>
    <w:rsid w:val="007A0121"/>
    <w:rsid w:val="007A2438"/>
    <w:rsid w:val="007A4AF2"/>
    <w:rsid w:val="007A4D80"/>
    <w:rsid w:val="007A5201"/>
    <w:rsid w:val="007B68E0"/>
    <w:rsid w:val="007B7C0D"/>
    <w:rsid w:val="007C2CDE"/>
    <w:rsid w:val="007C4291"/>
    <w:rsid w:val="007C48BF"/>
    <w:rsid w:val="007C660D"/>
    <w:rsid w:val="007C745E"/>
    <w:rsid w:val="007D0D88"/>
    <w:rsid w:val="007D0E15"/>
    <w:rsid w:val="007D23CD"/>
    <w:rsid w:val="007D49F4"/>
    <w:rsid w:val="007D5D7B"/>
    <w:rsid w:val="007E2467"/>
    <w:rsid w:val="007E6B9E"/>
    <w:rsid w:val="007F1108"/>
    <w:rsid w:val="007F3B1D"/>
    <w:rsid w:val="00800449"/>
    <w:rsid w:val="0080361C"/>
    <w:rsid w:val="0081108B"/>
    <w:rsid w:val="00811D42"/>
    <w:rsid w:val="00814F60"/>
    <w:rsid w:val="008157C9"/>
    <w:rsid w:val="00815C34"/>
    <w:rsid w:val="008221E9"/>
    <w:rsid w:val="00823F3F"/>
    <w:rsid w:val="00826217"/>
    <w:rsid w:val="008265FD"/>
    <w:rsid w:val="008307EB"/>
    <w:rsid w:val="008334F5"/>
    <w:rsid w:val="00834128"/>
    <w:rsid w:val="00835D7A"/>
    <w:rsid w:val="00841141"/>
    <w:rsid w:val="00857703"/>
    <w:rsid w:val="0086645D"/>
    <w:rsid w:val="00870468"/>
    <w:rsid w:val="00871359"/>
    <w:rsid w:val="00871FC8"/>
    <w:rsid w:val="008803AC"/>
    <w:rsid w:val="00885BEB"/>
    <w:rsid w:val="00887166"/>
    <w:rsid w:val="00887DD2"/>
    <w:rsid w:val="008A56DC"/>
    <w:rsid w:val="008B080E"/>
    <w:rsid w:val="008B137E"/>
    <w:rsid w:val="008C41D3"/>
    <w:rsid w:val="008D5EF3"/>
    <w:rsid w:val="008D7867"/>
    <w:rsid w:val="008E18F5"/>
    <w:rsid w:val="008E30A1"/>
    <w:rsid w:val="008F3360"/>
    <w:rsid w:val="008F5A9B"/>
    <w:rsid w:val="00901A10"/>
    <w:rsid w:val="00904E5D"/>
    <w:rsid w:val="00915E3B"/>
    <w:rsid w:val="00922C81"/>
    <w:rsid w:val="009241EE"/>
    <w:rsid w:val="00930E4D"/>
    <w:rsid w:val="009325A3"/>
    <w:rsid w:val="00947BB8"/>
    <w:rsid w:val="009639B4"/>
    <w:rsid w:val="00970C5D"/>
    <w:rsid w:val="00975467"/>
    <w:rsid w:val="00985E4F"/>
    <w:rsid w:val="009865E5"/>
    <w:rsid w:val="00987C52"/>
    <w:rsid w:val="00995D88"/>
    <w:rsid w:val="009A06D7"/>
    <w:rsid w:val="009A4B05"/>
    <w:rsid w:val="009B257F"/>
    <w:rsid w:val="009B7D9B"/>
    <w:rsid w:val="009D5F57"/>
    <w:rsid w:val="009D7292"/>
    <w:rsid w:val="009D7A91"/>
    <w:rsid w:val="009E24C1"/>
    <w:rsid w:val="009F7F29"/>
    <w:rsid w:val="00A03D6D"/>
    <w:rsid w:val="00A046EC"/>
    <w:rsid w:val="00A11916"/>
    <w:rsid w:val="00A11E4E"/>
    <w:rsid w:val="00A13A81"/>
    <w:rsid w:val="00A14973"/>
    <w:rsid w:val="00A2173D"/>
    <w:rsid w:val="00A21EC2"/>
    <w:rsid w:val="00A22F17"/>
    <w:rsid w:val="00A31712"/>
    <w:rsid w:val="00A3190D"/>
    <w:rsid w:val="00A434EC"/>
    <w:rsid w:val="00A4495F"/>
    <w:rsid w:val="00A4567A"/>
    <w:rsid w:val="00A5795F"/>
    <w:rsid w:val="00A63E64"/>
    <w:rsid w:val="00A672AA"/>
    <w:rsid w:val="00A67BD0"/>
    <w:rsid w:val="00A75437"/>
    <w:rsid w:val="00A75EF7"/>
    <w:rsid w:val="00A9054A"/>
    <w:rsid w:val="00A94CDB"/>
    <w:rsid w:val="00A9795B"/>
    <w:rsid w:val="00AA4A7C"/>
    <w:rsid w:val="00AB220E"/>
    <w:rsid w:val="00AB2933"/>
    <w:rsid w:val="00AB7BDC"/>
    <w:rsid w:val="00AD4650"/>
    <w:rsid w:val="00AE0963"/>
    <w:rsid w:val="00AE0DBC"/>
    <w:rsid w:val="00AE21AB"/>
    <w:rsid w:val="00AF0C9D"/>
    <w:rsid w:val="00AF1D57"/>
    <w:rsid w:val="00B013B7"/>
    <w:rsid w:val="00B04485"/>
    <w:rsid w:val="00B07C64"/>
    <w:rsid w:val="00B11F02"/>
    <w:rsid w:val="00B224F6"/>
    <w:rsid w:val="00B243B6"/>
    <w:rsid w:val="00B31FF0"/>
    <w:rsid w:val="00B36C56"/>
    <w:rsid w:val="00B65B24"/>
    <w:rsid w:val="00B679F5"/>
    <w:rsid w:val="00B73A42"/>
    <w:rsid w:val="00B870D7"/>
    <w:rsid w:val="00B9270D"/>
    <w:rsid w:val="00B94039"/>
    <w:rsid w:val="00B960BE"/>
    <w:rsid w:val="00BB203F"/>
    <w:rsid w:val="00BB3785"/>
    <w:rsid w:val="00BB4E72"/>
    <w:rsid w:val="00BC56D5"/>
    <w:rsid w:val="00BC6B5C"/>
    <w:rsid w:val="00BD5D05"/>
    <w:rsid w:val="00BD61A5"/>
    <w:rsid w:val="00BE56DB"/>
    <w:rsid w:val="00BF095C"/>
    <w:rsid w:val="00BF381A"/>
    <w:rsid w:val="00BF5122"/>
    <w:rsid w:val="00BF5DCA"/>
    <w:rsid w:val="00BF7F78"/>
    <w:rsid w:val="00C1408D"/>
    <w:rsid w:val="00C22D4A"/>
    <w:rsid w:val="00C25EA1"/>
    <w:rsid w:val="00C260B6"/>
    <w:rsid w:val="00C3044C"/>
    <w:rsid w:val="00C32F8E"/>
    <w:rsid w:val="00C337CD"/>
    <w:rsid w:val="00C3395B"/>
    <w:rsid w:val="00C36D10"/>
    <w:rsid w:val="00C410B8"/>
    <w:rsid w:val="00C41BF2"/>
    <w:rsid w:val="00C47E60"/>
    <w:rsid w:val="00C51517"/>
    <w:rsid w:val="00C53C28"/>
    <w:rsid w:val="00C563DC"/>
    <w:rsid w:val="00C5652A"/>
    <w:rsid w:val="00C63C28"/>
    <w:rsid w:val="00C76BC2"/>
    <w:rsid w:val="00C779A5"/>
    <w:rsid w:val="00C779DC"/>
    <w:rsid w:val="00C853E6"/>
    <w:rsid w:val="00C85556"/>
    <w:rsid w:val="00C87248"/>
    <w:rsid w:val="00C9020E"/>
    <w:rsid w:val="00C96E35"/>
    <w:rsid w:val="00CA058B"/>
    <w:rsid w:val="00CA6C32"/>
    <w:rsid w:val="00CB1095"/>
    <w:rsid w:val="00CB373A"/>
    <w:rsid w:val="00CB7236"/>
    <w:rsid w:val="00CC0C58"/>
    <w:rsid w:val="00CC0E05"/>
    <w:rsid w:val="00CC22B7"/>
    <w:rsid w:val="00CC5003"/>
    <w:rsid w:val="00CC7996"/>
    <w:rsid w:val="00CD0C26"/>
    <w:rsid w:val="00CD2F7F"/>
    <w:rsid w:val="00CD7C3C"/>
    <w:rsid w:val="00CE490C"/>
    <w:rsid w:val="00CE78E5"/>
    <w:rsid w:val="00CF0831"/>
    <w:rsid w:val="00CF0EEA"/>
    <w:rsid w:val="00CF584A"/>
    <w:rsid w:val="00D02073"/>
    <w:rsid w:val="00D029CD"/>
    <w:rsid w:val="00D02E4B"/>
    <w:rsid w:val="00D13008"/>
    <w:rsid w:val="00D13B29"/>
    <w:rsid w:val="00D2556A"/>
    <w:rsid w:val="00D31EBC"/>
    <w:rsid w:val="00D353DD"/>
    <w:rsid w:val="00D36961"/>
    <w:rsid w:val="00D42B33"/>
    <w:rsid w:val="00D4506C"/>
    <w:rsid w:val="00D4523E"/>
    <w:rsid w:val="00D53B1A"/>
    <w:rsid w:val="00D55386"/>
    <w:rsid w:val="00D646E6"/>
    <w:rsid w:val="00D6600A"/>
    <w:rsid w:val="00D759FD"/>
    <w:rsid w:val="00D75F38"/>
    <w:rsid w:val="00D9369A"/>
    <w:rsid w:val="00D94438"/>
    <w:rsid w:val="00DB02C0"/>
    <w:rsid w:val="00DC24E2"/>
    <w:rsid w:val="00DC306A"/>
    <w:rsid w:val="00DD31D1"/>
    <w:rsid w:val="00DD6D53"/>
    <w:rsid w:val="00DE2C7B"/>
    <w:rsid w:val="00DE3CD0"/>
    <w:rsid w:val="00DE601E"/>
    <w:rsid w:val="00DF0CD8"/>
    <w:rsid w:val="00DF0E96"/>
    <w:rsid w:val="00DF14FB"/>
    <w:rsid w:val="00DF73EA"/>
    <w:rsid w:val="00E0139B"/>
    <w:rsid w:val="00E04804"/>
    <w:rsid w:val="00E05F5D"/>
    <w:rsid w:val="00E06EF9"/>
    <w:rsid w:val="00E108F6"/>
    <w:rsid w:val="00E11C2D"/>
    <w:rsid w:val="00E13A64"/>
    <w:rsid w:val="00E140CE"/>
    <w:rsid w:val="00E152A8"/>
    <w:rsid w:val="00E24BD0"/>
    <w:rsid w:val="00E25081"/>
    <w:rsid w:val="00E33468"/>
    <w:rsid w:val="00E3380D"/>
    <w:rsid w:val="00E34F13"/>
    <w:rsid w:val="00E44AB4"/>
    <w:rsid w:val="00E44AF6"/>
    <w:rsid w:val="00E512AB"/>
    <w:rsid w:val="00E65C1A"/>
    <w:rsid w:val="00E66987"/>
    <w:rsid w:val="00E67C73"/>
    <w:rsid w:val="00E778CA"/>
    <w:rsid w:val="00E902ED"/>
    <w:rsid w:val="00E90C0A"/>
    <w:rsid w:val="00E9204E"/>
    <w:rsid w:val="00E9266B"/>
    <w:rsid w:val="00EA0B38"/>
    <w:rsid w:val="00EA1D86"/>
    <w:rsid w:val="00EA354C"/>
    <w:rsid w:val="00EA4424"/>
    <w:rsid w:val="00EA4FC5"/>
    <w:rsid w:val="00EA50A2"/>
    <w:rsid w:val="00EB29C1"/>
    <w:rsid w:val="00EC05DD"/>
    <w:rsid w:val="00EC4C9E"/>
    <w:rsid w:val="00ED0CFA"/>
    <w:rsid w:val="00ED13B0"/>
    <w:rsid w:val="00ED2018"/>
    <w:rsid w:val="00ED3D24"/>
    <w:rsid w:val="00ED70BA"/>
    <w:rsid w:val="00EE36CE"/>
    <w:rsid w:val="00EF2663"/>
    <w:rsid w:val="00EF31E8"/>
    <w:rsid w:val="00EF4B82"/>
    <w:rsid w:val="00EF4D21"/>
    <w:rsid w:val="00EF6F14"/>
    <w:rsid w:val="00EF722C"/>
    <w:rsid w:val="00EF7344"/>
    <w:rsid w:val="00F02982"/>
    <w:rsid w:val="00F0393B"/>
    <w:rsid w:val="00F061FF"/>
    <w:rsid w:val="00F12951"/>
    <w:rsid w:val="00F1421E"/>
    <w:rsid w:val="00F25AC2"/>
    <w:rsid w:val="00F3506E"/>
    <w:rsid w:val="00F37764"/>
    <w:rsid w:val="00F408AF"/>
    <w:rsid w:val="00F50C2D"/>
    <w:rsid w:val="00F55437"/>
    <w:rsid w:val="00F60F0F"/>
    <w:rsid w:val="00F64F79"/>
    <w:rsid w:val="00F66CDB"/>
    <w:rsid w:val="00F76E49"/>
    <w:rsid w:val="00F82575"/>
    <w:rsid w:val="00F83CA6"/>
    <w:rsid w:val="00F8638E"/>
    <w:rsid w:val="00F86A96"/>
    <w:rsid w:val="00F87B4F"/>
    <w:rsid w:val="00F90C24"/>
    <w:rsid w:val="00F9734D"/>
    <w:rsid w:val="00FA06FE"/>
    <w:rsid w:val="00FB24F8"/>
    <w:rsid w:val="00FC2393"/>
    <w:rsid w:val="00FD00B3"/>
    <w:rsid w:val="00FD1DAE"/>
    <w:rsid w:val="00FD41D3"/>
    <w:rsid w:val="00FD72E8"/>
    <w:rsid w:val="00FD73DC"/>
    <w:rsid w:val="00FD7984"/>
    <w:rsid w:val="00FE253A"/>
    <w:rsid w:val="00FE6A4F"/>
    <w:rsid w:val="00FE771C"/>
    <w:rsid w:val="00FF3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ind w:left="2304"/>
      <w:outlineLvl w:val="3"/>
    </w:pPr>
    <w:rPr>
      <w:rFonts w:eastAsia="Times New Roman"/>
      <w:iCs/>
      <w:color w:val="000000"/>
    </w:rPr>
  </w:style>
  <w:style w:type="paragraph" w:styleId="Antrat5">
    <w:name w:val="heading 5"/>
    <w:basedOn w:val="prastasis"/>
    <w:next w:val="prastasis"/>
    <w:uiPriority w:val="9"/>
    <w:unhideWhenUsed/>
    <w:qFormat/>
    <w:pPr>
      <w:keepNext/>
      <w:keepLines/>
      <w:numPr>
        <w:ilvl w:val="4"/>
        <w:numId w:val="1"/>
      </w:numPr>
      <w:spacing w:before="40"/>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4"/>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uiPriority w:val="9"/>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paragraph" w:customStyle="1" w:styleId="Default">
    <w:name w:val="Default"/>
    <w:rsid w:val="000B1618"/>
    <w:pPr>
      <w:autoSpaceDE w:val="0"/>
      <w:adjustRightInd w:val="0"/>
      <w:spacing w:after="0"/>
    </w:pPr>
    <w:rPr>
      <w:rFonts w:eastAsiaTheme="minorHAnsi" w:cs="Calibri"/>
      <w:color w:val="000000"/>
      <w:sz w:val="24"/>
      <w:szCs w:val="24"/>
      <w:lang w:val="lt-LT"/>
    </w:rPr>
  </w:style>
  <w:style w:type="paragraph" w:styleId="Puslapioinaostekstas">
    <w:name w:val="footnote text"/>
    <w:basedOn w:val="prastasis"/>
    <w:link w:val="PuslapioinaostekstasDiagrama"/>
    <w:unhideWhenUsed/>
    <w:rsid w:val="002F0A73"/>
    <w:pPr>
      <w:suppressAutoHyphens w:val="0"/>
      <w:autoSpaceDN/>
    </w:pPr>
    <w:rPr>
      <w:rFonts w:asciiTheme="minorHAnsi" w:eastAsiaTheme="minorHAnsi" w:hAnsiTheme="minorHAnsi" w:cstheme="minorBidi"/>
      <w:kern w:val="2"/>
      <w:szCs w:val="20"/>
      <w:lang w:val="en-US"/>
      <w14:ligatures w14:val="standardContextual"/>
    </w:rPr>
  </w:style>
  <w:style w:type="character" w:customStyle="1" w:styleId="PuslapioinaostekstasDiagrama">
    <w:name w:val="Puslapio išnašos tekstas Diagrama"/>
    <w:basedOn w:val="Numatytasispastraiposriftas"/>
    <w:link w:val="Puslapioinaostekstas"/>
    <w:rsid w:val="002F0A73"/>
    <w:rPr>
      <w:rFonts w:asciiTheme="minorHAnsi" w:eastAsiaTheme="minorHAnsi" w:hAnsiTheme="minorHAnsi" w:cstheme="minorBidi"/>
      <w:kern w:val="2"/>
      <w:sz w:val="20"/>
      <w:szCs w:val="20"/>
      <w14:ligatures w14:val="standardContextual"/>
    </w:rPr>
  </w:style>
  <w:style w:type="character" w:styleId="Puslapioinaosnuoroda">
    <w:name w:val="footnote reference"/>
    <w:basedOn w:val="Numatytasispastraiposriftas"/>
    <w:unhideWhenUsed/>
    <w:rsid w:val="002F0A73"/>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2F0A73"/>
    <w:rPr>
      <w:rFonts w:ascii="Arial" w:hAnsi="Arial"/>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6730</Words>
  <Characters>3837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Edita Baltrėnaitė</cp:lastModifiedBy>
  <cp:revision>3</cp:revision>
  <cp:lastPrinted>2022-05-12T12:52:00Z</cp:lastPrinted>
  <dcterms:created xsi:type="dcterms:W3CDTF">2024-05-23T10:13:00Z</dcterms:created>
  <dcterms:modified xsi:type="dcterms:W3CDTF">2024-05-24T11:10:00Z</dcterms:modified>
</cp:coreProperties>
</file>