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E07B6" w14:textId="77777777" w:rsidR="0002566F" w:rsidRPr="0043535E" w:rsidRDefault="0002566F" w:rsidP="0002566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aps/>
          <w:color w:val="444444"/>
          <w:sz w:val="24"/>
          <w:szCs w:val="24"/>
          <w:lang w:eastAsia="lt-LT"/>
        </w:rPr>
      </w:pPr>
      <w:r w:rsidRPr="0043535E">
        <w:rPr>
          <w:rFonts w:ascii="Times New Roman" w:eastAsia="Times New Roman" w:hAnsi="Times New Roman" w:cs="Times New Roman"/>
          <w:b/>
          <w:bCs/>
          <w:caps/>
          <w:color w:val="444444"/>
          <w:sz w:val="24"/>
          <w:szCs w:val="24"/>
          <w:lang w:eastAsia="lt-LT"/>
        </w:rPr>
        <w:t>SUSITARIMAS</w:t>
      </w:r>
    </w:p>
    <w:p w14:paraId="44CABF1D" w14:textId="48855085" w:rsidR="0002566F" w:rsidRPr="0043535E" w:rsidRDefault="0039136C" w:rsidP="0002566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caps/>
          <w:color w:val="444444"/>
          <w:sz w:val="24"/>
          <w:szCs w:val="24"/>
          <w:lang w:eastAsia="lt-LT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4308D4" w:rsidRPr="004353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202</w:t>
      </w:r>
      <w:r w:rsidR="00D6352B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3</w:t>
      </w:r>
      <w:r w:rsidR="004308D4" w:rsidRPr="004353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M. RUG</w:t>
      </w:r>
      <w:r w:rsidR="00D6352B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SĖJ</w:t>
      </w:r>
      <w:r w:rsidR="004308D4" w:rsidRPr="004353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O 4 D. SUTARTIES NR. STAT-</w:t>
      </w:r>
      <w:r w:rsidR="00D6352B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66</w:t>
      </w:r>
      <w:r w:rsidR="004308D4" w:rsidRPr="004353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(202</w:t>
      </w:r>
      <w:r w:rsidR="00D6352B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3</w:t>
      </w:r>
      <w:r w:rsidR="004308D4" w:rsidRPr="004353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) „INTEGRUOTOS DUOMENŲ SAUGYKLOS</w:t>
      </w:r>
      <w:r w:rsidR="00D6352B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IR E. STATISTIKOS</w:t>
      </w:r>
      <w:r w:rsidR="004308D4" w:rsidRPr="0043535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PRIEŽIŪROS IR MODIFIKAVIMO PASLAUGŲ VIEŠOJO PIRKIMO–PARDAVIMO SUTARTIS” PAKEITIMO</w:t>
      </w:r>
    </w:p>
    <w:p w14:paraId="311287E3" w14:textId="77777777" w:rsidR="0002566F" w:rsidRPr="0043535E" w:rsidRDefault="0002566F" w:rsidP="0039136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EF3ECD4" w14:textId="5FC36F93" w:rsidR="0002566F" w:rsidRPr="0043535E" w:rsidRDefault="0002566F" w:rsidP="000256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353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D6352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4353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4308D4" w:rsidRPr="004353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liepos</w:t>
      </w:r>
      <w:r w:rsidR="0096674A" w:rsidRPr="004353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4353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mėn. </w:t>
      </w:r>
      <w:r w:rsidR="004353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</w:t>
      </w:r>
      <w:r w:rsidRPr="004353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Nr.</w:t>
      </w:r>
      <w:r w:rsidR="0043535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</w:t>
      </w:r>
    </w:p>
    <w:p w14:paraId="5ED140EE" w14:textId="77777777" w:rsidR="0002566F" w:rsidRDefault="0002566F" w:rsidP="000256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1CB4C1FB" w14:textId="77777777" w:rsidR="0039136C" w:rsidRPr="0043535E" w:rsidRDefault="0039136C" w:rsidP="000256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D8273A7" w14:textId="327706EB" w:rsidR="0002566F" w:rsidRPr="0084574A" w:rsidRDefault="00D25C4E" w:rsidP="00EB488B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3BF7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agentūra</w:t>
      </w:r>
      <w:r w:rsidR="0002566F" w:rsidRPr="00162D3C">
        <w:rPr>
          <w:rFonts w:ascii="Times New Roman" w:eastAsia="Times New Roman" w:hAnsi="Times New Roman" w:cs="Times New Roman"/>
          <w:sz w:val="24"/>
          <w:szCs w:val="24"/>
          <w:lang w:eastAsia="lt-LT"/>
        </w:rPr>
        <w:t>, atstovaujama generalin</w:t>
      </w:r>
      <w:r w:rsidR="00162D3C" w:rsidRPr="00162D3C">
        <w:rPr>
          <w:rFonts w:ascii="Times New Roman" w:eastAsia="Times New Roman" w:hAnsi="Times New Roman" w:cs="Times New Roman"/>
          <w:sz w:val="24"/>
          <w:szCs w:val="24"/>
          <w:lang w:eastAsia="lt-LT"/>
        </w:rPr>
        <w:t>ės</w:t>
      </w:r>
      <w:r w:rsidR="00067533" w:rsidRPr="00162D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direktor</w:t>
      </w:r>
      <w:r w:rsidR="00162D3C" w:rsidRPr="00162D3C">
        <w:rPr>
          <w:rFonts w:ascii="Times New Roman" w:eastAsia="Times New Roman" w:hAnsi="Times New Roman" w:cs="Times New Roman"/>
          <w:sz w:val="24"/>
          <w:szCs w:val="24"/>
          <w:lang w:eastAsia="lt-LT"/>
        </w:rPr>
        <w:t>ės</w:t>
      </w:r>
      <w:r w:rsidR="00067533" w:rsidRPr="00162D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62D3C" w:rsidRPr="00162D3C">
        <w:rPr>
          <w:rFonts w:ascii="Times New Roman" w:eastAsia="Times New Roman" w:hAnsi="Times New Roman" w:cs="Times New Roman"/>
          <w:sz w:val="24"/>
          <w:szCs w:val="24"/>
          <w:lang w:eastAsia="lt-LT"/>
        </w:rPr>
        <w:t>Jūratės Petrauskienės</w:t>
      </w:r>
      <w:r w:rsidR="004308D4" w:rsidRPr="00162D3C"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veikiančios pagal</w:t>
      </w:r>
      <w:r w:rsidR="0002566F" w:rsidRPr="00162D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C2556" w:rsidRPr="00162D3C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="0002566F" w:rsidRPr="00162D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nuostatus, patvirtintus Lietuvos Respublikos Vyriausybės </w:t>
      </w:r>
      <w:r w:rsidRPr="00162D3C">
        <w:rPr>
          <w:rFonts w:ascii="Times New Roman" w:eastAsia="Times New Roman" w:hAnsi="Times New Roman" w:cs="Times New Roman"/>
          <w:sz w:val="24"/>
          <w:szCs w:val="24"/>
          <w:lang w:eastAsia="lt-LT"/>
        </w:rPr>
        <w:t>2022</w:t>
      </w:r>
      <w:r w:rsidR="00E17259" w:rsidRPr="00162D3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162D3C">
        <w:rPr>
          <w:rFonts w:ascii="Times New Roman" w:eastAsia="Times New Roman" w:hAnsi="Times New Roman" w:cs="Times New Roman"/>
          <w:sz w:val="24"/>
          <w:szCs w:val="24"/>
          <w:lang w:eastAsia="lt-LT"/>
        </w:rPr>
        <w:t>m. gruodžio 21</w:t>
      </w:r>
      <w:r w:rsidR="00E17259" w:rsidRPr="00162D3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162D3C">
        <w:rPr>
          <w:rFonts w:ascii="Times New Roman" w:eastAsia="Times New Roman" w:hAnsi="Times New Roman" w:cs="Times New Roman"/>
          <w:sz w:val="24"/>
          <w:szCs w:val="24"/>
          <w:lang w:eastAsia="lt-LT"/>
        </w:rPr>
        <w:t>d. nutarimu Nr.</w:t>
      </w:r>
      <w:r w:rsidR="00E17259" w:rsidRPr="00162D3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162D3C">
        <w:rPr>
          <w:rFonts w:ascii="Times New Roman" w:eastAsia="Times New Roman" w:hAnsi="Times New Roman" w:cs="Times New Roman"/>
          <w:sz w:val="24"/>
          <w:szCs w:val="24"/>
          <w:lang w:eastAsia="lt-LT"/>
        </w:rPr>
        <w:t>1295 „Dėl Valstybės duomenų agentūros nuostatų patvirtinimo“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Užsakovas), ir 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UAB</w:t>
      </w:r>
      <w:r w:rsidR="00E17259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4308D4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ATEA</w:t>
      </w: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“, atstovaujama (-s) </w:t>
      </w:r>
      <w:r w:rsidRPr="00064F8A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direktoriaus</w:t>
      </w:r>
      <w:r w:rsidR="003A725B" w:rsidRPr="00064F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programavimui Česlovo Stanaičio</w:t>
      </w:r>
      <w:r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EB488B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veikiančio pagal 2024 m. vasario 9 d. Įgaliojimą Nr. I-240209/2</w:t>
      </w:r>
      <w:r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02566F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Paslaugų teikėjas), toliau bendrai vadinamos šalimis, o atskirai šalimi, sudarydami šį susitarimą (toliau – susitarimas), vadovaudamiesi 202</w:t>
      </w:r>
      <w:r w:rsidR="00D6352B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7C2556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02566F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</w:t>
      </w:r>
      <w:r w:rsidR="003A725B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rug</w:t>
      </w:r>
      <w:r w:rsidR="00D6352B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sėj</w:t>
      </w:r>
      <w:r w:rsidR="0096674A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02566F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A725B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7C2556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02566F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d. sutarties Nr. STAT–</w:t>
      </w:r>
      <w:r w:rsidR="00D6352B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66</w:t>
      </w:r>
      <w:r w:rsidR="003B0CC4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2566F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(202</w:t>
      </w:r>
      <w:r w:rsidR="00D6352B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02566F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</w:t>
      </w:r>
      <w:r w:rsidR="0090542F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Integruotos duomenų saugyklos</w:t>
      </w:r>
      <w:r w:rsidR="00D6352B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e. Statistikos</w:t>
      </w:r>
      <w:r w:rsidR="0090542F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priežiūros ir modifikavimo paslaugų viešojo pirkimo-pardavimo sutarties</w:t>
      </w:r>
      <w:r w:rsidR="0002566F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pirkimo sutartis) </w:t>
      </w:r>
      <w:r w:rsidR="0090542F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bendrųjų sąlygų 12.12</w:t>
      </w:r>
      <w:r w:rsidR="00E17259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90542F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02566F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apunkčiu ir Lietuvos Respublikos viešųjų pirkimų įstatymo 89</w:t>
      </w:r>
      <w:r w:rsidR="00E17259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02566F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straipsnio </w:t>
      </w:r>
      <w:r w:rsidR="0090542F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E17259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02566F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dalies </w:t>
      </w:r>
      <w:r w:rsidR="0090542F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nuostatomis</w:t>
      </w:r>
      <w:r w:rsidR="007F5B53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susitaria</w:t>
      </w:r>
      <w:r w:rsidR="0002566F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709BB3B8" w14:textId="2A205240" w:rsidR="008B6571" w:rsidRPr="0084574A" w:rsidRDefault="008B6571" w:rsidP="00D92884">
      <w:pPr>
        <w:tabs>
          <w:tab w:val="left" w:pos="8190"/>
        </w:tabs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="00854DFC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84574A">
        <w:rPr>
          <w:rFonts w:ascii="Times New Roman" w:eastAsia="Times New Roman" w:hAnsi="Times New Roman" w:cs="Times New Roman"/>
          <w:spacing w:val="40"/>
          <w:sz w:val="24"/>
          <w:szCs w:val="24"/>
          <w:lang w:eastAsia="lt-LT"/>
        </w:rPr>
        <w:t>Pakeisti</w:t>
      </w:r>
      <w:r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1816C9F0" w14:textId="02ECF2DF" w:rsidR="0031798D" w:rsidRPr="0084574A" w:rsidRDefault="0002566F" w:rsidP="008B6571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1.1.</w:t>
      </w:r>
      <w:r w:rsidR="00854DFC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31798D" w:rsidRPr="008457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sutarties specialiųjų sąlygų 3.2 papunktį ir jį išdėstyti taip: </w:t>
      </w:r>
    </w:p>
    <w:p w14:paraId="6D03E0C9" w14:textId="53C36CFE" w:rsidR="0031798D" w:rsidRPr="0084574A" w:rsidRDefault="0031798D" w:rsidP="00761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„Pradinės Sutarties vertė yra </w:t>
      </w:r>
      <w:r w:rsidR="00EB4467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</w:t>
      </w:r>
      <w:r w:rsidR="00951CF6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125</w:t>
      </w:r>
      <w:r w:rsidR="00EB4467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</w:t>
      </w:r>
      <w:r w:rsidR="00951CF6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4</w:t>
      </w:r>
      <w:r w:rsidR="00EB4467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00,00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Eur (</w:t>
      </w:r>
      <w:r w:rsidR="00951CF6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vienas šimtas dvideš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imt </w:t>
      </w:r>
      <w:r w:rsidR="00951CF6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penki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tūkstančiai </w:t>
      </w:r>
      <w:r w:rsidR="00951CF6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keturi 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šimta</w:t>
      </w:r>
      <w:r w:rsidR="00951CF6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i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eurų 00 ct), </w:t>
      </w:r>
      <w:r w:rsidRPr="00845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il"/>
          <w:lang w:eastAsia="lt-LT"/>
        </w:rPr>
        <w:t>be pridėtinės vertės mokesčio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(toliau – </w:t>
      </w:r>
      <w:r w:rsidRPr="008457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il"/>
          <w:lang w:eastAsia="lt-LT"/>
        </w:rPr>
        <w:t>PVM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).</w:t>
      </w:r>
    </w:p>
    <w:p w14:paraId="5405240C" w14:textId="7A5BD4CF" w:rsidR="0031798D" w:rsidRPr="0084574A" w:rsidRDefault="0031798D" w:rsidP="0031798D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Šioje Sutartyje 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Pradinės 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Sutarties vertė yra lygi maksimaliai pirkimui skirtai  lėšų sumai </w:t>
      </w:r>
      <w:r w:rsidR="003116FD" w:rsidRPr="00845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be PVM</w:t>
      </w:r>
      <w:r w:rsidR="003116FD" w:rsidRPr="00845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 </w:t>
      </w:r>
      <w:r w:rsidR="003116FD" w:rsidRPr="00845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dokumentuose ir Sutartyje nurodytų paslaugų įsigijimui.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“</w:t>
      </w:r>
    </w:p>
    <w:p w14:paraId="2E7EAED6" w14:textId="2CB95329" w:rsidR="0031798D" w:rsidRPr="0084574A" w:rsidRDefault="0031798D" w:rsidP="008B7271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</w:pP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</w:t>
      </w:r>
      <w:r w:rsidR="00744199" w:rsidRPr="00845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3116FD" w:rsidRPr="00845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pirkimo sutarties specialiųjų sąlygų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3.3 papunktį ir jį išdėstyti taip:</w:t>
      </w:r>
    </w:p>
    <w:p w14:paraId="4A3DF8B4" w14:textId="77777777" w:rsidR="008B7271" w:rsidRPr="0084574A" w:rsidRDefault="00707F6C" w:rsidP="008B72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</w:pP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„</w:t>
      </w:r>
      <w:bookmarkStart w:id="0" w:name="_Hlk140648277"/>
      <w:r w:rsidR="008B7271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Sutarties kainą sudaro:</w:t>
      </w:r>
    </w:p>
    <w:p w14:paraId="467AFDF6" w14:textId="77777777" w:rsidR="008B7271" w:rsidRPr="0084574A" w:rsidRDefault="008B7271" w:rsidP="008B72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</w:pP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- fiksuota Sutarties kainos dalis pagal Sutarties 2 priedo 1.1. lentelėje nurodytą kainą;</w:t>
      </w:r>
    </w:p>
    <w:p w14:paraId="776DA7C5" w14:textId="77777777" w:rsidR="008B7271" w:rsidRPr="0084574A" w:rsidRDefault="008B7271" w:rsidP="008B727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</w:pP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- </w:t>
      </w:r>
      <w:r w:rsidRPr="0084574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il"/>
          <w:lang w:eastAsia="lt-LT"/>
        </w:rPr>
        <w:t>kintama Sutarties kainos dalis apskaičiuojama Sutarties 2 priedo 1.2. lentelėje nurodytą paslaugų įkainį padauginus iš užsakomų paslaugų valandų kiekio. Tiekėjas privalo teikti paslaugas, kurias Užsakovas gali užsakyti Sutarties galiojimo laikotarpiu pagal poreikį, apmokant pagal faktiškai dirbtą laiką;</w:t>
      </w:r>
    </w:p>
    <w:p w14:paraId="19F6D468" w14:textId="6A63A4F0" w:rsidR="00707F6C" w:rsidRPr="008B7271" w:rsidRDefault="008B7271" w:rsidP="008B7271">
      <w:pPr>
        <w:tabs>
          <w:tab w:val="left" w:pos="62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</w:pP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Bendra sutarties vertė yra </w:t>
      </w:r>
      <w:r w:rsidR="00C9577A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151 734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,00  Eur (vienas šimtas </w:t>
      </w:r>
      <w:r w:rsidR="00C9577A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penkias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dešimt </w:t>
      </w:r>
      <w:r w:rsidR="00C9577A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vienas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tūstan</w:t>
      </w:r>
      <w:r w:rsidR="00C9577A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tis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</w:t>
      </w:r>
      <w:r w:rsidR="00C9577A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septy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ni šimtai </w:t>
      </w:r>
      <w:r w:rsidR="00C9577A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tri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sdešimt </w:t>
      </w:r>
      <w:r w:rsidR="00C9577A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keturi 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eur</w:t>
      </w:r>
      <w:r w:rsidR="00C9577A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ai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00 ct) su PVM. PVM sudaro 2</w:t>
      </w:r>
      <w:r w:rsidR="00C9577A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6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</w:t>
      </w:r>
      <w:r w:rsidR="00C9577A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334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,00 Eur (dvidešimt </w:t>
      </w:r>
      <w:r w:rsidR="00C9577A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šeš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is tūkstančius </w:t>
      </w:r>
      <w:r w:rsidR="00C9577A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tr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is šimtus </w:t>
      </w:r>
      <w:r w:rsidR="00C9577A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tris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dešimt</w:t>
      </w:r>
      <w:r w:rsidR="00C9577A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keturis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eur</w:t>
      </w:r>
      <w:r w:rsidR="00C9577A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us</w:t>
      </w:r>
      <w:r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 xml:space="preserve"> 00 ct).</w:t>
      </w:r>
      <w:r w:rsidR="00707F6C" w:rsidRPr="0084574A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lt-LT"/>
        </w:rPr>
        <w:t>“</w:t>
      </w:r>
    </w:p>
    <w:bookmarkEnd w:id="0"/>
    <w:p w14:paraId="653E6A4F" w14:textId="77777777" w:rsidR="0002566F" w:rsidRPr="0043535E" w:rsidRDefault="008B6571" w:rsidP="003A5C9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854D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Kitos pirkimo sutarties nuostatos, nenurodytos šio susitarimo 1 punkte, lieka nepakeistos.</w:t>
      </w:r>
    </w:p>
    <w:p w14:paraId="2681347D" w14:textId="77777777" w:rsidR="0002566F" w:rsidRPr="0043535E" w:rsidRDefault="008B6571" w:rsidP="008B65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854DF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Susitarimas įsigalioja, kai jį pasirašo abi pirkimo sutarties šalys.</w:t>
      </w:r>
    </w:p>
    <w:p w14:paraId="45C76671" w14:textId="6F4A3272" w:rsidR="0002566F" w:rsidRDefault="008B6571" w:rsidP="008B65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="0002566F" w:rsidRPr="0043535E">
        <w:rPr>
          <w:rFonts w:ascii="Times New Roman" w:eastAsia="Times New Roman" w:hAnsi="Times New Roman" w:cs="Times New Roman"/>
          <w:sz w:val="24"/>
          <w:szCs w:val="24"/>
          <w:lang w:eastAsia="lt-LT"/>
        </w:rPr>
        <w:t>. Susitarimas laikomas neatskiriama pirkimo sutarties dalimi.</w:t>
      </w:r>
    </w:p>
    <w:p w14:paraId="0C7E27A5" w14:textId="77777777" w:rsidR="00D92884" w:rsidRPr="0043535E" w:rsidRDefault="00D92884" w:rsidP="008B657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4650"/>
      </w:tblGrid>
      <w:tr w:rsidR="0002566F" w:rsidRPr="0002566F" w14:paraId="4EF569E8" w14:textId="77777777" w:rsidTr="00A26693">
        <w:trPr>
          <w:trHeight w:val="3371"/>
        </w:trPr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3E268" w14:textId="77777777" w:rsidR="0002566F" w:rsidRPr="002A1E28" w:rsidRDefault="0002566F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UŽSAKOVAS</w:t>
            </w: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14:paraId="21517B9C" w14:textId="77777777" w:rsidR="0002566F" w:rsidRPr="002A1E28" w:rsidRDefault="00C3155A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Valstybės duomenų agentūra</w:t>
            </w:r>
          </w:p>
          <w:p w14:paraId="4DFFE29E" w14:textId="77777777" w:rsidR="0002566F" w:rsidRPr="002A1E28" w:rsidRDefault="0002566F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Gedimino pr. 29, LT-01500 Vilnius</w:t>
            </w:r>
          </w:p>
          <w:p w14:paraId="6CA5A428" w14:textId="77777777" w:rsidR="0002566F" w:rsidRPr="002A1E28" w:rsidRDefault="0002566F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Įmonės kodas: 188600177</w:t>
            </w:r>
          </w:p>
          <w:p w14:paraId="29978DCA" w14:textId="77777777" w:rsidR="0002566F" w:rsidRPr="002A1E28" w:rsidRDefault="0002566F" w:rsidP="0002566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PVM mokėtojo kodas: nėra</w:t>
            </w:r>
          </w:p>
          <w:p w14:paraId="36275094" w14:textId="77777777" w:rsidR="0002566F" w:rsidRPr="002A1E28" w:rsidRDefault="0002566F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A. s. Nr. </w:t>
            </w:r>
            <w:r w:rsidR="00010D22"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LT02 4040 0636 1000 0121</w:t>
            </w:r>
          </w:p>
          <w:p w14:paraId="1D4B2193" w14:textId="77777777" w:rsidR="0002566F" w:rsidRPr="002A1E28" w:rsidRDefault="00010D22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Bankas: Lietuvos Respublikos finansų ministerija</w:t>
            </w:r>
          </w:p>
          <w:p w14:paraId="6653B5C7" w14:textId="77777777" w:rsidR="0002566F" w:rsidRPr="002A1E28" w:rsidRDefault="0002566F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Banko kodas </w:t>
            </w:r>
            <w:r w:rsidR="00010D22"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</w:t>
            </w: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04</w:t>
            </w:r>
            <w:r w:rsidR="00010D22"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</w:p>
          <w:p w14:paraId="34718808" w14:textId="77777777" w:rsidR="0002566F" w:rsidRPr="002A1E28" w:rsidRDefault="0002566F" w:rsidP="002A1E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Tel. </w:t>
            </w:r>
            <w:r w:rsidR="002A1E28"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+370 656 97 121</w:t>
            </w:r>
          </w:p>
          <w:p w14:paraId="027C7499" w14:textId="77777777" w:rsidR="0002566F" w:rsidRPr="002A1E28" w:rsidRDefault="0002566F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El. p. statistika@stat.gov.lt</w:t>
            </w:r>
          </w:p>
          <w:p w14:paraId="24B16610" w14:textId="110F94E0" w:rsidR="0002566F" w:rsidRPr="0002566F" w:rsidRDefault="0002566F" w:rsidP="00D9288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Tinklapis: </w:t>
            </w:r>
            <w:r w:rsidR="00D92884" w:rsidRPr="00D9288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https://vda.lrv.lt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531EE" w14:textId="77777777" w:rsidR="0002566F" w:rsidRPr="002A1E28" w:rsidRDefault="0002566F" w:rsidP="000256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PASLAUGŲ TEIKĖJAS</w:t>
            </w: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  <w:p w14:paraId="10794132" w14:textId="77777777" w:rsidR="00BB4114" w:rsidRPr="002A1E28" w:rsidRDefault="00BB4114" w:rsidP="002A1E28">
            <w:pPr>
              <w:pStyle w:val="prastasis12pt"/>
              <w:rPr>
                <w:sz w:val="20"/>
                <w:szCs w:val="20"/>
                <w:lang w:val="lt-LT" w:eastAsia="lt-LT"/>
              </w:rPr>
            </w:pPr>
            <w:r w:rsidRPr="002A1E28">
              <w:rPr>
                <w:sz w:val="20"/>
                <w:szCs w:val="20"/>
                <w:lang w:val="lt-LT" w:eastAsia="lt-LT"/>
              </w:rPr>
              <w:t>UAB „</w:t>
            </w:r>
            <w:r w:rsidR="002A1E28" w:rsidRPr="002A1E28">
              <w:rPr>
                <w:sz w:val="20"/>
                <w:szCs w:val="20"/>
                <w:lang w:val="lt-LT" w:eastAsia="lt-LT"/>
              </w:rPr>
              <w:t>ATEA</w:t>
            </w:r>
            <w:r w:rsidRPr="002A1E28">
              <w:rPr>
                <w:sz w:val="20"/>
                <w:szCs w:val="20"/>
                <w:lang w:val="lt-LT" w:eastAsia="lt-LT"/>
              </w:rPr>
              <w:t>“</w:t>
            </w:r>
          </w:p>
          <w:p w14:paraId="16C6C474" w14:textId="77777777" w:rsidR="00BB4114" w:rsidRPr="002A1E28" w:rsidRDefault="002A1E28" w:rsidP="002A1E28">
            <w:pPr>
              <w:pStyle w:val="prastasis12pt"/>
              <w:rPr>
                <w:sz w:val="20"/>
                <w:szCs w:val="20"/>
                <w:lang w:val="lt-LT" w:eastAsia="lt-LT"/>
              </w:rPr>
            </w:pPr>
            <w:r w:rsidRPr="002A1E28">
              <w:rPr>
                <w:sz w:val="20"/>
                <w:szCs w:val="20"/>
                <w:lang w:val="lt-LT" w:eastAsia="lt-LT"/>
              </w:rPr>
              <w:t>J. Rutkausko g. 6, LT-05132 Vilnius</w:t>
            </w:r>
          </w:p>
          <w:p w14:paraId="626B4CD6" w14:textId="77777777" w:rsidR="00BB4114" w:rsidRPr="002A1E28" w:rsidRDefault="00BB4114" w:rsidP="002A1E28">
            <w:pPr>
              <w:pStyle w:val="prastasis12pt"/>
              <w:rPr>
                <w:sz w:val="20"/>
                <w:szCs w:val="20"/>
                <w:lang w:val="lt-LT" w:eastAsia="lt-LT"/>
              </w:rPr>
            </w:pPr>
            <w:r w:rsidRPr="002A1E28">
              <w:rPr>
                <w:sz w:val="20"/>
                <w:szCs w:val="20"/>
                <w:lang w:val="lt-LT" w:eastAsia="lt-LT"/>
              </w:rPr>
              <w:t xml:space="preserve">Įmonės kodas: </w:t>
            </w:r>
            <w:r w:rsidR="002A1E28" w:rsidRPr="002A1E28">
              <w:rPr>
                <w:sz w:val="20"/>
                <w:szCs w:val="20"/>
                <w:lang w:val="lt-LT" w:eastAsia="lt-LT"/>
              </w:rPr>
              <w:t>122588443</w:t>
            </w:r>
          </w:p>
          <w:p w14:paraId="496F9E82" w14:textId="77777777" w:rsidR="00BB4114" w:rsidRPr="002A1E28" w:rsidRDefault="00BB4114" w:rsidP="002A1E28">
            <w:pPr>
              <w:pStyle w:val="prastasis12pt"/>
              <w:rPr>
                <w:sz w:val="20"/>
                <w:szCs w:val="20"/>
                <w:lang w:val="lt-LT" w:eastAsia="lt-LT"/>
              </w:rPr>
            </w:pPr>
            <w:r w:rsidRPr="002A1E28">
              <w:rPr>
                <w:sz w:val="20"/>
                <w:szCs w:val="20"/>
                <w:lang w:val="lt-LT" w:eastAsia="lt-LT"/>
              </w:rPr>
              <w:t xml:space="preserve">PVM mokėtojo kodas: </w:t>
            </w:r>
            <w:r w:rsidR="002A1E28" w:rsidRPr="002A1E28">
              <w:rPr>
                <w:sz w:val="20"/>
                <w:szCs w:val="20"/>
                <w:lang w:val="lt-LT" w:eastAsia="lt-LT"/>
              </w:rPr>
              <w:t>LT225884413</w:t>
            </w:r>
          </w:p>
          <w:p w14:paraId="5A20C93A" w14:textId="77777777" w:rsidR="00BB4114" w:rsidRPr="002A1E28" w:rsidRDefault="00BB4114" w:rsidP="002A1E28">
            <w:pPr>
              <w:pStyle w:val="prastasis12pt"/>
              <w:rPr>
                <w:sz w:val="20"/>
                <w:szCs w:val="20"/>
                <w:lang w:val="lt-LT" w:eastAsia="lt-LT"/>
              </w:rPr>
            </w:pPr>
            <w:r w:rsidRPr="002A1E28">
              <w:rPr>
                <w:sz w:val="20"/>
                <w:szCs w:val="20"/>
                <w:lang w:val="lt-LT" w:eastAsia="lt-LT"/>
              </w:rPr>
              <w:t>A.</w:t>
            </w:r>
            <w:r w:rsidR="007F5B53" w:rsidRPr="002A1E28">
              <w:rPr>
                <w:sz w:val="20"/>
                <w:szCs w:val="20"/>
                <w:lang w:val="lt-LT" w:eastAsia="lt-LT"/>
              </w:rPr>
              <w:t xml:space="preserve"> </w:t>
            </w:r>
            <w:r w:rsidRPr="002A1E28">
              <w:rPr>
                <w:sz w:val="20"/>
                <w:szCs w:val="20"/>
                <w:lang w:val="lt-LT" w:eastAsia="lt-LT"/>
              </w:rPr>
              <w:t xml:space="preserve">s. Nr. </w:t>
            </w:r>
            <w:r w:rsidR="002A1E28" w:rsidRPr="002A1E28">
              <w:rPr>
                <w:sz w:val="20"/>
                <w:szCs w:val="20"/>
                <w:lang w:val="lt-LT" w:eastAsia="lt-LT"/>
              </w:rPr>
              <w:t>LT03 2140 0300 0132 7814</w:t>
            </w:r>
          </w:p>
          <w:p w14:paraId="36D49468" w14:textId="77777777" w:rsidR="002A1E28" w:rsidRPr="002A1E28" w:rsidRDefault="002A1E28" w:rsidP="002A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AB Luminor bankas</w:t>
            </w:r>
          </w:p>
          <w:p w14:paraId="144E278F" w14:textId="77777777" w:rsidR="002A1E28" w:rsidRPr="002A1E28" w:rsidRDefault="002A1E28" w:rsidP="002A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Banko kodas 21400</w:t>
            </w:r>
          </w:p>
          <w:p w14:paraId="15506142" w14:textId="77777777" w:rsidR="002A1E28" w:rsidRPr="002A1E28" w:rsidRDefault="002A1E28" w:rsidP="002A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Tel. (8 5) 239 78 30</w:t>
            </w:r>
          </w:p>
          <w:p w14:paraId="47AFDF51" w14:textId="77777777" w:rsidR="002A1E28" w:rsidRPr="002A1E28" w:rsidRDefault="002A1E28" w:rsidP="002A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Tel. +370 37 400 040</w:t>
            </w:r>
          </w:p>
          <w:p w14:paraId="4117050F" w14:textId="77777777" w:rsidR="002A1E28" w:rsidRPr="002A1E28" w:rsidRDefault="002A1E28" w:rsidP="002A1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El. p. software@atea.lt</w:t>
            </w:r>
          </w:p>
          <w:p w14:paraId="046C6F45" w14:textId="57199C21" w:rsidR="0002566F" w:rsidRPr="0002566F" w:rsidRDefault="002A1E28" w:rsidP="00D928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A1E2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Tinklapis: http://www.atea.lt</w:t>
            </w:r>
          </w:p>
        </w:tc>
      </w:tr>
    </w:tbl>
    <w:p w14:paraId="37ECB9D4" w14:textId="77777777" w:rsidR="00A25756" w:rsidRPr="00D25C4E" w:rsidRDefault="00A25756" w:rsidP="00D92884"/>
    <w:sectPr w:rsidR="00A25756" w:rsidRPr="00D25C4E" w:rsidSect="00D92884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6F"/>
    <w:rsid w:val="00010D22"/>
    <w:rsid w:val="0002566F"/>
    <w:rsid w:val="00064F8A"/>
    <w:rsid w:val="00067533"/>
    <w:rsid w:val="00162D3C"/>
    <w:rsid w:val="001C0AC3"/>
    <w:rsid w:val="00231E4C"/>
    <w:rsid w:val="00296B38"/>
    <w:rsid w:val="002A1E28"/>
    <w:rsid w:val="002E4238"/>
    <w:rsid w:val="003116FD"/>
    <w:rsid w:val="003142CE"/>
    <w:rsid w:val="0031798D"/>
    <w:rsid w:val="003214C5"/>
    <w:rsid w:val="00352AA4"/>
    <w:rsid w:val="0039136C"/>
    <w:rsid w:val="00394289"/>
    <w:rsid w:val="003A5C94"/>
    <w:rsid w:val="003A725B"/>
    <w:rsid w:val="003B0CC4"/>
    <w:rsid w:val="003C25FC"/>
    <w:rsid w:val="004308D4"/>
    <w:rsid w:val="00430935"/>
    <w:rsid w:val="0043535E"/>
    <w:rsid w:val="00460B17"/>
    <w:rsid w:val="00632FCA"/>
    <w:rsid w:val="00693BF7"/>
    <w:rsid w:val="006F0827"/>
    <w:rsid w:val="00707F6C"/>
    <w:rsid w:val="00744199"/>
    <w:rsid w:val="00761DFE"/>
    <w:rsid w:val="00762B37"/>
    <w:rsid w:val="00791EAD"/>
    <w:rsid w:val="007A650F"/>
    <w:rsid w:val="007C2556"/>
    <w:rsid w:val="007F5B53"/>
    <w:rsid w:val="0084574A"/>
    <w:rsid w:val="00850962"/>
    <w:rsid w:val="00854DFC"/>
    <w:rsid w:val="00860C27"/>
    <w:rsid w:val="008A47F7"/>
    <w:rsid w:val="008B6571"/>
    <w:rsid w:val="008B7271"/>
    <w:rsid w:val="0090542F"/>
    <w:rsid w:val="00912558"/>
    <w:rsid w:val="00951CF6"/>
    <w:rsid w:val="0096674A"/>
    <w:rsid w:val="00986F20"/>
    <w:rsid w:val="00A25756"/>
    <w:rsid w:val="00A26693"/>
    <w:rsid w:val="00A32981"/>
    <w:rsid w:val="00AA62DB"/>
    <w:rsid w:val="00BB4114"/>
    <w:rsid w:val="00C3155A"/>
    <w:rsid w:val="00C82F3A"/>
    <w:rsid w:val="00C9577A"/>
    <w:rsid w:val="00CE1AAB"/>
    <w:rsid w:val="00D25C4E"/>
    <w:rsid w:val="00D51480"/>
    <w:rsid w:val="00D6352B"/>
    <w:rsid w:val="00D92884"/>
    <w:rsid w:val="00DB2E99"/>
    <w:rsid w:val="00E17259"/>
    <w:rsid w:val="00E45F30"/>
    <w:rsid w:val="00E51BB4"/>
    <w:rsid w:val="00E80EED"/>
    <w:rsid w:val="00EB4467"/>
    <w:rsid w:val="00EB488B"/>
    <w:rsid w:val="00EC3258"/>
    <w:rsid w:val="00F66034"/>
    <w:rsid w:val="00FB1D47"/>
    <w:rsid w:val="00F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45F9"/>
  <w15:chartTrackingRefBased/>
  <w15:docId w15:val="{EACF5A87-98BB-4330-99E8-C4CD5403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2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02566F"/>
  </w:style>
  <w:style w:type="character" w:customStyle="1" w:styleId="eop">
    <w:name w:val="eop"/>
    <w:basedOn w:val="DefaultParagraphFont"/>
    <w:rsid w:val="0002566F"/>
  </w:style>
  <w:style w:type="paragraph" w:customStyle="1" w:styleId="prastasis12pt">
    <w:name w:val="Įprastasis + 12 pt"/>
    <w:basedOn w:val="Normal"/>
    <w:rsid w:val="00BB4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2A1E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0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C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C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C27"/>
    <w:rPr>
      <w:rFonts w:ascii="Segoe UI" w:hAnsi="Segoe UI" w:cs="Segoe UI"/>
      <w:sz w:val="18"/>
      <w:szCs w:val="18"/>
    </w:rPr>
  </w:style>
  <w:style w:type="table" w:styleId="TableGrid">
    <w:name w:val="Table Grid"/>
    <w:aliases w:val="Smart Text Table"/>
    <w:basedOn w:val="TableNormal"/>
    <w:uiPriority w:val="39"/>
    <w:rsid w:val="00317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23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9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0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5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8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4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4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6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11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7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8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Marmazov</dc:creator>
  <cp:lastModifiedBy>Edita Ališauskaitė Vorožeikinienė</cp:lastModifiedBy>
  <cp:revision>2</cp:revision>
  <dcterms:created xsi:type="dcterms:W3CDTF">2024-07-24T06:08:00Z</dcterms:created>
  <dcterms:modified xsi:type="dcterms:W3CDTF">2024-07-24T06:08:00Z</dcterms:modified>
</cp:coreProperties>
</file>