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82B81" w14:textId="77777777" w:rsidR="00DC08A5" w:rsidRDefault="00DC08A5" w:rsidP="00BA5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9B739" w14:textId="1D79CEB8" w:rsidR="00DC08A5" w:rsidRPr="00FB1E79" w:rsidRDefault="00FB1E79" w:rsidP="00FB1E7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B1E79">
        <w:rPr>
          <w:rFonts w:ascii="Times New Roman" w:hAnsi="Times New Roman" w:cs="Times New Roman"/>
          <w:bCs/>
          <w:sz w:val="24"/>
          <w:szCs w:val="24"/>
        </w:rPr>
        <w:t xml:space="preserve">2024 m. balandžio </w:t>
      </w:r>
      <w:r w:rsidR="00451962">
        <w:rPr>
          <w:rFonts w:ascii="Times New Roman" w:hAnsi="Times New Roman" w:cs="Times New Roman"/>
          <w:bCs/>
          <w:sz w:val="24"/>
          <w:szCs w:val="24"/>
        </w:rPr>
        <w:t xml:space="preserve">12 </w:t>
      </w:r>
      <w:r w:rsidRPr="00FB1E79">
        <w:rPr>
          <w:rFonts w:ascii="Times New Roman" w:hAnsi="Times New Roman" w:cs="Times New Roman"/>
          <w:bCs/>
          <w:sz w:val="24"/>
          <w:szCs w:val="24"/>
        </w:rPr>
        <w:t>d. Suta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FB1E79">
        <w:rPr>
          <w:rFonts w:ascii="Times New Roman" w:hAnsi="Times New Roman" w:cs="Times New Roman"/>
          <w:bCs/>
          <w:sz w:val="24"/>
          <w:szCs w:val="24"/>
        </w:rPr>
        <w:t>ties Nr.</w:t>
      </w:r>
      <w:r w:rsidR="00451962">
        <w:rPr>
          <w:rFonts w:ascii="Times New Roman" w:hAnsi="Times New Roman" w:cs="Times New Roman"/>
          <w:bCs/>
          <w:sz w:val="24"/>
          <w:szCs w:val="24"/>
        </w:rPr>
        <w:t>DPS-227</w:t>
      </w:r>
      <w:bookmarkStart w:id="0" w:name="_GoBack"/>
      <w:bookmarkEnd w:id="0"/>
    </w:p>
    <w:p w14:paraId="2F355D0F" w14:textId="58DE5541" w:rsidR="00FB1E79" w:rsidRDefault="00FB1E79" w:rsidP="00FB1E7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PRIEDAS</w:t>
      </w:r>
    </w:p>
    <w:p w14:paraId="0E56EADD" w14:textId="77777777" w:rsidR="00BA50A3" w:rsidRDefault="00BA50A3" w:rsidP="00BA5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2A37">
        <w:rPr>
          <w:rFonts w:ascii="Times New Roman" w:hAnsi="Times New Roman" w:cs="Times New Roman"/>
          <w:b/>
          <w:bCs/>
          <w:sz w:val="24"/>
          <w:szCs w:val="24"/>
        </w:rPr>
        <w:t>Prekių įkainių perskaičiavimo sąlygos</w:t>
      </w:r>
    </w:p>
    <w:p w14:paraId="377CDC27" w14:textId="77777777" w:rsid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59A8C5" w14:textId="77777777" w:rsidR="00B05D75" w:rsidRDefault="00BA50A3" w:rsidP="00B05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kuri Sutarties šalis Sutarties galiojimo metu turi teisę inicijuoti Sutartyje numatytų įkainių perskaičiavimą (keitimą) ne anksčiau kaip po 12 (dvylikos) mėnesių nuo Sutarties įsigaliojimo (jeigu perskaičiavimas jau buvo atliktas – nuo paskutinio perskaičiavimo pagal šį punktą dienos), jeigu </w:t>
      </w:r>
      <w:r w:rsidRPr="00BA50A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gamintojų parduotos pramonės produkcijos kainų</w:t>
      </w:r>
      <w:r w:rsidRPr="00BA50A3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BA50A3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, a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pskaičiuotas kaip nustatyta 4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. punkte</w:t>
      </w:r>
      <w:r w:rsidRPr="00F04EB7">
        <w:rPr>
          <w:rFonts w:ascii="Times New Roman" w:eastAsia="Times New Roman" w:hAnsi="Times New Roman" w:cs="Times New Roman"/>
          <w:sz w:val="24"/>
          <w:szCs w:val="24"/>
          <w:lang w:eastAsia="lt-LT"/>
        </w:rPr>
        <w:t>, padidėja/sumažėja 10 procentų ir daugiau.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Atlikdamos perskaičiavimą Šalys vadovaujasi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viešai Oficialiosios statistikos portale paskelbtais Rodiklių duomenų bazės duomenimis, iš kitos Šalies nereikalaudamos pateikti oficialaus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kitos institucijos išduoto dokumento ar patvirtinimo.</w:t>
      </w:r>
    </w:p>
    <w:p w14:paraId="2EAEDF3A" w14:textId="64375F8E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užsakymams, pateiktiems po to, kai Šalys sudaro Susitarimą dėl įkainių perskaičiavimo.</w:t>
      </w:r>
    </w:p>
    <w:p w14:paraId="05B67A0F" w14:textId="77777777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14:paraId="44753796" w14:textId="77777777" w:rsidR="00BA50A3" w:rsidRPr="00BA50A3" w:rsidRDefault="00BA50A3" w:rsidP="00BA50A3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4.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>Nauji įkainiai apskaičiuojami pagal formulę:</w:t>
      </w:r>
    </w:p>
    <w:p w14:paraId="5FE260CA" w14:textId="77777777" w:rsidR="00BA50A3" w:rsidRPr="00BA50A3" w:rsidRDefault="00451962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Calibr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</w:rPr>
              <m:t>1</m:t>
            </m:r>
          </m:sub>
        </m:sSub>
        <m:r>
          <w:rPr>
            <w:rFonts w:ascii="Cambria Math" w:eastAsia="Calibri" w:hAnsi="Cambria Math" w:cs="Calibri"/>
            <w:sz w:val="24"/>
            <w:szCs w:val="24"/>
          </w:rPr>
          <m:t>=</m:t>
        </m:r>
        <m:r>
          <w:rPr>
            <w:rFonts w:ascii="Cambria Math" w:eastAsia="Times New Roman" w:hAnsi="Cambria Math" w:cs="Calibri"/>
            <w:sz w:val="24"/>
            <w:szCs w:val="24"/>
          </w:rPr>
          <m:t>a+</m:t>
        </m:r>
        <m:d>
          <m:dPr>
            <m:ctrlPr>
              <w:rPr>
                <w:rFonts w:ascii="Cambria Math" w:eastAsia="Times New Roman" w:hAnsi="Cambria Math" w:cs="Calibri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100</m:t>
                </m:r>
              </m:den>
            </m:f>
            <m:r>
              <w:rPr>
                <w:rFonts w:ascii="Cambria Math" w:eastAsia="Times New Roman" w:hAnsi="Cambria Math" w:cs="Calibri"/>
                <w:sz w:val="24"/>
                <w:szCs w:val="24"/>
              </w:rPr>
              <m:t>×a</m:t>
            </m:r>
          </m:e>
        </m:d>
      </m:oMath>
      <w:r w:rsidR="00BA50A3" w:rsidRPr="00BA50A3">
        <w:rPr>
          <w:rFonts w:ascii="Times New Roman" w:eastAsia="Times New Roman" w:hAnsi="Times New Roman" w:cs="Calibri"/>
          <w:sz w:val="24"/>
          <w:szCs w:val="24"/>
        </w:rPr>
        <w:t>,</w:t>
      </w:r>
      <w:r w:rsidR="00BA50A3" w:rsidRPr="00BA50A3">
        <w:rPr>
          <w:rFonts w:ascii="Times New Roman" w:eastAsia="Times New Roman" w:hAnsi="Times New Roman" w:cs="Calibri"/>
          <w:i/>
          <w:sz w:val="24"/>
          <w:szCs w:val="24"/>
        </w:rPr>
        <w:t xml:space="preserve"> </w:t>
      </w:r>
      <w:r w:rsidR="00BA50A3" w:rsidRPr="00BA50A3">
        <w:rPr>
          <w:rFonts w:ascii="Times New Roman" w:eastAsia="Times New Roman" w:hAnsi="Times New Roman" w:cs="Calibri"/>
          <w:sz w:val="24"/>
          <w:szCs w:val="24"/>
        </w:rPr>
        <w:t>kur</w:t>
      </w:r>
    </w:p>
    <w:p w14:paraId="0AA8036C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 – sutarties prekės įkainis (Eur be PVM)) (jei įkainis buvo perskaičiuotas, tai po paskutinio perskaičiavimo).</w:t>
      </w:r>
    </w:p>
    <w:p w14:paraId="6A97F822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1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perskaičiuotas (pakeistas) įkainis (Eur be PVM)</w:t>
      </w:r>
    </w:p>
    <w:p w14:paraId="63172F81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k – pagal gamintojų parduotos pramonės produkcijos kainų indeksą</w:t>
      </w:r>
      <w:r w:rsidRPr="00BA50A3">
        <w:rPr>
          <w:rFonts w:ascii="Times New Roman" w:eastAsia="Calibri" w:hAnsi="Times New Roman" w:cs="Calibri"/>
          <w:sz w:val="24"/>
          <w:szCs w:val="24"/>
          <w:vertAlign w:val="superscript"/>
        </w:rPr>
        <w:footnoteReference w:id="1"/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  <w:szCs w:val="24"/>
        </w:rPr>
        <w:t xml:space="preserve">kainų pokytis (padidėjimas arba sumažėjimas) (%).      </w:t>
      </w:r>
    </w:p>
    <w:p w14:paraId="0B864B12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iCs/>
          <w:color w:val="0070C0"/>
          <w:sz w:val="24"/>
          <w:szCs w:val="24"/>
        </w:rPr>
      </w:pPr>
      <w:r w:rsidRPr="00BA50A3">
        <w:rPr>
          <w:rFonts w:ascii="Times New Roman" w:eastAsia="Calibri" w:hAnsi="Times New Roman" w:cs="Times New Roman"/>
          <w:sz w:val="24"/>
          <w:szCs w:val="24"/>
        </w:rPr>
        <w:t>„k“ reikšmė skaičiuojama pagal formulę:</w:t>
      </w:r>
    </w:p>
    <w:p w14:paraId="39FAB7E6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m:oMath>
        <m:r>
          <w:rPr>
            <w:rFonts w:ascii="Cambria Math" w:eastAsia="Calibri" w:hAnsi="Cambria Math" w:cs="Calibri"/>
            <w:sz w:val="24"/>
            <w:szCs w:val="24"/>
          </w:rPr>
          <m:t>k =</m:t>
        </m:r>
        <m:f>
          <m:fPr>
            <m:ctrlPr>
              <w:rPr>
                <w:rFonts w:ascii="Cambria Math" w:eastAsia="Times New Roman" w:hAnsi="Cambria Math" w:cs="Calibr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pradžia</m:t>
                </m:r>
              </m:sub>
            </m:sSub>
          </m:den>
        </m:f>
        <m:r>
          <w:rPr>
            <w:rFonts w:ascii="Cambria Math" w:eastAsia="Times New Roman" w:hAnsi="Cambria Math" w:cs="Calibri"/>
            <w:sz w:val="24"/>
            <w:szCs w:val="24"/>
          </w:rPr>
          <m:t>×100-100</m:t>
        </m:r>
      </m:oMath>
      <w:r w:rsidRPr="00BA50A3">
        <w:rPr>
          <w:rFonts w:ascii="Times New Roman" w:eastAsia="Times New Roman" w:hAnsi="Times New Roman" w:cs="Calibri"/>
          <w:sz w:val="24"/>
          <w:szCs w:val="24"/>
        </w:rPr>
        <w:t>, (proc.), kur</w:t>
      </w:r>
    </w:p>
    <w:p w14:paraId="626DBB88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proofErr w:type="spellStart"/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naujausias</w:t>
      </w:r>
      <w:proofErr w:type="spellEnd"/>
      <w:r w:rsidRPr="00BA50A3">
        <w:rPr>
          <w:rFonts w:ascii="Times New Roman" w:eastAsia="Calibri" w:hAnsi="Times New Roman" w:cs="Calibri"/>
          <w:sz w:val="24"/>
          <w:szCs w:val="24"/>
        </w:rPr>
        <w:t xml:space="preserve"> – kreipimosi dėl kainos perskaičiavimo išsiuntimo kitai šaliai datą naujausias paskelbtas gamintojų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</w:p>
    <w:p w14:paraId="26C04D77" w14:textId="77777777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proofErr w:type="spellStart"/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pradžia</w:t>
      </w:r>
      <w:proofErr w:type="spellEnd"/>
      <w:r w:rsidRPr="00BA50A3">
        <w:rPr>
          <w:rFonts w:ascii="Times New Roman" w:eastAsia="Calibri" w:hAnsi="Times New Roman" w:cs="Calibri"/>
          <w:sz w:val="24"/>
          <w:szCs w:val="24"/>
        </w:rPr>
        <w:t xml:space="preserve"> – laikotarpio pradžios datos (mėnesio) gamintojų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Pirmojo perskaičiavimo atveju laikotarpio pradžia (mėnuo) yra Sutarties sudarymo mėnuo. Antrojo ir vėlesnių perskaičiavimų atveju laikotarpio pradžia (mėnuo) yra paskutinio perskaičiavimo metu naudotos paskelbto atitinkamo indekso reikšmės mėnuo; </w:t>
      </w:r>
    </w:p>
    <w:p w14:paraId="3A6887C7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5.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Skaičiavimams indeksų reikšmės imamos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14:paraId="572DA3F3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6.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14:paraId="0CF78622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Jeigu gamintojų parduotos pramonės produkcijos kainų pokytis (k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), apskaičiuotas kaip nustatyta 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punkte, viršija 30 procentų nuo pradinio sutarties įkainio sutarties pasirašymo dieną, prekės įkainiai bus perskaičiuojami maksimaliu 30 procentų pokyčiu.</w:t>
      </w:r>
    </w:p>
    <w:p w14:paraId="7DDA2B5A" w14:textId="17C65847" w:rsidR="006430BE" w:rsidRDefault="00280D9E" w:rsidP="00FB1E7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Sutarties kaina buvo peržiūrėta pagal Sutartyje nurodytas kainų peržiūros sąlygas, atitinkamai patikslinama (didėja arba mažėja) pradinė sutarties vertė. </w:t>
      </w:r>
    </w:p>
    <w:sectPr w:rsidR="006430BE" w:rsidSect="00FB1E79">
      <w:pgSz w:w="11906" w:h="16838"/>
      <w:pgMar w:top="426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E2BFE" w14:textId="77777777" w:rsidR="004422D8" w:rsidRDefault="004422D8" w:rsidP="00BA50A3">
      <w:pPr>
        <w:spacing w:after="0" w:line="240" w:lineRule="auto"/>
      </w:pPr>
      <w:r>
        <w:separator/>
      </w:r>
    </w:p>
  </w:endnote>
  <w:endnote w:type="continuationSeparator" w:id="0">
    <w:p w14:paraId="4E22C7B9" w14:textId="77777777" w:rsidR="004422D8" w:rsidRDefault="004422D8" w:rsidP="00BA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43897" w14:textId="77777777" w:rsidR="004422D8" w:rsidRDefault="004422D8" w:rsidP="00BA50A3">
      <w:pPr>
        <w:spacing w:after="0" w:line="240" w:lineRule="auto"/>
      </w:pPr>
      <w:r>
        <w:separator/>
      </w:r>
    </w:p>
  </w:footnote>
  <w:footnote w:type="continuationSeparator" w:id="0">
    <w:p w14:paraId="7A0417FF" w14:textId="77777777" w:rsidR="004422D8" w:rsidRDefault="004422D8" w:rsidP="00BA50A3">
      <w:pPr>
        <w:spacing w:after="0" w:line="240" w:lineRule="auto"/>
      </w:pPr>
      <w:r>
        <w:continuationSeparator/>
      </w:r>
    </w:p>
  </w:footnote>
  <w:footnote w:id="1">
    <w:p w14:paraId="463FC03F" w14:textId="77777777" w:rsidR="00BA50A3" w:rsidRDefault="00BA50A3" w:rsidP="00BA50A3">
      <w:pPr>
        <w:pStyle w:val="FootnoteText"/>
      </w:pPr>
      <w:r>
        <w:rPr>
          <w:rStyle w:val="FootnoteReference"/>
        </w:rPr>
        <w:footnoteRef/>
      </w:r>
      <w:r>
        <w:t xml:space="preserve"> Prieiga per internetą:  </w:t>
      </w:r>
      <w:hyperlink r:id="rId1" w:anchor="/" w:history="1">
        <w:r w:rsidRPr="00CF5448">
          <w:rPr>
            <w:rStyle w:val="Hyperlink"/>
          </w:rPr>
          <w:t>https://osp.stat.gov.lt/statistiniu-rodikliu-analize?indicator=S7R259#/</w:t>
        </w:r>
      </w:hyperlink>
      <w:r>
        <w:t xml:space="preserve"> </w:t>
      </w:r>
    </w:p>
    <w:p w14:paraId="16BF0CAD" w14:textId="77777777" w:rsidR="00BA50A3" w:rsidRDefault="00BA50A3" w:rsidP="00BA50A3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A3"/>
    <w:rsid w:val="00011692"/>
    <w:rsid w:val="001D1DB7"/>
    <w:rsid w:val="00280D9E"/>
    <w:rsid w:val="004422D8"/>
    <w:rsid w:val="00451962"/>
    <w:rsid w:val="004F1B0D"/>
    <w:rsid w:val="006430BE"/>
    <w:rsid w:val="008B19B2"/>
    <w:rsid w:val="00B05D75"/>
    <w:rsid w:val="00BA50A3"/>
    <w:rsid w:val="00DC08A5"/>
    <w:rsid w:val="00F04EB7"/>
    <w:rsid w:val="00FB1E79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04D"/>
  <w15:chartTrackingRefBased/>
  <w15:docId w15:val="{AA9B27C1-3FE1-4EDA-B68B-5F8EE6B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BA50A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A50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50A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rsid w:val="00BA50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0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sp.stat.gov.lt/statistiniu-rodikliu-analize?indicator=S7R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Vitovic</dc:creator>
  <cp:keywords/>
  <dc:description/>
  <cp:lastModifiedBy>Windows User</cp:lastModifiedBy>
  <cp:revision>7</cp:revision>
  <dcterms:created xsi:type="dcterms:W3CDTF">2023-04-04T10:40:00Z</dcterms:created>
  <dcterms:modified xsi:type="dcterms:W3CDTF">2024-07-30T06:19:00Z</dcterms:modified>
</cp:coreProperties>
</file>