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6281A" w14:textId="77777777" w:rsidR="009B18EB" w:rsidRPr="00EC7780" w:rsidRDefault="009B18EB">
      <w:pPr>
        <w:jc w:val="right"/>
        <w:rPr>
          <w:szCs w:val="20"/>
          <w:lang w:val="en-GB"/>
        </w:rPr>
      </w:pPr>
    </w:p>
    <w:p w14:paraId="0CCD3B4D" w14:textId="77777777" w:rsidR="009B18EB" w:rsidRPr="00EC7780" w:rsidRDefault="00C10D66">
      <w:pPr>
        <w:wordWrap w:val="0"/>
        <w:jc w:val="right"/>
        <w:rPr>
          <w:rFonts w:eastAsia="Calibri"/>
          <w:b/>
          <w:bCs/>
          <w:lang w:val="en-GB"/>
        </w:rPr>
      </w:pPr>
      <w:r w:rsidRPr="00EC7780">
        <w:rPr>
          <w:rFonts w:eastAsia="Calibri"/>
          <w:b/>
          <w:bCs/>
          <w:lang w:val="en-GB"/>
        </w:rPr>
        <w:t>ANNEX 1</w:t>
      </w:r>
    </w:p>
    <w:p w14:paraId="3868A1E2" w14:textId="77777777" w:rsidR="009B18EB" w:rsidRPr="00EC7780" w:rsidRDefault="00C10D66">
      <w:pPr>
        <w:spacing w:after="160" w:line="259" w:lineRule="auto"/>
        <w:jc w:val="right"/>
        <w:rPr>
          <w:rFonts w:eastAsia="Calibri"/>
          <w:lang w:val="en-GB"/>
        </w:rPr>
      </w:pPr>
      <w:proofErr w:type="gramStart"/>
      <w:r w:rsidRPr="00EC7780">
        <w:rPr>
          <w:rFonts w:eastAsia="Calibri"/>
          <w:lang w:val="en-GB"/>
        </w:rPr>
        <w:t>to</w:t>
      </w:r>
      <w:proofErr w:type="gramEnd"/>
      <w:r w:rsidRPr="00EC7780">
        <w:rPr>
          <w:rFonts w:eastAsia="Calibri"/>
          <w:lang w:val="en-GB"/>
        </w:rPr>
        <w:t xml:space="preserve"> the Contract No._____ of _________ 2024 </w:t>
      </w:r>
    </w:p>
    <w:p w14:paraId="21173BB0" w14:textId="77777777" w:rsidR="009B18EB" w:rsidRPr="00EC7780" w:rsidRDefault="009B18EB">
      <w:pPr>
        <w:spacing w:after="160" w:line="259" w:lineRule="auto"/>
        <w:jc w:val="right"/>
        <w:rPr>
          <w:rFonts w:eastAsia="Calibri"/>
          <w:lang w:val="en-GB"/>
        </w:rPr>
      </w:pPr>
    </w:p>
    <w:p w14:paraId="13598796" w14:textId="77777777" w:rsidR="009B18EB" w:rsidRPr="00EC7780" w:rsidRDefault="00C10D66">
      <w:pPr>
        <w:pStyle w:val="Title"/>
        <w:rPr>
          <w:lang w:val="en-GB"/>
        </w:rPr>
      </w:pPr>
      <w:r w:rsidRPr="00EC7780">
        <w:rPr>
          <w:lang w:val="en-GB"/>
        </w:rPr>
        <w:t xml:space="preserve">          TECHNICAL SPECIFICATION FOR THE HEADOVER</w:t>
      </w:r>
    </w:p>
    <w:p w14:paraId="6CB34541" w14:textId="77777777" w:rsidR="009B18EB" w:rsidRPr="00EC7780" w:rsidRDefault="009B18EB">
      <w:pPr>
        <w:widowControl w:val="0"/>
        <w:jc w:val="center"/>
        <w:rPr>
          <w:b/>
          <w:lang w:val="en-GB"/>
        </w:rPr>
      </w:pPr>
    </w:p>
    <w:p w14:paraId="3474BE8F" w14:textId="77777777" w:rsidR="009B18EB" w:rsidRPr="00EC7780" w:rsidRDefault="00C10D66">
      <w:pPr>
        <w:widowControl w:val="0"/>
        <w:numPr>
          <w:ilvl w:val="0"/>
          <w:numId w:val="1"/>
        </w:numPr>
        <w:jc w:val="center"/>
        <w:rPr>
          <w:b/>
          <w:lang w:val="en-GB"/>
        </w:rPr>
      </w:pPr>
      <w:r w:rsidRPr="00EC7780">
        <w:rPr>
          <w:b/>
          <w:lang w:val="en-GB"/>
        </w:rPr>
        <w:t>GENERAL PROVISIONS</w:t>
      </w:r>
    </w:p>
    <w:p w14:paraId="7DBF35CF" w14:textId="77777777" w:rsidR="009B18EB" w:rsidRPr="00EC7780" w:rsidRDefault="009B18EB">
      <w:pPr>
        <w:widowControl w:val="0"/>
        <w:rPr>
          <w:b/>
          <w:lang w:val="en-GB"/>
        </w:rPr>
      </w:pPr>
    </w:p>
    <w:p w14:paraId="2B803971" w14:textId="77777777" w:rsidR="009B18EB" w:rsidRPr="00EC7780" w:rsidRDefault="00C10D66">
      <w:pPr>
        <w:pStyle w:val="BodyText"/>
        <w:numPr>
          <w:ilvl w:val="0"/>
          <w:numId w:val="2"/>
        </w:numPr>
        <w:tabs>
          <w:tab w:val="left" w:pos="-3360"/>
        </w:tabs>
        <w:ind w:left="0" w:firstLine="227"/>
        <w:rPr>
          <w:lang w:val="en-GB"/>
        </w:rPr>
      </w:pPr>
      <w:r w:rsidRPr="00EC7780">
        <w:rPr>
          <w:lang w:val="en-GB"/>
        </w:rPr>
        <w:t xml:space="preserve">The Contracting Authority intends to procure </w:t>
      </w:r>
      <w:proofErr w:type="spellStart"/>
      <w:r w:rsidRPr="00EC7780">
        <w:rPr>
          <w:lang w:val="en-GB"/>
        </w:rPr>
        <w:t>headovers</w:t>
      </w:r>
      <w:proofErr w:type="spellEnd"/>
      <w:r w:rsidRPr="00EC7780">
        <w:rPr>
          <w:lang w:val="en-GB"/>
        </w:rPr>
        <w:t xml:space="preserve"> to be worn by soldiers under the helmet as a cap, as a face mask (dust mask, etc.), as a head covering, as a scarf, or as a headband to hold back hair. </w:t>
      </w:r>
    </w:p>
    <w:p w14:paraId="7128659C" w14:textId="77777777" w:rsidR="009B18EB" w:rsidRPr="00EC7780" w:rsidRDefault="00C10D66">
      <w:pPr>
        <w:pStyle w:val="BodyText"/>
        <w:numPr>
          <w:ilvl w:val="0"/>
          <w:numId w:val="2"/>
        </w:numPr>
        <w:tabs>
          <w:tab w:val="left" w:pos="-3360"/>
        </w:tabs>
        <w:ind w:left="0" w:firstLine="142"/>
        <w:rPr>
          <w:lang w:val="en-GB"/>
        </w:rPr>
      </w:pPr>
      <w:r w:rsidRPr="00EC7780">
        <w:rPr>
          <w:lang w:val="en-GB"/>
        </w:rPr>
        <w:t xml:space="preserve">The </w:t>
      </w:r>
      <w:proofErr w:type="spellStart"/>
      <w:r w:rsidRPr="00EC7780">
        <w:rPr>
          <w:lang w:val="en-GB"/>
        </w:rPr>
        <w:t>headover</w:t>
      </w:r>
      <w:proofErr w:type="spellEnd"/>
      <w:r w:rsidRPr="00EC7780">
        <w:rPr>
          <w:lang w:val="en-GB"/>
        </w:rPr>
        <w:t xml:space="preserve"> shall comply with the requirements set out in this Technical Specification.</w:t>
      </w:r>
    </w:p>
    <w:p w14:paraId="35CF0F67" w14:textId="77777777" w:rsidR="009B18EB" w:rsidRPr="00EC7780" w:rsidRDefault="00C10D66">
      <w:pPr>
        <w:pStyle w:val="BodyText"/>
        <w:numPr>
          <w:ilvl w:val="0"/>
          <w:numId w:val="2"/>
        </w:numPr>
        <w:tabs>
          <w:tab w:val="left" w:pos="-3360"/>
        </w:tabs>
        <w:ind w:left="0" w:firstLine="142"/>
        <w:rPr>
          <w:lang w:val="en-GB"/>
        </w:rPr>
      </w:pPr>
      <w:r w:rsidRPr="00EC7780">
        <w:rPr>
          <w:lang w:val="en-GB"/>
        </w:rPr>
        <w:t xml:space="preserve">The fabric of the top of the </w:t>
      </w:r>
      <w:proofErr w:type="spellStart"/>
      <w:r w:rsidRPr="00EC7780">
        <w:rPr>
          <w:lang w:val="en-GB"/>
        </w:rPr>
        <w:t>headover</w:t>
      </w:r>
      <w:proofErr w:type="spellEnd"/>
      <w:r w:rsidRPr="00EC7780">
        <w:rPr>
          <w:lang w:val="en-GB"/>
        </w:rPr>
        <w:t xml:space="preserve"> shall comply with the minimum environmental criteria set out in Chapter IX “Textiles” of the Description of the Procedure for the Application of Environmental Criteria in the Conduct of Green Procurement, Annex 2 to the Order No. D1-401 of the Minister of the Environment of the Republic of Lithuania of 13 December 2022, “On the Amendment of the Order No. </w:t>
      </w:r>
      <w:proofErr w:type="gramStart"/>
      <w:r w:rsidRPr="00EC7780">
        <w:rPr>
          <w:lang w:val="en-GB"/>
        </w:rPr>
        <w:t>D1-508 of the Minister of the Environment of the Republic of Lithuania of  28 June 2011 “On the approval of the list of products for the procurement and purchase of which environmental criteria are applicable, the list of environmental criteria and the description of the procedure for the application of the environmental criteria to be applied by contracting authorities and contracting entities for the purchase of goods, services or works””.</w:t>
      </w:r>
      <w:proofErr w:type="gramEnd"/>
    </w:p>
    <w:p w14:paraId="638EB476" w14:textId="77777777" w:rsidR="009B18EB" w:rsidRPr="00EC7780" w:rsidRDefault="00C10D66">
      <w:pPr>
        <w:pStyle w:val="BodyText"/>
        <w:numPr>
          <w:ilvl w:val="0"/>
          <w:numId w:val="2"/>
        </w:numPr>
        <w:tabs>
          <w:tab w:val="left" w:pos="-3360"/>
        </w:tabs>
        <w:ind w:left="0" w:firstLine="142"/>
        <w:rPr>
          <w:lang w:val="en-GB"/>
        </w:rPr>
      </w:pPr>
      <w:r w:rsidRPr="00EC7780">
        <w:rPr>
          <w:lang w:val="en-GB"/>
        </w:rPr>
        <w:t xml:space="preserve">The term of the warranty for the quality of the products shall not be less than 12 (twelve) months in active operation (calculated from the date of issue of the Goods from the Buyer’s warehouse) and 24 (twenty-four) months from the date of receipt of the goods in the Buyer’s warehouse. </w:t>
      </w:r>
    </w:p>
    <w:p w14:paraId="74AE0F18" w14:textId="77777777" w:rsidR="009B18EB" w:rsidRPr="00EC7780" w:rsidRDefault="009B18EB">
      <w:pPr>
        <w:pStyle w:val="BodyText"/>
        <w:rPr>
          <w:lang w:val="en-GB"/>
        </w:rPr>
      </w:pPr>
    </w:p>
    <w:p w14:paraId="54861210" w14:textId="77777777" w:rsidR="009B18EB" w:rsidRPr="00EC7780" w:rsidRDefault="00C10D66">
      <w:pPr>
        <w:pStyle w:val="BodyText"/>
        <w:jc w:val="center"/>
        <w:rPr>
          <w:b/>
          <w:lang w:val="en-GB"/>
        </w:rPr>
      </w:pPr>
      <w:r w:rsidRPr="00EC7780">
        <w:rPr>
          <w:b/>
          <w:lang w:val="en-GB"/>
        </w:rPr>
        <w:t>CHAPTER II</w:t>
      </w:r>
    </w:p>
    <w:p w14:paraId="366FE3E1" w14:textId="77777777" w:rsidR="009B18EB" w:rsidRPr="00EC7780" w:rsidRDefault="00C10D66">
      <w:pPr>
        <w:spacing w:after="120"/>
        <w:ind w:left="360"/>
        <w:jc w:val="center"/>
        <w:rPr>
          <w:b/>
          <w:color w:val="000000"/>
          <w:lang w:val="en-GB"/>
        </w:rPr>
      </w:pPr>
      <w:r w:rsidRPr="00EC7780">
        <w:rPr>
          <w:b/>
          <w:color w:val="000000"/>
          <w:lang w:val="en-GB"/>
        </w:rPr>
        <w:t>TECHNICAL REQUIREMENTS</w:t>
      </w:r>
    </w:p>
    <w:p w14:paraId="7D85F013" w14:textId="77777777" w:rsidR="009B18EB" w:rsidRPr="00EC7780" w:rsidRDefault="00C10D66">
      <w:pPr>
        <w:pStyle w:val="BodyText"/>
        <w:numPr>
          <w:ilvl w:val="0"/>
          <w:numId w:val="2"/>
        </w:numPr>
        <w:tabs>
          <w:tab w:val="left" w:pos="-3360"/>
        </w:tabs>
        <w:ind w:left="0" w:firstLine="340"/>
        <w:rPr>
          <w:lang w:val="en-GB"/>
        </w:rPr>
      </w:pPr>
      <w:r w:rsidRPr="00EC7780">
        <w:rPr>
          <w:lang w:val="en-GB"/>
        </w:rPr>
        <w:t xml:space="preserve">The </w:t>
      </w:r>
      <w:proofErr w:type="spellStart"/>
      <w:r w:rsidRPr="00EC7780">
        <w:rPr>
          <w:lang w:val="en-GB"/>
        </w:rPr>
        <w:t>headover</w:t>
      </w:r>
      <w:proofErr w:type="spellEnd"/>
      <w:r w:rsidRPr="00EC7780">
        <w:rPr>
          <w:lang w:val="en-GB"/>
        </w:rPr>
        <w:t xml:space="preserve"> is a seamless, cylindrical, one-piece/detail product made of a thin, elastic knitted fabric made of polyester multifilament yarn. The knitting shall be plain lateral stitch.</w:t>
      </w:r>
    </w:p>
    <w:p w14:paraId="1657F1BB" w14:textId="77777777" w:rsidR="009B18EB" w:rsidRPr="00EC7780" w:rsidRDefault="00C10D66">
      <w:pPr>
        <w:pStyle w:val="BodyText"/>
        <w:numPr>
          <w:ilvl w:val="0"/>
          <w:numId w:val="2"/>
        </w:numPr>
        <w:tabs>
          <w:tab w:val="left" w:pos="-3360"/>
        </w:tabs>
        <w:ind w:left="0" w:firstLine="340"/>
        <w:rPr>
          <w:lang w:val="en-GB"/>
        </w:rPr>
      </w:pPr>
      <w:r w:rsidRPr="00EC7780">
        <w:rPr>
          <w:lang w:val="en-GB"/>
        </w:rPr>
        <w:t xml:space="preserve">The </w:t>
      </w:r>
      <w:proofErr w:type="spellStart"/>
      <w:r w:rsidRPr="00EC7780">
        <w:rPr>
          <w:lang w:val="en-GB"/>
        </w:rPr>
        <w:t>headover</w:t>
      </w:r>
      <w:proofErr w:type="spellEnd"/>
      <w:r w:rsidRPr="00EC7780">
        <w:rPr>
          <w:lang w:val="en-GB"/>
        </w:rPr>
        <w:t xml:space="preserve"> shall be monochrome, moss-coloured, close to the colour code 19-0618 TP in the PANTONE TEXTILE colour catalogue.  </w:t>
      </w:r>
    </w:p>
    <w:p w14:paraId="46E14AE8" w14:textId="77777777" w:rsidR="009B18EB" w:rsidRPr="00EC7780" w:rsidRDefault="00C10D66">
      <w:pPr>
        <w:numPr>
          <w:ilvl w:val="0"/>
          <w:numId w:val="2"/>
        </w:numPr>
        <w:ind w:left="0" w:firstLine="357"/>
        <w:jc w:val="both"/>
        <w:rPr>
          <w:lang w:val="en-GB"/>
        </w:rPr>
      </w:pPr>
      <w:r w:rsidRPr="00EC7780">
        <w:rPr>
          <w:lang w:val="en-GB"/>
        </w:rPr>
        <w:t xml:space="preserve">The </w:t>
      </w:r>
      <w:proofErr w:type="spellStart"/>
      <w:r w:rsidRPr="00EC7780">
        <w:rPr>
          <w:lang w:val="en-GB"/>
        </w:rPr>
        <w:t>headovers</w:t>
      </w:r>
      <w:proofErr w:type="spellEnd"/>
      <w:r w:rsidRPr="00EC7780">
        <w:rPr>
          <w:lang w:val="en-GB"/>
        </w:rPr>
        <w:t xml:space="preserve"> for soldiers shall be made in one size. The dimensions and tolerances of the products </w:t>
      </w:r>
      <w:proofErr w:type="gramStart"/>
      <w:r w:rsidRPr="00EC7780">
        <w:rPr>
          <w:lang w:val="en-GB"/>
        </w:rPr>
        <w:t>are given</w:t>
      </w:r>
      <w:proofErr w:type="gramEnd"/>
      <w:r w:rsidRPr="00EC7780">
        <w:rPr>
          <w:lang w:val="en-GB"/>
        </w:rPr>
        <w:t xml:space="preserve"> in Table 1.  </w:t>
      </w:r>
    </w:p>
    <w:p w14:paraId="4C03740E" w14:textId="77777777" w:rsidR="009B18EB" w:rsidRPr="00EC7780" w:rsidRDefault="009B18EB">
      <w:pPr>
        <w:ind w:left="1080"/>
        <w:jc w:val="right"/>
        <w:rPr>
          <w:lang w:val="en-GB"/>
        </w:rPr>
      </w:pPr>
    </w:p>
    <w:p w14:paraId="3B882BC1" w14:textId="77777777" w:rsidR="009B18EB" w:rsidRPr="00EC7780" w:rsidRDefault="00C10D66">
      <w:pPr>
        <w:ind w:left="1080"/>
        <w:jc w:val="center"/>
        <w:rPr>
          <w:b/>
          <w:lang w:val="en-GB"/>
        </w:rPr>
      </w:pPr>
      <w:r w:rsidRPr="00EC7780">
        <w:rPr>
          <w:b/>
          <w:lang w:val="en-GB"/>
        </w:rPr>
        <w:t>HEADOVER DIMENSIONS</w:t>
      </w:r>
    </w:p>
    <w:p w14:paraId="72036FD0" w14:textId="77777777" w:rsidR="009B18EB" w:rsidRPr="00EC7780" w:rsidRDefault="00C10D66">
      <w:pPr>
        <w:wordWrap w:val="0"/>
        <w:ind w:left="1080"/>
        <w:jc w:val="right"/>
        <w:rPr>
          <w:lang w:val="en-GB"/>
        </w:rPr>
      </w:pPr>
      <w:r w:rsidRPr="00EC7780">
        <w:rPr>
          <w:lang w:val="en-GB"/>
        </w:rPr>
        <w:t>Table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1641"/>
        <w:gridCol w:w="1641"/>
      </w:tblGrid>
      <w:tr w:rsidR="009B18EB" w:rsidRPr="00EC7780" w14:paraId="7FB3D087" w14:textId="77777777">
        <w:trPr>
          <w:trHeight w:hRule="exact" w:val="851"/>
        </w:trPr>
        <w:tc>
          <w:tcPr>
            <w:tcW w:w="5790" w:type="dxa"/>
            <w:shd w:val="clear" w:color="auto" w:fill="auto"/>
            <w:vAlign w:val="center"/>
          </w:tcPr>
          <w:p w14:paraId="08E58390" w14:textId="77777777" w:rsidR="009B18EB" w:rsidRPr="00EC7780" w:rsidRDefault="00C10D66">
            <w:pPr>
              <w:jc w:val="center"/>
              <w:rPr>
                <w:lang w:val="en-GB"/>
              </w:rPr>
            </w:pPr>
            <w:proofErr w:type="spellStart"/>
            <w:r w:rsidRPr="00EC7780">
              <w:rPr>
                <w:lang w:val="en-GB"/>
              </w:rPr>
              <w:t>Headover</w:t>
            </w:r>
            <w:proofErr w:type="spellEnd"/>
            <w:r w:rsidRPr="00EC7780">
              <w:rPr>
                <w:lang w:val="en-GB"/>
              </w:rPr>
              <w:t xml:space="preserve"> measures</w:t>
            </w:r>
          </w:p>
        </w:tc>
        <w:tc>
          <w:tcPr>
            <w:tcW w:w="1641" w:type="dxa"/>
            <w:vAlign w:val="center"/>
          </w:tcPr>
          <w:p w14:paraId="67F4EEAC" w14:textId="77777777" w:rsidR="009B18EB" w:rsidRPr="00EC7780" w:rsidRDefault="009B18EB">
            <w:pPr>
              <w:jc w:val="center"/>
              <w:rPr>
                <w:lang w:val="en-GB"/>
              </w:rPr>
            </w:pPr>
          </w:p>
        </w:tc>
        <w:tc>
          <w:tcPr>
            <w:tcW w:w="1641" w:type="dxa"/>
            <w:shd w:val="clear" w:color="auto" w:fill="auto"/>
            <w:vAlign w:val="center"/>
          </w:tcPr>
          <w:p w14:paraId="3A7521A3" w14:textId="77777777" w:rsidR="009B18EB" w:rsidRPr="00EC7780" w:rsidRDefault="00C10D66">
            <w:pPr>
              <w:jc w:val="center"/>
              <w:rPr>
                <w:lang w:val="en-GB"/>
              </w:rPr>
            </w:pPr>
            <w:r w:rsidRPr="00EC7780">
              <w:rPr>
                <w:bCs/>
                <w:lang w:val="en-GB"/>
              </w:rPr>
              <w:t>Permissible deviations,</w:t>
            </w:r>
          </w:p>
          <w:p w14:paraId="3A984C4C" w14:textId="77777777" w:rsidR="009B18EB" w:rsidRPr="00EC7780" w:rsidRDefault="00C10D66">
            <w:pPr>
              <w:jc w:val="center"/>
              <w:rPr>
                <w:b/>
                <w:lang w:val="en-GB"/>
              </w:rPr>
            </w:pPr>
            <w:r w:rsidRPr="00EC7780">
              <w:rPr>
                <w:lang w:val="en-GB"/>
              </w:rPr>
              <w:t>cm</w:t>
            </w:r>
          </w:p>
        </w:tc>
      </w:tr>
      <w:tr w:rsidR="009B18EB" w:rsidRPr="00EC7780" w14:paraId="48086791" w14:textId="77777777">
        <w:trPr>
          <w:trHeight w:hRule="exact" w:val="397"/>
        </w:trPr>
        <w:tc>
          <w:tcPr>
            <w:tcW w:w="5790" w:type="dxa"/>
            <w:shd w:val="clear" w:color="auto" w:fill="auto"/>
            <w:vAlign w:val="center"/>
          </w:tcPr>
          <w:p w14:paraId="3053D1D7" w14:textId="77777777" w:rsidR="009B18EB" w:rsidRPr="00EC7780" w:rsidRDefault="00C10D66">
            <w:pPr>
              <w:rPr>
                <w:lang w:val="en-GB"/>
              </w:rPr>
            </w:pPr>
            <w:proofErr w:type="spellStart"/>
            <w:r w:rsidRPr="00EC7780">
              <w:rPr>
                <w:lang w:val="en-GB"/>
              </w:rPr>
              <w:t>Headover</w:t>
            </w:r>
            <w:proofErr w:type="spellEnd"/>
            <w:r w:rsidRPr="00EC7780">
              <w:rPr>
                <w:lang w:val="en-GB"/>
              </w:rPr>
              <w:t xml:space="preserve"> length/height, cm</w:t>
            </w:r>
          </w:p>
        </w:tc>
        <w:tc>
          <w:tcPr>
            <w:tcW w:w="1641" w:type="dxa"/>
          </w:tcPr>
          <w:p w14:paraId="1AA5F641" w14:textId="77777777" w:rsidR="009B18EB" w:rsidRPr="00EC7780" w:rsidRDefault="00C10D66">
            <w:pPr>
              <w:jc w:val="center"/>
              <w:rPr>
                <w:lang w:val="en-GB"/>
              </w:rPr>
            </w:pPr>
            <w:r w:rsidRPr="00EC7780">
              <w:rPr>
                <w:lang w:val="en-GB"/>
              </w:rPr>
              <w:t>50,0</w:t>
            </w:r>
          </w:p>
        </w:tc>
        <w:tc>
          <w:tcPr>
            <w:tcW w:w="1641" w:type="dxa"/>
            <w:shd w:val="clear" w:color="auto" w:fill="auto"/>
            <w:vAlign w:val="center"/>
          </w:tcPr>
          <w:p w14:paraId="6BE4EA96" w14:textId="77777777" w:rsidR="009B18EB" w:rsidRPr="00EC7780" w:rsidRDefault="00C10D66">
            <w:pPr>
              <w:jc w:val="center"/>
              <w:rPr>
                <w:lang w:val="en-GB"/>
              </w:rPr>
            </w:pPr>
            <w:r w:rsidRPr="00EC7780">
              <w:rPr>
                <w:lang w:val="en-GB"/>
              </w:rPr>
              <w:t>+3,0/-1,0</w:t>
            </w:r>
          </w:p>
        </w:tc>
      </w:tr>
      <w:tr w:rsidR="009B18EB" w:rsidRPr="00EC7780" w14:paraId="2ECCCC2A" w14:textId="77777777">
        <w:trPr>
          <w:trHeight w:hRule="exact" w:val="397"/>
        </w:trPr>
        <w:tc>
          <w:tcPr>
            <w:tcW w:w="5790" w:type="dxa"/>
            <w:shd w:val="clear" w:color="auto" w:fill="auto"/>
            <w:vAlign w:val="center"/>
          </w:tcPr>
          <w:p w14:paraId="0579EEE2" w14:textId="77777777" w:rsidR="009B18EB" w:rsidRPr="00EC7780" w:rsidRDefault="00C10D66">
            <w:pPr>
              <w:rPr>
                <w:lang w:val="en-GB"/>
              </w:rPr>
            </w:pPr>
            <w:proofErr w:type="spellStart"/>
            <w:r w:rsidRPr="00EC7780">
              <w:rPr>
                <w:lang w:val="en-GB"/>
              </w:rPr>
              <w:t>Headover</w:t>
            </w:r>
            <w:proofErr w:type="spellEnd"/>
            <w:r w:rsidRPr="00EC7780">
              <w:rPr>
                <w:lang w:val="en-GB"/>
              </w:rPr>
              <w:t xml:space="preserve"> width, cm</w:t>
            </w:r>
          </w:p>
        </w:tc>
        <w:tc>
          <w:tcPr>
            <w:tcW w:w="1641" w:type="dxa"/>
          </w:tcPr>
          <w:p w14:paraId="31CE1956" w14:textId="77777777" w:rsidR="009B18EB" w:rsidRPr="00EC7780" w:rsidRDefault="00C10D66">
            <w:pPr>
              <w:jc w:val="center"/>
              <w:rPr>
                <w:lang w:val="en-GB"/>
              </w:rPr>
            </w:pPr>
            <w:r w:rsidRPr="00EC7780">
              <w:rPr>
                <w:lang w:val="en-GB"/>
              </w:rPr>
              <w:t>24,5</w:t>
            </w:r>
          </w:p>
        </w:tc>
        <w:tc>
          <w:tcPr>
            <w:tcW w:w="1641" w:type="dxa"/>
            <w:shd w:val="clear" w:color="auto" w:fill="auto"/>
            <w:vAlign w:val="center"/>
          </w:tcPr>
          <w:p w14:paraId="4AAECBC9" w14:textId="77777777" w:rsidR="009B18EB" w:rsidRPr="00EC7780" w:rsidRDefault="00C10D66">
            <w:pPr>
              <w:jc w:val="center"/>
              <w:rPr>
                <w:lang w:val="en-GB"/>
              </w:rPr>
            </w:pPr>
            <w:r w:rsidRPr="00EC7780">
              <w:rPr>
                <w:lang w:val="en-GB"/>
              </w:rPr>
              <w:t>± 1,0</w:t>
            </w:r>
          </w:p>
        </w:tc>
      </w:tr>
    </w:tbl>
    <w:p w14:paraId="01C1418D" w14:textId="77777777" w:rsidR="009B18EB" w:rsidRPr="00EC7780" w:rsidRDefault="009B18EB">
      <w:pPr>
        <w:pStyle w:val="Title"/>
        <w:jc w:val="left"/>
        <w:rPr>
          <w:lang w:val="en-GB"/>
        </w:rPr>
      </w:pPr>
    </w:p>
    <w:p w14:paraId="6DFC6CFA" w14:textId="77777777" w:rsidR="009B18EB" w:rsidRPr="00EC7780" w:rsidRDefault="00C10D66">
      <w:pPr>
        <w:numPr>
          <w:ilvl w:val="0"/>
          <w:numId w:val="2"/>
        </w:numPr>
        <w:ind w:left="0" w:firstLine="113"/>
        <w:jc w:val="both"/>
        <w:rPr>
          <w:lang w:val="en-GB"/>
        </w:rPr>
      </w:pPr>
      <w:r w:rsidRPr="00EC7780">
        <w:rPr>
          <w:lang w:val="en-GB"/>
        </w:rPr>
        <w:t xml:space="preserve">The ends of the </w:t>
      </w:r>
      <w:proofErr w:type="spellStart"/>
      <w:r w:rsidRPr="00EC7780">
        <w:rPr>
          <w:lang w:val="en-GB"/>
        </w:rPr>
        <w:t>headover</w:t>
      </w:r>
      <w:proofErr w:type="spellEnd"/>
      <w:r w:rsidRPr="00EC7780">
        <w:rPr>
          <w:lang w:val="en-GB"/>
        </w:rPr>
        <w:t xml:space="preserve"> shall not be frayed. The machining shall be such as to ensure that the ends will not split, lose elasticity or fade throughout the life of the product.</w:t>
      </w:r>
    </w:p>
    <w:p w14:paraId="07ED99DA" w14:textId="77777777" w:rsidR="009B18EB" w:rsidRPr="00EC7780" w:rsidRDefault="00C10D66">
      <w:pPr>
        <w:numPr>
          <w:ilvl w:val="0"/>
          <w:numId w:val="2"/>
        </w:numPr>
        <w:ind w:left="0" w:firstLine="113"/>
        <w:jc w:val="both"/>
        <w:rPr>
          <w:lang w:val="en-GB"/>
        </w:rPr>
      </w:pPr>
      <w:r w:rsidRPr="00EC7780">
        <w:rPr>
          <w:lang w:val="en-GB"/>
        </w:rPr>
        <w:t xml:space="preserve">The technical characteristics of the knitted fabric are given in Table 2.   </w:t>
      </w:r>
    </w:p>
    <w:p w14:paraId="4134014F" w14:textId="77777777" w:rsidR="009B18EB" w:rsidRPr="00EC7780" w:rsidRDefault="00C10D66">
      <w:pPr>
        <w:numPr>
          <w:ilvl w:val="0"/>
          <w:numId w:val="2"/>
        </w:numPr>
        <w:ind w:left="0" w:firstLine="113"/>
        <w:jc w:val="both"/>
        <w:rPr>
          <w:lang w:val="en-GB"/>
        </w:rPr>
      </w:pPr>
      <w:r w:rsidRPr="00EC7780">
        <w:rPr>
          <w:lang w:val="en-GB"/>
        </w:rPr>
        <w:t xml:space="preserve">The knitted fabric shall be knitted in good quality yarn, of a uniform thickness and density throughout, without thinning or thickening, without loops, broken threads, knots, holes or loose stitches. The colour (dyeing) shall be even/uniform over the whole area of the product. The products must be symmetrical, not disintegrated, </w:t>
      </w:r>
      <w:proofErr w:type="gramStart"/>
      <w:r w:rsidRPr="00EC7780">
        <w:rPr>
          <w:lang w:val="en-GB"/>
        </w:rPr>
        <w:t>not</w:t>
      </w:r>
      <w:proofErr w:type="gramEnd"/>
      <w:r w:rsidRPr="00EC7780">
        <w:rPr>
          <w:lang w:val="en-GB"/>
        </w:rPr>
        <w:t xml:space="preserve"> lateral.  </w:t>
      </w:r>
    </w:p>
    <w:p w14:paraId="0323079F" w14:textId="77777777" w:rsidR="009B18EB" w:rsidRPr="00EC7780" w:rsidRDefault="00C10D66">
      <w:pPr>
        <w:numPr>
          <w:ilvl w:val="0"/>
          <w:numId w:val="2"/>
        </w:numPr>
        <w:ind w:left="0" w:firstLine="113"/>
        <w:jc w:val="both"/>
        <w:rPr>
          <w:lang w:val="en-GB"/>
        </w:rPr>
      </w:pPr>
      <w:r w:rsidRPr="00EC7780">
        <w:rPr>
          <w:lang w:val="en-GB"/>
        </w:rPr>
        <w:lastRenderedPageBreak/>
        <w:t xml:space="preserve">The technological processing of the products shall comply with the general quality requirements for the category/type of products for the technological processing and materials of the products. The products must be straight, not wavy, </w:t>
      </w:r>
      <w:proofErr w:type="gramStart"/>
      <w:r w:rsidRPr="00EC7780">
        <w:rPr>
          <w:lang w:val="en-GB"/>
        </w:rPr>
        <w:t>uniform</w:t>
      </w:r>
      <w:proofErr w:type="gramEnd"/>
      <w:r w:rsidRPr="00EC7780">
        <w:rPr>
          <w:lang w:val="en-GB"/>
        </w:rPr>
        <w:t xml:space="preserve"> in width and thickness throughout their length. They must be free from broken threads, stitches, punctures, skips, knots, and must not crack or disintegrate when stretched. </w:t>
      </w:r>
    </w:p>
    <w:p w14:paraId="71E82305" w14:textId="77777777" w:rsidR="009B18EB" w:rsidRPr="00EC7780" w:rsidRDefault="009B18EB">
      <w:pPr>
        <w:rPr>
          <w:lang w:val="en-GB"/>
        </w:rPr>
      </w:pPr>
    </w:p>
    <w:p w14:paraId="719462DD" w14:textId="77777777" w:rsidR="009B18EB" w:rsidRPr="00EC7780" w:rsidRDefault="00C10D66">
      <w:pPr>
        <w:jc w:val="center"/>
        <w:rPr>
          <w:b/>
          <w:lang w:val="en-GB"/>
        </w:rPr>
      </w:pPr>
      <w:r w:rsidRPr="00EC7780">
        <w:rPr>
          <w:b/>
          <w:lang w:val="en-GB"/>
        </w:rPr>
        <w:t xml:space="preserve">TECHNICAL CHARACTERISTICS OF THE HEADOVER KNITTED FABRIC </w:t>
      </w:r>
    </w:p>
    <w:p w14:paraId="64A1A65A" w14:textId="77777777" w:rsidR="009B18EB" w:rsidRPr="00EC7780" w:rsidRDefault="00C10D66">
      <w:pPr>
        <w:wordWrap w:val="0"/>
        <w:jc w:val="right"/>
        <w:rPr>
          <w:lang w:val="en-GB"/>
        </w:rPr>
      </w:pPr>
      <w:r w:rsidRPr="00EC7780">
        <w:rPr>
          <w:lang w:val="en-GB"/>
        </w:rPr>
        <w:t>Table 2</w:t>
      </w:r>
    </w:p>
    <w:p w14:paraId="2877C475" w14:textId="77777777" w:rsidR="009B18EB" w:rsidRPr="00EC7780" w:rsidRDefault="009B18EB">
      <w:pPr>
        <w:wordWrap w:val="0"/>
        <w:jc w:val="righ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4036"/>
        <w:gridCol w:w="1560"/>
        <w:gridCol w:w="3260"/>
      </w:tblGrid>
      <w:tr w:rsidR="009B18EB" w:rsidRPr="00EC7780" w14:paraId="493D39FB" w14:textId="77777777">
        <w:tc>
          <w:tcPr>
            <w:tcW w:w="608" w:type="dxa"/>
            <w:vAlign w:val="center"/>
          </w:tcPr>
          <w:p w14:paraId="15B8765A" w14:textId="77777777" w:rsidR="009B18EB" w:rsidRPr="00EC7780" w:rsidRDefault="00C10D66">
            <w:pPr>
              <w:rPr>
                <w:lang w:val="en-GB"/>
              </w:rPr>
            </w:pPr>
            <w:r w:rsidRPr="00EC7780">
              <w:rPr>
                <w:lang w:val="en-GB"/>
              </w:rPr>
              <w:t>No.</w:t>
            </w:r>
          </w:p>
        </w:tc>
        <w:tc>
          <w:tcPr>
            <w:tcW w:w="4036" w:type="dxa"/>
            <w:vAlign w:val="center"/>
          </w:tcPr>
          <w:p w14:paraId="60A116DC" w14:textId="77777777" w:rsidR="009B18EB" w:rsidRPr="00EC7780" w:rsidRDefault="00C10D66">
            <w:pPr>
              <w:jc w:val="center"/>
              <w:rPr>
                <w:lang w:val="en-GB"/>
              </w:rPr>
            </w:pPr>
            <w:r w:rsidRPr="00EC7780">
              <w:rPr>
                <w:lang w:val="en-GB"/>
              </w:rPr>
              <w:t>Name of the parameter, dimension</w:t>
            </w:r>
          </w:p>
        </w:tc>
        <w:tc>
          <w:tcPr>
            <w:tcW w:w="1560" w:type="dxa"/>
          </w:tcPr>
          <w:p w14:paraId="1EF6F0A8" w14:textId="77777777" w:rsidR="009B18EB" w:rsidRPr="00EC7780" w:rsidRDefault="00C10D66">
            <w:pPr>
              <w:jc w:val="center"/>
              <w:rPr>
                <w:lang w:val="en-GB"/>
              </w:rPr>
            </w:pPr>
            <w:r w:rsidRPr="00EC7780">
              <w:rPr>
                <w:lang w:val="en-GB"/>
              </w:rPr>
              <w:t>Indicator value</w:t>
            </w:r>
          </w:p>
        </w:tc>
        <w:tc>
          <w:tcPr>
            <w:tcW w:w="3260" w:type="dxa"/>
            <w:vAlign w:val="center"/>
          </w:tcPr>
          <w:p w14:paraId="027B24BE" w14:textId="77777777" w:rsidR="009B18EB" w:rsidRPr="00EC7780" w:rsidRDefault="00C10D66">
            <w:pPr>
              <w:jc w:val="center"/>
              <w:rPr>
                <w:lang w:val="en-GB"/>
              </w:rPr>
            </w:pPr>
            <w:r w:rsidRPr="00EC7780">
              <w:rPr>
                <w:lang w:val="en-GB"/>
              </w:rPr>
              <w:t>Test method identifier</w:t>
            </w:r>
          </w:p>
        </w:tc>
      </w:tr>
      <w:tr w:rsidR="009B18EB" w:rsidRPr="00EC7780" w14:paraId="388B4D97" w14:textId="77777777">
        <w:trPr>
          <w:trHeight w:val="349"/>
        </w:trPr>
        <w:tc>
          <w:tcPr>
            <w:tcW w:w="608" w:type="dxa"/>
            <w:vAlign w:val="center"/>
          </w:tcPr>
          <w:p w14:paraId="4CE62B6D" w14:textId="77777777" w:rsidR="009B18EB" w:rsidRPr="00EC7780" w:rsidRDefault="00C10D66">
            <w:pPr>
              <w:jc w:val="center"/>
              <w:rPr>
                <w:lang w:val="en-GB"/>
              </w:rPr>
            </w:pPr>
            <w:r w:rsidRPr="00EC7780">
              <w:rPr>
                <w:lang w:val="en-GB"/>
              </w:rPr>
              <w:t>1.</w:t>
            </w:r>
          </w:p>
        </w:tc>
        <w:tc>
          <w:tcPr>
            <w:tcW w:w="4036" w:type="dxa"/>
            <w:vAlign w:val="center"/>
          </w:tcPr>
          <w:p w14:paraId="351CCBE4" w14:textId="77777777" w:rsidR="009B18EB" w:rsidRPr="00EC7780" w:rsidRDefault="00C10D66">
            <w:pPr>
              <w:rPr>
                <w:lang w:val="en-GB"/>
              </w:rPr>
            </w:pPr>
            <w:r w:rsidRPr="00EC7780">
              <w:rPr>
                <w:lang w:val="en-GB"/>
              </w:rPr>
              <w:t xml:space="preserve">Composition of raw material, </w:t>
            </w:r>
            <w:r w:rsidRPr="00EC7780">
              <w:rPr>
                <w:lang w:val="en-GB"/>
              </w:rPr>
              <w:sym w:font="Symbol" w:char="F025"/>
            </w:r>
          </w:p>
        </w:tc>
        <w:tc>
          <w:tcPr>
            <w:tcW w:w="1560" w:type="dxa"/>
          </w:tcPr>
          <w:p w14:paraId="2CC6B4C2" w14:textId="77777777" w:rsidR="009B18EB" w:rsidRPr="00EC7780" w:rsidRDefault="00C10D66">
            <w:pPr>
              <w:rPr>
                <w:lang w:val="en-GB"/>
              </w:rPr>
            </w:pPr>
            <w:r w:rsidRPr="00EC7780">
              <w:rPr>
                <w:lang w:val="en-GB"/>
              </w:rPr>
              <w:t xml:space="preserve">95±2 % PES  </w:t>
            </w:r>
          </w:p>
          <w:p w14:paraId="5E114287" w14:textId="77777777" w:rsidR="009B18EB" w:rsidRPr="00EC7780" w:rsidRDefault="00C10D66">
            <w:pPr>
              <w:rPr>
                <w:lang w:val="en-GB"/>
              </w:rPr>
            </w:pPr>
            <w:r w:rsidRPr="00EC7780">
              <w:rPr>
                <w:lang w:val="en-GB"/>
              </w:rPr>
              <w:t>5±2 % EL</w:t>
            </w:r>
          </w:p>
        </w:tc>
        <w:tc>
          <w:tcPr>
            <w:tcW w:w="3260" w:type="dxa"/>
            <w:vAlign w:val="center"/>
          </w:tcPr>
          <w:p w14:paraId="57321CE4" w14:textId="77777777" w:rsidR="009B18EB" w:rsidRPr="00EC7780" w:rsidRDefault="00C10D66">
            <w:pPr>
              <w:rPr>
                <w:lang w:val="en-GB"/>
              </w:rPr>
            </w:pPr>
            <w:r w:rsidRPr="00EC7780">
              <w:rPr>
                <w:lang w:val="en-GB"/>
              </w:rPr>
              <w:t>LST ISO 1833 or equivalent</w:t>
            </w:r>
          </w:p>
        </w:tc>
      </w:tr>
      <w:tr w:rsidR="009B18EB" w:rsidRPr="00EC7780" w14:paraId="47A34859" w14:textId="77777777">
        <w:trPr>
          <w:trHeight w:val="393"/>
        </w:trPr>
        <w:tc>
          <w:tcPr>
            <w:tcW w:w="608" w:type="dxa"/>
            <w:vAlign w:val="center"/>
          </w:tcPr>
          <w:p w14:paraId="532C6FDF" w14:textId="77777777" w:rsidR="009B18EB" w:rsidRPr="00EC7780" w:rsidRDefault="00C10D66">
            <w:pPr>
              <w:jc w:val="center"/>
              <w:rPr>
                <w:lang w:val="en-GB"/>
              </w:rPr>
            </w:pPr>
            <w:r w:rsidRPr="00EC7780">
              <w:rPr>
                <w:lang w:val="en-GB"/>
              </w:rPr>
              <w:t>2.</w:t>
            </w:r>
          </w:p>
        </w:tc>
        <w:tc>
          <w:tcPr>
            <w:tcW w:w="4036" w:type="dxa"/>
            <w:vAlign w:val="center"/>
          </w:tcPr>
          <w:p w14:paraId="6ACCABEE" w14:textId="77777777" w:rsidR="009B18EB" w:rsidRPr="00EC7780" w:rsidRDefault="00C10D66">
            <w:pPr>
              <w:rPr>
                <w:lang w:val="en-GB"/>
              </w:rPr>
            </w:pPr>
            <w:r w:rsidRPr="00EC7780">
              <w:rPr>
                <w:lang w:val="en-GB"/>
              </w:rPr>
              <w:t>Surface density, g/m</w:t>
            </w:r>
            <w:r w:rsidRPr="00EC7780">
              <w:rPr>
                <w:vertAlign w:val="superscript"/>
                <w:lang w:val="en-GB"/>
              </w:rPr>
              <w:t>2</w:t>
            </w:r>
          </w:p>
        </w:tc>
        <w:tc>
          <w:tcPr>
            <w:tcW w:w="1560" w:type="dxa"/>
            <w:vAlign w:val="center"/>
          </w:tcPr>
          <w:p w14:paraId="48ECB535" w14:textId="77777777" w:rsidR="009B18EB" w:rsidRPr="00EC7780" w:rsidRDefault="00C10D66">
            <w:pPr>
              <w:jc w:val="center"/>
              <w:rPr>
                <w:lang w:val="en-GB"/>
              </w:rPr>
            </w:pPr>
            <w:r w:rsidRPr="00EC7780">
              <w:rPr>
                <w:lang w:val="en-GB"/>
              </w:rPr>
              <w:t>150,0</w:t>
            </w:r>
          </w:p>
          <w:p w14:paraId="3BF093E3" w14:textId="77777777" w:rsidR="009B18EB" w:rsidRPr="00EC7780" w:rsidRDefault="00C10D66">
            <w:pPr>
              <w:jc w:val="center"/>
              <w:rPr>
                <w:lang w:val="en-GB"/>
              </w:rPr>
            </w:pPr>
            <w:r w:rsidRPr="00EC7780">
              <w:rPr>
                <w:lang w:val="en-GB"/>
              </w:rPr>
              <w:t>+20,0; -10,0</w:t>
            </w:r>
          </w:p>
        </w:tc>
        <w:tc>
          <w:tcPr>
            <w:tcW w:w="3260" w:type="dxa"/>
            <w:vAlign w:val="center"/>
          </w:tcPr>
          <w:p w14:paraId="176638F2" w14:textId="0BB0245D" w:rsidR="009B18EB" w:rsidRPr="00EC7780" w:rsidRDefault="00C10D66">
            <w:pPr>
              <w:rPr>
                <w:lang w:val="en-GB"/>
              </w:rPr>
            </w:pPr>
            <w:r w:rsidRPr="00EC7780">
              <w:rPr>
                <w:lang w:val="en-GB"/>
              </w:rPr>
              <w:t xml:space="preserve">LST ISO 3801 </w:t>
            </w:r>
            <w:r w:rsidR="00EC7780">
              <w:rPr>
                <w:lang w:val="en-GB"/>
              </w:rPr>
              <w:t>or</w:t>
            </w:r>
            <w:r w:rsidRPr="00EC7780">
              <w:rPr>
                <w:lang w:val="en-GB"/>
              </w:rPr>
              <w:t xml:space="preserve"> LST EN 12127 or equivalent </w:t>
            </w:r>
          </w:p>
        </w:tc>
      </w:tr>
      <w:tr w:rsidR="009B18EB" w:rsidRPr="00EC7780" w14:paraId="189C7A7F" w14:textId="77777777">
        <w:trPr>
          <w:trHeight w:val="393"/>
        </w:trPr>
        <w:tc>
          <w:tcPr>
            <w:tcW w:w="608" w:type="dxa"/>
            <w:vAlign w:val="center"/>
          </w:tcPr>
          <w:p w14:paraId="5E1B4D28" w14:textId="77777777" w:rsidR="009B18EB" w:rsidRPr="00EC7780" w:rsidRDefault="00C10D66">
            <w:pPr>
              <w:jc w:val="center"/>
              <w:rPr>
                <w:lang w:val="en-GB"/>
              </w:rPr>
            </w:pPr>
            <w:r w:rsidRPr="00EC7780">
              <w:rPr>
                <w:lang w:val="en-GB"/>
              </w:rPr>
              <w:t>3.</w:t>
            </w:r>
          </w:p>
        </w:tc>
        <w:tc>
          <w:tcPr>
            <w:tcW w:w="4036" w:type="dxa"/>
            <w:vAlign w:val="center"/>
          </w:tcPr>
          <w:p w14:paraId="586BD4AA" w14:textId="77777777" w:rsidR="009B18EB" w:rsidRPr="00EC7780" w:rsidRDefault="00C10D66">
            <w:pPr>
              <w:rPr>
                <w:lang w:val="en-GB"/>
              </w:rPr>
            </w:pPr>
            <w:r w:rsidRPr="00EC7780">
              <w:rPr>
                <w:lang w:val="en-GB"/>
              </w:rPr>
              <w:t xml:space="preserve">Dimensional variation after washing and drying (transverse and longitudinal directions </w:t>
            </w:r>
            <w:r w:rsidRPr="00EC7780">
              <w:rPr>
                <w:lang w:val="en-GB"/>
              </w:rPr>
              <w:sym w:font="Symbol" w:char="F0B1"/>
            </w:r>
            <w:r w:rsidRPr="00EC7780">
              <w:rPr>
                <w:lang w:val="en-GB"/>
              </w:rPr>
              <w:t>), % (*)</w:t>
            </w:r>
          </w:p>
        </w:tc>
        <w:tc>
          <w:tcPr>
            <w:tcW w:w="1560" w:type="dxa"/>
            <w:vAlign w:val="center"/>
          </w:tcPr>
          <w:p w14:paraId="3BCA757E" w14:textId="77777777" w:rsidR="009B18EB" w:rsidRPr="00EC7780" w:rsidRDefault="00C10D66">
            <w:pPr>
              <w:jc w:val="center"/>
              <w:rPr>
                <w:lang w:val="en-GB"/>
              </w:rPr>
            </w:pPr>
            <w:r w:rsidRPr="00EC7780">
              <w:rPr>
                <w:lang w:val="en-GB"/>
              </w:rPr>
              <w:sym w:font="Symbol" w:char="F0A3"/>
            </w:r>
            <w:r w:rsidRPr="00EC7780">
              <w:rPr>
                <w:lang w:val="en-GB"/>
              </w:rPr>
              <w:t xml:space="preserve"> 2,0</w:t>
            </w:r>
          </w:p>
          <w:p w14:paraId="610A46A7" w14:textId="77777777" w:rsidR="009B18EB" w:rsidRPr="00EC7780" w:rsidRDefault="009B18EB">
            <w:pPr>
              <w:jc w:val="center"/>
              <w:rPr>
                <w:lang w:val="en-GB"/>
              </w:rPr>
            </w:pPr>
          </w:p>
        </w:tc>
        <w:tc>
          <w:tcPr>
            <w:tcW w:w="3260" w:type="dxa"/>
            <w:vAlign w:val="center"/>
          </w:tcPr>
          <w:p w14:paraId="62455360" w14:textId="77777777" w:rsidR="009B18EB" w:rsidRPr="00EC7780" w:rsidRDefault="00C10D66">
            <w:pPr>
              <w:rPr>
                <w:lang w:val="en-GB"/>
              </w:rPr>
            </w:pPr>
            <w:r w:rsidRPr="00EC7780">
              <w:rPr>
                <w:lang w:val="en-GB"/>
              </w:rPr>
              <w:t>LST EN ISO 5077 or equivalent</w:t>
            </w:r>
          </w:p>
        </w:tc>
      </w:tr>
      <w:tr w:rsidR="009B18EB" w:rsidRPr="00EC7780" w14:paraId="5F96397D" w14:textId="77777777">
        <w:trPr>
          <w:trHeight w:val="1726"/>
        </w:trPr>
        <w:tc>
          <w:tcPr>
            <w:tcW w:w="608" w:type="dxa"/>
          </w:tcPr>
          <w:p w14:paraId="46140DD6" w14:textId="77777777" w:rsidR="009B18EB" w:rsidRPr="00EC7780" w:rsidRDefault="00C10D66">
            <w:pPr>
              <w:jc w:val="center"/>
              <w:rPr>
                <w:lang w:val="en-GB"/>
              </w:rPr>
            </w:pPr>
            <w:r w:rsidRPr="00EC7780">
              <w:rPr>
                <w:lang w:val="en-GB"/>
              </w:rPr>
              <w:t>4.</w:t>
            </w:r>
          </w:p>
          <w:p w14:paraId="0A63B153" w14:textId="77777777" w:rsidR="009B18EB" w:rsidRPr="00EC7780" w:rsidRDefault="009B18EB">
            <w:pPr>
              <w:jc w:val="center"/>
              <w:rPr>
                <w:lang w:val="en-GB"/>
              </w:rPr>
            </w:pPr>
          </w:p>
          <w:p w14:paraId="2D9663D1" w14:textId="77777777" w:rsidR="009B18EB" w:rsidRPr="00EC7780" w:rsidRDefault="00C10D66">
            <w:pPr>
              <w:jc w:val="center"/>
              <w:rPr>
                <w:lang w:val="en-GB"/>
              </w:rPr>
            </w:pPr>
            <w:r w:rsidRPr="00EC7780">
              <w:rPr>
                <w:lang w:val="en-GB"/>
              </w:rPr>
              <w:t>4.1.</w:t>
            </w:r>
          </w:p>
          <w:p w14:paraId="7D801845" w14:textId="77777777" w:rsidR="009B18EB" w:rsidRPr="00EC7780" w:rsidRDefault="00C10D66">
            <w:pPr>
              <w:jc w:val="center"/>
              <w:rPr>
                <w:lang w:val="en-GB"/>
              </w:rPr>
            </w:pPr>
            <w:r w:rsidRPr="00EC7780">
              <w:rPr>
                <w:lang w:val="en-GB"/>
              </w:rPr>
              <w:t>4.2.</w:t>
            </w:r>
          </w:p>
          <w:p w14:paraId="36301CFB" w14:textId="77777777" w:rsidR="009B18EB" w:rsidRPr="00EC7780" w:rsidRDefault="00C10D66">
            <w:pPr>
              <w:jc w:val="center"/>
              <w:rPr>
                <w:lang w:val="en-GB"/>
              </w:rPr>
            </w:pPr>
            <w:r w:rsidRPr="00EC7780">
              <w:rPr>
                <w:lang w:val="en-GB"/>
              </w:rPr>
              <w:t xml:space="preserve">4.3. </w:t>
            </w:r>
          </w:p>
          <w:p w14:paraId="6ED4A438" w14:textId="77777777" w:rsidR="009B18EB" w:rsidRPr="00EC7780" w:rsidRDefault="009B18EB">
            <w:pPr>
              <w:jc w:val="center"/>
              <w:rPr>
                <w:lang w:val="en-GB"/>
              </w:rPr>
            </w:pPr>
          </w:p>
        </w:tc>
        <w:tc>
          <w:tcPr>
            <w:tcW w:w="4036" w:type="dxa"/>
          </w:tcPr>
          <w:p w14:paraId="6EACECC8" w14:textId="6BEE39F8" w:rsidR="009B18EB" w:rsidRPr="00EC7780" w:rsidRDefault="00C10D66">
            <w:pPr>
              <w:rPr>
                <w:lang w:val="en-GB"/>
              </w:rPr>
            </w:pPr>
            <w:r w:rsidRPr="00EC7780">
              <w:rPr>
                <w:lang w:val="en-GB"/>
              </w:rPr>
              <w:t>Paint resistance, poin</w:t>
            </w:r>
            <w:r w:rsidR="00EC7780">
              <w:rPr>
                <w:lang w:val="en-GB"/>
              </w:rPr>
              <w:t>t</w:t>
            </w:r>
            <w:r w:rsidRPr="00EC7780">
              <w:rPr>
                <w:lang w:val="en-GB"/>
              </w:rPr>
              <w:t>s</w:t>
            </w:r>
          </w:p>
          <w:p w14:paraId="7B0498FB" w14:textId="77777777" w:rsidR="009B18EB" w:rsidRPr="00EC7780" w:rsidRDefault="009B18EB">
            <w:pPr>
              <w:rPr>
                <w:lang w:val="en-GB"/>
              </w:rPr>
            </w:pPr>
          </w:p>
          <w:p w14:paraId="7A6DDDC6" w14:textId="70A2C9C8" w:rsidR="009B18EB" w:rsidRPr="00EC7780" w:rsidRDefault="00C10D66">
            <w:pPr>
              <w:rPr>
                <w:lang w:val="en-GB"/>
              </w:rPr>
            </w:pPr>
            <w:r w:rsidRPr="00EC7780">
              <w:rPr>
                <w:lang w:val="en-GB"/>
              </w:rPr>
              <w:t>- for washing at 40</w:t>
            </w:r>
            <w:r w:rsidR="00527700">
              <w:rPr>
                <w:lang w:val="en-GB"/>
              </w:rPr>
              <w:t xml:space="preserve"> </w:t>
            </w:r>
            <w:r w:rsidR="00527700" w:rsidRPr="00527700">
              <w:rPr>
                <w:lang w:val="en-GB"/>
              </w:rPr>
              <w:t>°C</w:t>
            </w:r>
            <w:r w:rsidRPr="00EC7780">
              <w:rPr>
                <w:lang w:val="en-GB"/>
              </w:rPr>
              <w:t xml:space="preserve"> (*)</w:t>
            </w:r>
          </w:p>
          <w:p w14:paraId="63E1FA3A" w14:textId="77777777" w:rsidR="009B18EB" w:rsidRPr="00EC7780" w:rsidRDefault="00C10D66">
            <w:pPr>
              <w:rPr>
                <w:lang w:val="en-GB"/>
              </w:rPr>
            </w:pPr>
            <w:r w:rsidRPr="00EC7780">
              <w:rPr>
                <w:lang w:val="en-GB"/>
              </w:rPr>
              <w:t>- for sweat</w:t>
            </w:r>
          </w:p>
          <w:p w14:paraId="6F49624D" w14:textId="77777777" w:rsidR="009B18EB" w:rsidRPr="00EC7780" w:rsidRDefault="00C10D66">
            <w:pPr>
              <w:rPr>
                <w:lang w:val="en-GB"/>
              </w:rPr>
            </w:pPr>
            <w:r w:rsidRPr="00EC7780">
              <w:rPr>
                <w:lang w:val="en-GB"/>
              </w:rPr>
              <w:t xml:space="preserve">- for dry abrasion </w:t>
            </w:r>
          </w:p>
          <w:p w14:paraId="6D4D1F01" w14:textId="77777777" w:rsidR="009B18EB" w:rsidRPr="00EC7780" w:rsidRDefault="009B18EB">
            <w:pPr>
              <w:rPr>
                <w:lang w:val="en-GB"/>
              </w:rPr>
            </w:pPr>
          </w:p>
        </w:tc>
        <w:tc>
          <w:tcPr>
            <w:tcW w:w="1560" w:type="dxa"/>
          </w:tcPr>
          <w:p w14:paraId="42AB4D18" w14:textId="77777777" w:rsidR="009B18EB" w:rsidRPr="00EC7780" w:rsidRDefault="009B18EB">
            <w:pPr>
              <w:jc w:val="center"/>
              <w:rPr>
                <w:lang w:val="en-GB"/>
              </w:rPr>
            </w:pPr>
          </w:p>
          <w:p w14:paraId="40B96291" w14:textId="77777777" w:rsidR="009B18EB" w:rsidRPr="00EC7780" w:rsidRDefault="009B18EB">
            <w:pPr>
              <w:jc w:val="center"/>
              <w:rPr>
                <w:lang w:val="en-GB"/>
              </w:rPr>
            </w:pPr>
          </w:p>
          <w:p w14:paraId="23072E24" w14:textId="77777777" w:rsidR="009B18EB" w:rsidRPr="00EC7780" w:rsidRDefault="00C10D66">
            <w:pPr>
              <w:jc w:val="center"/>
              <w:rPr>
                <w:lang w:val="en-GB"/>
              </w:rPr>
            </w:pPr>
            <w:r w:rsidRPr="00EC7780">
              <w:rPr>
                <w:lang w:val="en-GB"/>
              </w:rPr>
              <w:t>≥ 4</w:t>
            </w:r>
          </w:p>
          <w:p w14:paraId="6581F045" w14:textId="77777777" w:rsidR="009B18EB" w:rsidRPr="00EC7780" w:rsidRDefault="00C10D66">
            <w:pPr>
              <w:jc w:val="center"/>
              <w:rPr>
                <w:lang w:val="en-GB"/>
              </w:rPr>
            </w:pPr>
            <w:r w:rsidRPr="00EC7780">
              <w:rPr>
                <w:lang w:val="en-GB"/>
              </w:rPr>
              <w:t>≥ 4</w:t>
            </w:r>
          </w:p>
          <w:p w14:paraId="44EB7510" w14:textId="77777777" w:rsidR="009B18EB" w:rsidRPr="00EC7780" w:rsidRDefault="00C10D66">
            <w:pPr>
              <w:jc w:val="center"/>
              <w:rPr>
                <w:lang w:val="en-GB"/>
              </w:rPr>
            </w:pPr>
            <w:r w:rsidRPr="00EC7780">
              <w:rPr>
                <w:lang w:val="en-GB"/>
              </w:rPr>
              <w:t>≥ 4</w:t>
            </w:r>
          </w:p>
          <w:p w14:paraId="17F6B32B" w14:textId="77777777" w:rsidR="009B18EB" w:rsidRPr="00EC7780" w:rsidRDefault="009B18EB">
            <w:pPr>
              <w:jc w:val="center"/>
              <w:rPr>
                <w:lang w:val="en-GB"/>
              </w:rPr>
            </w:pPr>
          </w:p>
        </w:tc>
        <w:tc>
          <w:tcPr>
            <w:tcW w:w="3260" w:type="dxa"/>
          </w:tcPr>
          <w:p w14:paraId="6E442F9E" w14:textId="77777777" w:rsidR="009B18EB" w:rsidRPr="00EC7780" w:rsidRDefault="00C10D66">
            <w:pPr>
              <w:rPr>
                <w:lang w:val="en-GB"/>
              </w:rPr>
            </w:pPr>
            <w:r w:rsidRPr="00EC7780">
              <w:rPr>
                <w:lang w:val="en-GB"/>
              </w:rPr>
              <w:t xml:space="preserve">LST EN  ISO 105 – C06 or equivalent </w:t>
            </w:r>
          </w:p>
          <w:p w14:paraId="48E3A6AD" w14:textId="77777777" w:rsidR="009B18EB" w:rsidRPr="00EC7780" w:rsidRDefault="00C10D66">
            <w:pPr>
              <w:rPr>
                <w:lang w:val="en-GB"/>
              </w:rPr>
            </w:pPr>
            <w:r w:rsidRPr="00EC7780">
              <w:rPr>
                <w:lang w:val="en-GB"/>
              </w:rPr>
              <w:t xml:space="preserve">LST EN ISO 105-E04 or equivalent </w:t>
            </w:r>
          </w:p>
          <w:p w14:paraId="607E1270" w14:textId="77777777" w:rsidR="009B18EB" w:rsidRPr="00EC7780" w:rsidRDefault="00C10D66">
            <w:pPr>
              <w:rPr>
                <w:lang w:val="en-GB"/>
              </w:rPr>
            </w:pPr>
            <w:r w:rsidRPr="00EC7780">
              <w:rPr>
                <w:lang w:val="en-GB"/>
              </w:rPr>
              <w:t>LST EN  ISO 105 – X12 or equivalent</w:t>
            </w:r>
          </w:p>
        </w:tc>
      </w:tr>
      <w:tr w:rsidR="009B18EB" w:rsidRPr="00EC7780" w14:paraId="1BF388CD" w14:textId="77777777">
        <w:trPr>
          <w:trHeight w:val="257"/>
        </w:trPr>
        <w:tc>
          <w:tcPr>
            <w:tcW w:w="608" w:type="dxa"/>
            <w:vAlign w:val="center"/>
          </w:tcPr>
          <w:p w14:paraId="21285258" w14:textId="77777777" w:rsidR="009B18EB" w:rsidRPr="00EC7780" w:rsidRDefault="00C10D66">
            <w:pPr>
              <w:jc w:val="center"/>
              <w:rPr>
                <w:lang w:val="en-GB"/>
              </w:rPr>
            </w:pPr>
            <w:r w:rsidRPr="00EC7780">
              <w:rPr>
                <w:lang w:val="en-GB"/>
              </w:rPr>
              <w:t>5.</w:t>
            </w:r>
          </w:p>
        </w:tc>
        <w:tc>
          <w:tcPr>
            <w:tcW w:w="4036" w:type="dxa"/>
            <w:vAlign w:val="center"/>
          </w:tcPr>
          <w:p w14:paraId="22EBBCF5" w14:textId="77777777" w:rsidR="009B18EB" w:rsidRPr="00EC7780" w:rsidRDefault="00C10D66">
            <w:pPr>
              <w:rPr>
                <w:lang w:val="en-GB"/>
              </w:rPr>
            </w:pPr>
            <w:r w:rsidRPr="00EC7780">
              <w:rPr>
                <w:lang w:val="en-GB"/>
              </w:rPr>
              <w:t>Wear resistance, pumps</w:t>
            </w:r>
          </w:p>
        </w:tc>
        <w:tc>
          <w:tcPr>
            <w:tcW w:w="1560" w:type="dxa"/>
            <w:vAlign w:val="center"/>
          </w:tcPr>
          <w:p w14:paraId="48BCC551" w14:textId="77777777" w:rsidR="009B18EB" w:rsidRPr="00EC7780" w:rsidRDefault="00C10D66">
            <w:pPr>
              <w:jc w:val="center"/>
              <w:rPr>
                <w:lang w:val="en-GB"/>
              </w:rPr>
            </w:pPr>
            <w:r w:rsidRPr="00EC7780">
              <w:rPr>
                <w:lang w:val="en-GB"/>
              </w:rPr>
              <w:sym w:font="Symbol" w:char="F0B3"/>
            </w:r>
            <w:r w:rsidRPr="00EC7780">
              <w:rPr>
                <w:lang w:val="en-GB"/>
              </w:rPr>
              <w:t xml:space="preserve"> 50 000</w:t>
            </w:r>
          </w:p>
        </w:tc>
        <w:tc>
          <w:tcPr>
            <w:tcW w:w="3260" w:type="dxa"/>
          </w:tcPr>
          <w:p w14:paraId="0CEA84C1" w14:textId="77777777" w:rsidR="009B18EB" w:rsidRPr="00EC7780" w:rsidRDefault="00C10D66">
            <w:pPr>
              <w:rPr>
                <w:lang w:val="en-GB"/>
              </w:rPr>
            </w:pPr>
            <w:r w:rsidRPr="00EC7780">
              <w:rPr>
                <w:lang w:val="en-GB"/>
              </w:rPr>
              <w:t>LST EN 12947-2 or equivalent</w:t>
            </w:r>
          </w:p>
        </w:tc>
      </w:tr>
      <w:tr w:rsidR="009B18EB" w:rsidRPr="00EC7780" w14:paraId="0C5AD946" w14:textId="77777777">
        <w:trPr>
          <w:trHeight w:val="257"/>
        </w:trPr>
        <w:tc>
          <w:tcPr>
            <w:tcW w:w="608" w:type="dxa"/>
            <w:vAlign w:val="center"/>
          </w:tcPr>
          <w:p w14:paraId="68D3EC26" w14:textId="77777777" w:rsidR="009B18EB" w:rsidRPr="00EC7780" w:rsidRDefault="00C10D66">
            <w:pPr>
              <w:jc w:val="center"/>
              <w:rPr>
                <w:lang w:val="en-GB"/>
              </w:rPr>
            </w:pPr>
            <w:r w:rsidRPr="00EC7780">
              <w:rPr>
                <w:lang w:val="en-GB"/>
              </w:rPr>
              <w:t>6.</w:t>
            </w:r>
          </w:p>
        </w:tc>
        <w:tc>
          <w:tcPr>
            <w:tcW w:w="4036" w:type="dxa"/>
            <w:vAlign w:val="center"/>
          </w:tcPr>
          <w:p w14:paraId="2517592E" w14:textId="77777777" w:rsidR="009B18EB" w:rsidRPr="00EC7780" w:rsidRDefault="00C10D66">
            <w:pPr>
              <w:rPr>
                <w:lang w:val="en-GB"/>
              </w:rPr>
            </w:pPr>
            <w:r w:rsidRPr="00EC7780">
              <w:rPr>
                <w:lang w:val="en-GB"/>
              </w:rPr>
              <w:t>Pumping (after 30 min), degree</w:t>
            </w:r>
          </w:p>
        </w:tc>
        <w:tc>
          <w:tcPr>
            <w:tcW w:w="1560" w:type="dxa"/>
            <w:vAlign w:val="center"/>
          </w:tcPr>
          <w:p w14:paraId="0BC4F85B" w14:textId="77777777" w:rsidR="009B18EB" w:rsidRPr="00EC7780" w:rsidRDefault="00C10D66">
            <w:pPr>
              <w:jc w:val="center"/>
              <w:rPr>
                <w:lang w:val="en-GB"/>
              </w:rPr>
            </w:pPr>
            <w:r w:rsidRPr="00EC7780">
              <w:rPr>
                <w:lang w:val="en-GB"/>
              </w:rPr>
              <w:t>≥ 4</w:t>
            </w:r>
          </w:p>
        </w:tc>
        <w:tc>
          <w:tcPr>
            <w:tcW w:w="3260" w:type="dxa"/>
          </w:tcPr>
          <w:p w14:paraId="1E7868D8" w14:textId="7F6FC019" w:rsidR="009B18EB" w:rsidRPr="00EC7780" w:rsidRDefault="00C10D66">
            <w:pPr>
              <w:rPr>
                <w:lang w:val="en-GB"/>
              </w:rPr>
            </w:pPr>
            <w:r w:rsidRPr="00EC7780">
              <w:rPr>
                <w:lang w:val="en-GB"/>
              </w:rPr>
              <w:t>LST EN ISO 12945-1</w:t>
            </w:r>
            <w:r w:rsidR="00EC7780">
              <w:rPr>
                <w:lang w:val="en-GB"/>
              </w:rPr>
              <w:t xml:space="preserve"> </w:t>
            </w:r>
            <w:r w:rsidRPr="00EC7780">
              <w:rPr>
                <w:lang w:val="en-GB"/>
              </w:rPr>
              <w:t>or equivalent</w:t>
            </w:r>
          </w:p>
        </w:tc>
      </w:tr>
    </w:tbl>
    <w:p w14:paraId="144E0BC1" w14:textId="77777777" w:rsidR="009B18EB" w:rsidRPr="00EC7780" w:rsidRDefault="00C10D66">
      <w:pPr>
        <w:jc w:val="both"/>
        <w:rPr>
          <w:lang w:val="en-GB"/>
        </w:rPr>
      </w:pPr>
      <w:r w:rsidRPr="00EC7780">
        <w:rPr>
          <w:lang w:val="en-GB"/>
        </w:rPr>
        <w:t xml:space="preserve">Notes: </w:t>
      </w:r>
    </w:p>
    <w:p w14:paraId="11259CDE" w14:textId="77777777" w:rsidR="009B18EB" w:rsidRPr="00EC7780" w:rsidRDefault="00C10D66">
      <w:pPr>
        <w:ind w:firstLine="720"/>
        <w:jc w:val="both"/>
        <w:rPr>
          <w:lang w:val="en-GB"/>
        </w:rPr>
      </w:pPr>
      <w:r w:rsidRPr="00EC7780">
        <w:rPr>
          <w:b/>
          <w:lang w:val="en-GB"/>
        </w:rPr>
        <w:t>(*)</w:t>
      </w:r>
      <w:r w:rsidRPr="00EC7780">
        <w:rPr>
          <w:lang w:val="en-GB"/>
        </w:rPr>
        <w:t xml:space="preserve"> for tests on indicators 3 and 4.1, washing and drying procedures according to LST EN ISO 6330 (or equivalent): washing procedure 4N, drying method F (colour change to be assessed after 5 washing cycles).</w:t>
      </w:r>
    </w:p>
    <w:p w14:paraId="6AFFBB80" w14:textId="77777777" w:rsidR="009B18EB" w:rsidRPr="00EC7780" w:rsidRDefault="009B18EB">
      <w:pPr>
        <w:ind w:firstLine="720"/>
        <w:jc w:val="both"/>
        <w:rPr>
          <w:lang w:val="en-GB"/>
        </w:rPr>
      </w:pPr>
    </w:p>
    <w:p w14:paraId="6FC908F2" w14:textId="7D2987BF" w:rsidR="009B18EB" w:rsidRPr="00EC7780" w:rsidRDefault="00C10D66">
      <w:pPr>
        <w:jc w:val="center"/>
        <w:rPr>
          <w:b/>
          <w:lang w:val="en-GB"/>
        </w:rPr>
      </w:pPr>
      <w:r w:rsidRPr="00EC7780">
        <w:rPr>
          <w:b/>
          <w:lang w:val="en-GB"/>
        </w:rPr>
        <w:t>CHAPTER III</w:t>
      </w:r>
    </w:p>
    <w:p w14:paraId="0E69180A" w14:textId="77777777" w:rsidR="009B18EB" w:rsidRPr="00EC7780" w:rsidRDefault="00C10D66">
      <w:pPr>
        <w:jc w:val="center"/>
        <w:rPr>
          <w:b/>
          <w:lang w:val="en-GB"/>
        </w:rPr>
      </w:pPr>
      <w:r w:rsidRPr="00EC7780">
        <w:rPr>
          <w:b/>
          <w:caps/>
          <w:lang w:val="en-GB"/>
        </w:rPr>
        <w:t>APPROVAL OF WORKING SAMPLES</w:t>
      </w:r>
    </w:p>
    <w:p w14:paraId="70CBEF4D" w14:textId="77777777" w:rsidR="009B18EB" w:rsidRPr="00EC7780" w:rsidRDefault="009B18EB">
      <w:pPr>
        <w:jc w:val="center"/>
        <w:rPr>
          <w:b/>
          <w:caps/>
          <w:lang w:val="en-GB"/>
        </w:rPr>
      </w:pPr>
    </w:p>
    <w:p w14:paraId="5AA85B9A" w14:textId="77777777" w:rsidR="009B18EB" w:rsidRPr="00EC7780" w:rsidRDefault="00C10D66">
      <w:pPr>
        <w:numPr>
          <w:ilvl w:val="0"/>
          <w:numId w:val="2"/>
        </w:numPr>
        <w:ind w:left="0" w:firstLine="113"/>
        <w:jc w:val="both"/>
        <w:rPr>
          <w:lang w:val="en-GB"/>
        </w:rPr>
      </w:pPr>
      <w:r w:rsidRPr="00EC7780">
        <w:rPr>
          <w:lang w:val="en-GB"/>
        </w:rPr>
        <w:t>Once the contract is signed, working samples are agreed and approved.</w:t>
      </w:r>
    </w:p>
    <w:p w14:paraId="07CEFBE4" w14:textId="77777777" w:rsidR="009B18EB" w:rsidRPr="00EC7780" w:rsidRDefault="00C10D66">
      <w:pPr>
        <w:numPr>
          <w:ilvl w:val="0"/>
          <w:numId w:val="2"/>
        </w:numPr>
        <w:ind w:left="0" w:firstLine="113"/>
        <w:jc w:val="both"/>
        <w:rPr>
          <w:lang w:val="en-GB"/>
        </w:rPr>
      </w:pPr>
      <w:r w:rsidRPr="00EC7780">
        <w:rPr>
          <w:lang w:val="en-GB"/>
        </w:rPr>
        <w:t>The following shall be delivered for the approval of the working sample:</w:t>
      </w:r>
    </w:p>
    <w:p w14:paraId="2AA1FE3F" w14:textId="77777777" w:rsidR="009B18EB" w:rsidRPr="00EC7780" w:rsidRDefault="00C10D66">
      <w:pPr>
        <w:numPr>
          <w:ilvl w:val="1"/>
          <w:numId w:val="2"/>
        </w:numPr>
        <w:jc w:val="both"/>
        <w:rPr>
          <w:lang w:val="en-GB"/>
        </w:rPr>
      </w:pPr>
      <w:r w:rsidRPr="00EC7780">
        <w:rPr>
          <w:lang w:val="en-GB"/>
        </w:rPr>
        <w:t>two identical products;</w:t>
      </w:r>
    </w:p>
    <w:p w14:paraId="23A37501" w14:textId="77777777" w:rsidR="009B18EB" w:rsidRPr="00EC7780" w:rsidRDefault="00C10D66">
      <w:pPr>
        <w:numPr>
          <w:ilvl w:val="1"/>
          <w:numId w:val="2"/>
        </w:numPr>
        <w:jc w:val="both"/>
        <w:rPr>
          <w:lang w:val="en-GB"/>
        </w:rPr>
      </w:pPr>
      <w:r w:rsidRPr="00EC7780">
        <w:rPr>
          <w:lang w:val="en-GB"/>
        </w:rPr>
        <w:t>product maintenance manual for alignment;</w:t>
      </w:r>
    </w:p>
    <w:p w14:paraId="50CC7118" w14:textId="77777777" w:rsidR="009B18EB" w:rsidRPr="00EC7780" w:rsidRDefault="00C10D66">
      <w:pPr>
        <w:numPr>
          <w:ilvl w:val="1"/>
          <w:numId w:val="2"/>
        </w:numPr>
        <w:jc w:val="both"/>
        <w:rPr>
          <w:lang w:val="en-GB"/>
        </w:rPr>
      </w:pPr>
      <w:proofErr w:type="gramStart"/>
      <w:r w:rsidRPr="00EC7780">
        <w:rPr>
          <w:lang w:val="en-GB"/>
        </w:rPr>
        <w:t>a</w:t>
      </w:r>
      <w:proofErr w:type="gramEnd"/>
      <w:r w:rsidRPr="00EC7780">
        <w:rPr>
          <w:lang w:val="en-GB"/>
        </w:rPr>
        <w:t xml:space="preserve"> technical description of the product (with technical characteristics and examples of the materials used). </w:t>
      </w:r>
    </w:p>
    <w:p w14:paraId="4E1B755E" w14:textId="77777777" w:rsidR="009B18EB" w:rsidRPr="00EC7780" w:rsidRDefault="00C10D66">
      <w:pPr>
        <w:numPr>
          <w:ilvl w:val="0"/>
          <w:numId w:val="2"/>
        </w:numPr>
        <w:ind w:left="0" w:firstLine="113"/>
        <w:jc w:val="both"/>
        <w:rPr>
          <w:lang w:val="en-GB"/>
        </w:rPr>
      </w:pPr>
      <w:r w:rsidRPr="00EC7780">
        <w:rPr>
          <w:lang w:val="en-GB"/>
        </w:rPr>
        <w:t>Mass production is only allowed to start after approval of working samples.</w:t>
      </w:r>
    </w:p>
    <w:p w14:paraId="0E727436" w14:textId="77777777" w:rsidR="009B18EB" w:rsidRPr="00EC7780" w:rsidRDefault="009B18EB">
      <w:pPr>
        <w:spacing w:before="120"/>
        <w:jc w:val="center"/>
        <w:rPr>
          <w:b/>
          <w:caps/>
          <w:lang w:val="en-GB"/>
        </w:rPr>
      </w:pPr>
    </w:p>
    <w:p w14:paraId="57E10605" w14:textId="3D49B694" w:rsidR="009B18EB" w:rsidRPr="00EC7780" w:rsidRDefault="00C10D66">
      <w:pPr>
        <w:spacing w:before="120"/>
        <w:jc w:val="center"/>
        <w:rPr>
          <w:b/>
          <w:lang w:val="en-GB"/>
        </w:rPr>
      </w:pPr>
      <w:r w:rsidRPr="00EC7780">
        <w:rPr>
          <w:b/>
          <w:lang w:val="en-GB"/>
        </w:rPr>
        <w:t>CHAPTER IV</w:t>
      </w:r>
    </w:p>
    <w:p w14:paraId="6EB0D5D0" w14:textId="77777777" w:rsidR="009B18EB" w:rsidRPr="00EC7780" w:rsidRDefault="00C10D66">
      <w:pPr>
        <w:spacing w:after="120"/>
        <w:jc w:val="center"/>
        <w:rPr>
          <w:b/>
          <w:caps/>
          <w:lang w:val="en-GB"/>
        </w:rPr>
      </w:pPr>
      <w:r w:rsidRPr="00EC7780">
        <w:rPr>
          <w:b/>
          <w:lang w:val="en-GB"/>
        </w:rPr>
        <w:t>LABELLING AND PACKAGING</w:t>
      </w:r>
    </w:p>
    <w:p w14:paraId="11079144" w14:textId="77777777" w:rsidR="009B18EB" w:rsidRPr="00EC7780" w:rsidRDefault="00C10D66">
      <w:pPr>
        <w:numPr>
          <w:ilvl w:val="0"/>
          <w:numId w:val="2"/>
        </w:numPr>
        <w:ind w:left="0" w:firstLine="113"/>
        <w:jc w:val="both"/>
        <w:rPr>
          <w:lang w:val="en-GB"/>
        </w:rPr>
      </w:pPr>
      <w:r w:rsidRPr="00EC7780">
        <w:rPr>
          <w:lang w:val="en-GB"/>
        </w:rPr>
        <w:t>The labelling of products must comply with these requirements and the procedures in force in the Republic of Lithuania.</w:t>
      </w:r>
    </w:p>
    <w:p w14:paraId="6A5C8530" w14:textId="77777777" w:rsidR="009B18EB" w:rsidRPr="00EC7780" w:rsidRDefault="00C10D66">
      <w:pPr>
        <w:numPr>
          <w:ilvl w:val="0"/>
          <w:numId w:val="2"/>
        </w:numPr>
        <w:ind w:left="0" w:firstLine="113"/>
        <w:jc w:val="both"/>
        <w:rPr>
          <w:lang w:val="en-GB"/>
        </w:rPr>
      </w:pPr>
      <w:r w:rsidRPr="00EC7780">
        <w:rPr>
          <w:lang w:val="en-GB"/>
        </w:rPr>
        <w:t>Each product must bear the following particulars:</w:t>
      </w:r>
    </w:p>
    <w:p w14:paraId="7A6E7812" w14:textId="77777777" w:rsidR="009B18EB" w:rsidRPr="00EC7780" w:rsidRDefault="00C10D66">
      <w:pPr>
        <w:ind w:left="113" w:firstLine="1183"/>
        <w:jc w:val="both"/>
        <w:rPr>
          <w:lang w:val="en-GB"/>
        </w:rPr>
      </w:pPr>
      <w:r w:rsidRPr="00EC7780">
        <w:rPr>
          <w:lang w:val="en-GB"/>
        </w:rPr>
        <w:t xml:space="preserve">- </w:t>
      </w:r>
      <w:proofErr w:type="gramStart"/>
      <w:r w:rsidRPr="00EC7780">
        <w:rPr>
          <w:lang w:val="en-GB"/>
        </w:rPr>
        <w:t>the</w:t>
      </w:r>
      <w:proofErr w:type="gramEnd"/>
      <w:r w:rsidRPr="00EC7780">
        <w:rPr>
          <w:lang w:val="en-GB"/>
        </w:rPr>
        <w:t xml:space="preserve"> Supplier’s name or trademark;</w:t>
      </w:r>
    </w:p>
    <w:p w14:paraId="7B01517B" w14:textId="77777777" w:rsidR="009B18EB" w:rsidRPr="00EC7780" w:rsidRDefault="00C10D66">
      <w:pPr>
        <w:widowControl w:val="0"/>
        <w:tabs>
          <w:tab w:val="left" w:pos="-4111"/>
        </w:tabs>
        <w:jc w:val="both"/>
        <w:rPr>
          <w:lang w:val="en-GB"/>
        </w:rPr>
      </w:pPr>
      <w:r w:rsidRPr="00EC7780">
        <w:rPr>
          <w:lang w:val="en-GB"/>
        </w:rPr>
        <w:tab/>
        <w:t xml:space="preserve">- </w:t>
      </w:r>
      <w:proofErr w:type="gramStart"/>
      <w:r w:rsidRPr="00EC7780">
        <w:rPr>
          <w:lang w:val="en-GB"/>
        </w:rPr>
        <w:t>manufacturer’s</w:t>
      </w:r>
      <w:proofErr w:type="gramEnd"/>
      <w:r w:rsidRPr="00EC7780">
        <w:rPr>
          <w:lang w:val="en-GB"/>
        </w:rPr>
        <w:t xml:space="preserve"> name or trademark (if different from the Supplier);</w:t>
      </w:r>
    </w:p>
    <w:p w14:paraId="7C9FE121" w14:textId="77777777" w:rsidR="009B18EB" w:rsidRPr="00EC7780" w:rsidRDefault="00C10D66">
      <w:pPr>
        <w:widowControl w:val="0"/>
        <w:tabs>
          <w:tab w:val="left" w:pos="-4111"/>
        </w:tabs>
        <w:jc w:val="both"/>
        <w:rPr>
          <w:lang w:val="en-GB"/>
        </w:rPr>
      </w:pPr>
      <w:r w:rsidRPr="00EC7780">
        <w:rPr>
          <w:lang w:val="en-GB"/>
        </w:rPr>
        <w:tab/>
        <w:t xml:space="preserve">- </w:t>
      </w:r>
      <w:proofErr w:type="gramStart"/>
      <w:r w:rsidRPr="00EC7780">
        <w:rPr>
          <w:lang w:val="en-GB"/>
        </w:rPr>
        <w:t>fibre</w:t>
      </w:r>
      <w:proofErr w:type="gramEnd"/>
      <w:r w:rsidRPr="00EC7780">
        <w:rPr>
          <w:lang w:val="en-GB"/>
        </w:rPr>
        <w:t xml:space="preserve"> composition;</w:t>
      </w:r>
    </w:p>
    <w:p w14:paraId="1C8C9C29" w14:textId="77777777" w:rsidR="009B18EB" w:rsidRPr="00EC7780" w:rsidRDefault="00C10D66">
      <w:pPr>
        <w:widowControl w:val="0"/>
        <w:tabs>
          <w:tab w:val="left" w:pos="-4111"/>
        </w:tabs>
        <w:jc w:val="both"/>
        <w:rPr>
          <w:lang w:val="en-GB"/>
        </w:rPr>
      </w:pPr>
      <w:r w:rsidRPr="00EC7780">
        <w:rPr>
          <w:lang w:val="en-GB"/>
        </w:rPr>
        <w:tab/>
        <w:t>- Contract number and date;</w:t>
      </w:r>
    </w:p>
    <w:p w14:paraId="594F9D65" w14:textId="77777777" w:rsidR="009B18EB" w:rsidRPr="00EC7780" w:rsidRDefault="00C10D66">
      <w:pPr>
        <w:widowControl w:val="0"/>
        <w:tabs>
          <w:tab w:val="left" w:pos="-4111"/>
        </w:tabs>
        <w:jc w:val="both"/>
        <w:rPr>
          <w:lang w:val="en-GB"/>
        </w:rPr>
      </w:pPr>
      <w:r w:rsidRPr="00EC7780">
        <w:rPr>
          <w:lang w:val="en-GB"/>
        </w:rPr>
        <w:lastRenderedPageBreak/>
        <w:tab/>
        <w:t xml:space="preserve">- </w:t>
      </w:r>
      <w:proofErr w:type="gramStart"/>
      <w:r w:rsidRPr="00EC7780">
        <w:rPr>
          <w:lang w:val="en-GB"/>
        </w:rPr>
        <w:t>batch</w:t>
      </w:r>
      <w:proofErr w:type="gramEnd"/>
      <w:r w:rsidRPr="00EC7780">
        <w:rPr>
          <w:lang w:val="en-GB"/>
        </w:rPr>
        <w:t xml:space="preserve"> and consignment indexes;</w:t>
      </w:r>
    </w:p>
    <w:p w14:paraId="5E5616FD" w14:textId="77777777" w:rsidR="009B18EB" w:rsidRPr="00EC7780" w:rsidRDefault="00C10D66">
      <w:pPr>
        <w:widowControl w:val="0"/>
        <w:tabs>
          <w:tab w:val="left" w:pos="-4111"/>
        </w:tabs>
        <w:jc w:val="both"/>
        <w:rPr>
          <w:lang w:val="en-GB"/>
        </w:rPr>
      </w:pPr>
      <w:r w:rsidRPr="00EC7780">
        <w:rPr>
          <w:lang w:val="en-GB"/>
        </w:rPr>
        <w:tab/>
        <w:t xml:space="preserve">- </w:t>
      </w:r>
      <w:proofErr w:type="gramStart"/>
      <w:r w:rsidRPr="00EC7780">
        <w:rPr>
          <w:lang w:val="en-GB"/>
        </w:rPr>
        <w:t>date</w:t>
      </w:r>
      <w:proofErr w:type="gramEnd"/>
      <w:r w:rsidRPr="00EC7780">
        <w:rPr>
          <w:lang w:val="en-GB"/>
        </w:rPr>
        <w:t xml:space="preserve"> of manufacture (year, month);</w:t>
      </w:r>
    </w:p>
    <w:p w14:paraId="27BCC5F2" w14:textId="77777777" w:rsidR="009B18EB" w:rsidRPr="00EC7780" w:rsidRDefault="00C10D66">
      <w:pPr>
        <w:widowControl w:val="0"/>
        <w:tabs>
          <w:tab w:val="left" w:pos="-4111"/>
        </w:tabs>
        <w:jc w:val="both"/>
        <w:rPr>
          <w:lang w:val="en-GB"/>
        </w:rPr>
      </w:pPr>
      <w:r w:rsidRPr="00EC7780">
        <w:rPr>
          <w:lang w:val="en-GB"/>
        </w:rPr>
        <w:tab/>
        <w:t xml:space="preserve">- </w:t>
      </w:r>
      <w:proofErr w:type="gramStart"/>
      <w:r w:rsidRPr="00EC7780">
        <w:rPr>
          <w:lang w:val="en-GB"/>
        </w:rPr>
        <w:t>maintenance</w:t>
      </w:r>
      <w:proofErr w:type="gramEnd"/>
      <w:r w:rsidRPr="00EC7780">
        <w:rPr>
          <w:lang w:val="en-GB"/>
        </w:rPr>
        <w:t xml:space="preserve"> symbols (according to LST EN ISO 3758 or equivalent).</w:t>
      </w:r>
    </w:p>
    <w:p w14:paraId="1002AD2F" w14:textId="77777777" w:rsidR="009B18EB" w:rsidRPr="00EC7780" w:rsidRDefault="00C10D66">
      <w:pPr>
        <w:numPr>
          <w:ilvl w:val="0"/>
          <w:numId w:val="2"/>
        </w:numPr>
        <w:ind w:left="0" w:firstLine="113"/>
        <w:jc w:val="both"/>
        <w:rPr>
          <w:lang w:val="en-GB"/>
        </w:rPr>
      </w:pPr>
      <w:r w:rsidRPr="00EC7780">
        <w:rPr>
          <w:lang w:val="en-GB"/>
        </w:rPr>
        <w:t>The products shall be neatly packed in polythene bags of 20 pieces. Each package shall contain a coordinated instruction manual for the use and maintenance of the product.</w:t>
      </w:r>
    </w:p>
    <w:p w14:paraId="51BA9680" w14:textId="77777777" w:rsidR="009B18EB" w:rsidRPr="00EC7780" w:rsidRDefault="00C10D66">
      <w:pPr>
        <w:numPr>
          <w:ilvl w:val="0"/>
          <w:numId w:val="2"/>
        </w:numPr>
        <w:ind w:left="0" w:firstLine="113"/>
        <w:jc w:val="both"/>
        <w:rPr>
          <w:lang w:val="en-GB"/>
        </w:rPr>
      </w:pPr>
      <w:r w:rsidRPr="00EC7780">
        <w:rPr>
          <w:lang w:val="en-GB"/>
        </w:rPr>
        <w:t>Each package must bear a label stating:</w:t>
      </w:r>
    </w:p>
    <w:p w14:paraId="7E2C8FB4"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the</w:t>
      </w:r>
      <w:proofErr w:type="gramEnd"/>
      <w:r w:rsidRPr="00EC7780">
        <w:rPr>
          <w:lang w:val="en-GB"/>
        </w:rPr>
        <w:t xml:space="preserve"> Supplier’s name or trademark;</w:t>
      </w:r>
    </w:p>
    <w:p w14:paraId="0E91D91D" w14:textId="77777777" w:rsidR="009B18EB" w:rsidRPr="00EC7780" w:rsidRDefault="00C10D66">
      <w:pPr>
        <w:ind w:left="340" w:firstLine="956"/>
        <w:jc w:val="both"/>
        <w:rPr>
          <w:lang w:val="en-GB"/>
        </w:rPr>
      </w:pPr>
      <w:r w:rsidRPr="00EC7780">
        <w:rPr>
          <w:lang w:val="en-GB"/>
        </w:rPr>
        <w:t xml:space="preserve">- </w:t>
      </w:r>
      <w:proofErr w:type="gramStart"/>
      <w:r w:rsidRPr="00EC7780">
        <w:rPr>
          <w:lang w:val="en-GB"/>
        </w:rPr>
        <w:t>manufacturer’s</w:t>
      </w:r>
      <w:proofErr w:type="gramEnd"/>
      <w:r w:rsidRPr="00EC7780">
        <w:rPr>
          <w:lang w:val="en-GB"/>
        </w:rPr>
        <w:t xml:space="preserve"> name or trademark (if different from the Supplier);</w:t>
      </w:r>
    </w:p>
    <w:p w14:paraId="0C42F698" w14:textId="77777777" w:rsidR="009B18EB" w:rsidRPr="00EC7780" w:rsidRDefault="00C10D66">
      <w:pPr>
        <w:ind w:left="340" w:firstLine="956"/>
        <w:jc w:val="both"/>
        <w:rPr>
          <w:lang w:val="en-GB"/>
        </w:rPr>
      </w:pPr>
      <w:r w:rsidRPr="00EC7780">
        <w:rPr>
          <w:lang w:val="en-GB"/>
        </w:rPr>
        <w:t xml:space="preserve">- </w:t>
      </w:r>
      <w:proofErr w:type="gramStart"/>
      <w:r w:rsidRPr="00EC7780">
        <w:rPr>
          <w:lang w:val="en-GB"/>
        </w:rPr>
        <w:t>name</w:t>
      </w:r>
      <w:proofErr w:type="gramEnd"/>
      <w:r w:rsidRPr="00EC7780">
        <w:rPr>
          <w:lang w:val="en-GB"/>
        </w:rPr>
        <w:t xml:space="preserve"> of the product;</w:t>
      </w:r>
    </w:p>
    <w:p w14:paraId="7FFADC83" w14:textId="77777777" w:rsidR="009B18EB" w:rsidRPr="00EC7780" w:rsidRDefault="00C10D66">
      <w:pPr>
        <w:ind w:left="340" w:firstLine="956"/>
        <w:jc w:val="both"/>
        <w:rPr>
          <w:lang w:val="en-GB"/>
        </w:rPr>
      </w:pPr>
      <w:r w:rsidRPr="00EC7780">
        <w:rPr>
          <w:lang w:val="en-GB"/>
        </w:rPr>
        <w:t>- Contract number and date;</w:t>
      </w:r>
    </w:p>
    <w:p w14:paraId="55EA8FBD" w14:textId="77777777" w:rsidR="009B18EB" w:rsidRPr="00EC7780" w:rsidRDefault="00C10D66">
      <w:pPr>
        <w:ind w:left="340" w:firstLine="956"/>
        <w:jc w:val="both"/>
        <w:rPr>
          <w:lang w:val="en-GB"/>
        </w:rPr>
      </w:pPr>
      <w:r w:rsidRPr="00EC7780">
        <w:rPr>
          <w:lang w:val="en-GB"/>
        </w:rPr>
        <w:t xml:space="preserve">- </w:t>
      </w:r>
      <w:proofErr w:type="gramStart"/>
      <w:r w:rsidRPr="00EC7780">
        <w:rPr>
          <w:lang w:val="en-GB"/>
        </w:rPr>
        <w:t>batch</w:t>
      </w:r>
      <w:proofErr w:type="gramEnd"/>
      <w:r w:rsidRPr="00EC7780">
        <w:rPr>
          <w:lang w:val="en-GB"/>
        </w:rPr>
        <w:t xml:space="preserve"> and consignment indexes;</w:t>
      </w:r>
    </w:p>
    <w:p w14:paraId="22993322" w14:textId="77777777" w:rsidR="009B18EB" w:rsidRPr="00EC7780" w:rsidRDefault="00C10D66">
      <w:pPr>
        <w:ind w:left="340" w:firstLine="956"/>
        <w:jc w:val="both"/>
        <w:rPr>
          <w:lang w:val="en-GB"/>
        </w:rPr>
      </w:pPr>
      <w:r w:rsidRPr="00EC7780">
        <w:rPr>
          <w:lang w:val="en-GB"/>
        </w:rPr>
        <w:t xml:space="preserve">- </w:t>
      </w:r>
      <w:proofErr w:type="gramStart"/>
      <w:r w:rsidRPr="00EC7780">
        <w:rPr>
          <w:lang w:val="en-GB"/>
        </w:rPr>
        <w:t>date</w:t>
      </w:r>
      <w:proofErr w:type="gramEnd"/>
      <w:r w:rsidRPr="00EC7780">
        <w:rPr>
          <w:lang w:val="en-GB"/>
        </w:rPr>
        <w:t xml:space="preserve"> of manufacture (year, month);</w:t>
      </w:r>
    </w:p>
    <w:p w14:paraId="6A4B6149" w14:textId="77777777" w:rsidR="009B18EB" w:rsidRPr="00EC7780" w:rsidRDefault="00C10D66">
      <w:pPr>
        <w:ind w:left="340" w:firstLine="956"/>
        <w:jc w:val="both"/>
        <w:rPr>
          <w:lang w:val="en-GB"/>
        </w:rPr>
      </w:pPr>
      <w:r w:rsidRPr="00EC7780">
        <w:rPr>
          <w:lang w:val="en-GB"/>
        </w:rPr>
        <w:t>- NSN code issued by the Lithuanian Armed Forces.</w:t>
      </w:r>
    </w:p>
    <w:p w14:paraId="68E027BA" w14:textId="77777777" w:rsidR="009B18EB" w:rsidRPr="00EC7780" w:rsidRDefault="00C10D66">
      <w:pPr>
        <w:numPr>
          <w:ilvl w:val="0"/>
          <w:numId w:val="2"/>
        </w:numPr>
        <w:ind w:left="0" w:firstLine="113"/>
        <w:jc w:val="both"/>
        <w:rPr>
          <w:lang w:val="en-GB"/>
        </w:rPr>
      </w:pPr>
      <w:r w:rsidRPr="00EC7780">
        <w:rPr>
          <w:lang w:val="en-GB"/>
        </w:rPr>
        <w:t>The bags shall be packed in sturdy cardboard boxes (resistant to long storage and multiple transport). The weight of each box of products shall not exceed 10 kg.</w:t>
      </w:r>
    </w:p>
    <w:p w14:paraId="7A60EE39" w14:textId="77777777" w:rsidR="009B18EB" w:rsidRPr="00EC7780" w:rsidRDefault="00C10D66">
      <w:pPr>
        <w:numPr>
          <w:ilvl w:val="0"/>
          <w:numId w:val="2"/>
        </w:numPr>
        <w:ind w:left="0" w:firstLine="113"/>
        <w:jc w:val="both"/>
        <w:rPr>
          <w:lang w:val="en-GB"/>
        </w:rPr>
      </w:pPr>
      <w:r w:rsidRPr="00EC7780">
        <w:rPr>
          <w:lang w:val="en-GB"/>
        </w:rPr>
        <w:t>The general packaging (box) must bear the following particulars:</w:t>
      </w:r>
    </w:p>
    <w:p w14:paraId="739FF0DF"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the</w:t>
      </w:r>
      <w:proofErr w:type="gramEnd"/>
      <w:r w:rsidRPr="00EC7780">
        <w:rPr>
          <w:lang w:val="en-GB"/>
        </w:rPr>
        <w:t xml:space="preserve"> Supplier’s name or trademark;</w:t>
      </w:r>
    </w:p>
    <w:p w14:paraId="59E89811"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manufacturer’s</w:t>
      </w:r>
      <w:proofErr w:type="gramEnd"/>
      <w:r w:rsidRPr="00EC7780">
        <w:rPr>
          <w:lang w:val="en-GB"/>
        </w:rPr>
        <w:t xml:space="preserve"> name or trademark (if different from the Supplier);</w:t>
      </w:r>
    </w:p>
    <w:p w14:paraId="4B1EA429"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for</w:t>
      </w:r>
      <w:proofErr w:type="gramEnd"/>
      <w:r w:rsidRPr="00EC7780">
        <w:rPr>
          <w:lang w:val="en-GB"/>
        </w:rPr>
        <w:t xml:space="preserve"> imported products, the country of origin of the product, if this is not the same as the country in which the manufacturer is established;</w:t>
      </w:r>
    </w:p>
    <w:p w14:paraId="718C8684" w14:textId="77777777" w:rsidR="009B18EB" w:rsidRPr="00EC7780" w:rsidRDefault="00C10D66">
      <w:pPr>
        <w:ind w:left="340" w:firstLine="956"/>
        <w:jc w:val="both"/>
        <w:rPr>
          <w:lang w:val="en-GB"/>
        </w:rPr>
      </w:pPr>
      <w:r w:rsidRPr="00EC7780">
        <w:rPr>
          <w:lang w:val="en-GB"/>
        </w:rPr>
        <w:t xml:space="preserve">- </w:t>
      </w:r>
      <w:proofErr w:type="gramStart"/>
      <w:r w:rsidRPr="00EC7780">
        <w:rPr>
          <w:lang w:val="en-GB"/>
        </w:rPr>
        <w:t>name</w:t>
      </w:r>
      <w:proofErr w:type="gramEnd"/>
      <w:r w:rsidRPr="00EC7780">
        <w:rPr>
          <w:lang w:val="en-GB"/>
        </w:rPr>
        <w:t xml:space="preserve"> of the product;</w:t>
      </w:r>
    </w:p>
    <w:p w14:paraId="37117D0D" w14:textId="77777777" w:rsidR="009B18EB" w:rsidRPr="00EC7780" w:rsidRDefault="00C10D66">
      <w:pPr>
        <w:ind w:firstLine="1296"/>
        <w:jc w:val="both"/>
        <w:rPr>
          <w:lang w:val="en-GB"/>
        </w:rPr>
      </w:pPr>
      <w:r w:rsidRPr="00EC7780">
        <w:rPr>
          <w:lang w:val="en-GB"/>
        </w:rPr>
        <w:t>- Contract number and date;</w:t>
      </w:r>
    </w:p>
    <w:p w14:paraId="34F72262"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batch</w:t>
      </w:r>
      <w:proofErr w:type="gramEnd"/>
      <w:r w:rsidRPr="00EC7780">
        <w:rPr>
          <w:lang w:val="en-GB"/>
        </w:rPr>
        <w:t xml:space="preserve"> and consignment indexes (in bold and enlarged font);</w:t>
      </w:r>
    </w:p>
    <w:p w14:paraId="07EEC818"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quantity</w:t>
      </w:r>
      <w:proofErr w:type="gramEnd"/>
      <w:r w:rsidRPr="00EC7780">
        <w:rPr>
          <w:lang w:val="en-GB"/>
        </w:rPr>
        <w:t xml:space="preserve"> in pcs (in bold and enlarged font);</w:t>
      </w:r>
    </w:p>
    <w:p w14:paraId="6E7F06ED" w14:textId="77777777" w:rsidR="009B18EB" w:rsidRPr="00EC7780" w:rsidRDefault="00C10D66">
      <w:pPr>
        <w:ind w:firstLine="1296"/>
        <w:jc w:val="both"/>
        <w:rPr>
          <w:lang w:val="en-GB"/>
        </w:rPr>
      </w:pPr>
      <w:r w:rsidRPr="00EC7780">
        <w:rPr>
          <w:lang w:val="en-GB"/>
        </w:rPr>
        <w:t xml:space="preserve">- </w:t>
      </w:r>
      <w:proofErr w:type="gramStart"/>
      <w:r w:rsidRPr="00EC7780">
        <w:rPr>
          <w:lang w:val="en-GB"/>
        </w:rPr>
        <w:t>date</w:t>
      </w:r>
      <w:proofErr w:type="gramEnd"/>
      <w:r w:rsidRPr="00EC7780">
        <w:rPr>
          <w:lang w:val="en-GB"/>
        </w:rPr>
        <w:t xml:space="preserve"> of manufacture (year, month);</w:t>
      </w:r>
    </w:p>
    <w:p w14:paraId="1A399382" w14:textId="77777777" w:rsidR="009B18EB" w:rsidRPr="00EC7780" w:rsidRDefault="00C10D66">
      <w:pPr>
        <w:ind w:firstLine="1296"/>
        <w:jc w:val="both"/>
        <w:rPr>
          <w:lang w:val="en-GB"/>
        </w:rPr>
      </w:pPr>
      <w:r w:rsidRPr="00EC7780">
        <w:rPr>
          <w:lang w:val="en-GB"/>
        </w:rPr>
        <w:t xml:space="preserve">- NSN code issued by the Lithuanian Armed Forces. </w:t>
      </w:r>
    </w:p>
    <w:p w14:paraId="2DDC9ACD" w14:textId="77777777" w:rsidR="009B18EB" w:rsidRPr="00EC7780" w:rsidRDefault="00C10D66">
      <w:pPr>
        <w:numPr>
          <w:ilvl w:val="0"/>
          <w:numId w:val="2"/>
        </w:numPr>
        <w:ind w:left="0" w:firstLine="113"/>
        <w:jc w:val="both"/>
        <w:rPr>
          <w:lang w:val="en-GB"/>
        </w:rPr>
      </w:pPr>
      <w:r w:rsidRPr="00EC7780">
        <w:rPr>
          <w:lang w:val="en-GB"/>
        </w:rPr>
        <w:t>Product packaging (boxes) must comply with the minimum environmental criteria set out in Annex 2 of the description of the procedure for the application of environmental criteria in the context of green procurement, approved by the Order No. D1-401 of the Minister of the Environment of the Republic of Lithuania of 13 December 2022, “Regarding the Order No. D1-508 “On the approval of the list of products for the procurement and purchase of which environmental criteria are applicable, the list of environmental criteria and the description of the procedure for the application of environmental criteria to be applied by contracting authorities and contracting entities in the procurement of goods, services or works” of the Minister of the Environment of the Republic of Lithuania of 28 June 2011, Chapter II, “Packaging”.</w:t>
      </w:r>
    </w:p>
    <w:p w14:paraId="032B6346" w14:textId="4FEE1FE9" w:rsidR="009B18EB" w:rsidRPr="00EC7780" w:rsidRDefault="00C10D66">
      <w:pPr>
        <w:spacing w:before="120"/>
        <w:jc w:val="center"/>
        <w:rPr>
          <w:b/>
          <w:lang w:val="en-GB" w:eastAsia="lt-LT"/>
        </w:rPr>
      </w:pPr>
      <w:r w:rsidRPr="00EC7780">
        <w:rPr>
          <w:b/>
          <w:lang w:val="en-GB"/>
        </w:rPr>
        <w:t>CHAPTER V</w:t>
      </w:r>
    </w:p>
    <w:p w14:paraId="328C1BC5" w14:textId="77777777" w:rsidR="009B18EB" w:rsidRPr="00EC7780" w:rsidRDefault="00C10D66">
      <w:pPr>
        <w:widowControl w:val="0"/>
        <w:jc w:val="center"/>
        <w:rPr>
          <w:b/>
          <w:lang w:val="en-GB"/>
        </w:rPr>
      </w:pPr>
      <w:r w:rsidRPr="00EC7780">
        <w:rPr>
          <w:b/>
          <w:lang w:val="en-GB"/>
        </w:rPr>
        <w:t>ACCEPTANCE OF PRODUCTS</w:t>
      </w:r>
    </w:p>
    <w:p w14:paraId="441215E8" w14:textId="77777777" w:rsidR="009B18EB" w:rsidRPr="00EC7780" w:rsidRDefault="009B18EB">
      <w:pPr>
        <w:widowControl w:val="0"/>
        <w:jc w:val="center"/>
        <w:rPr>
          <w:b/>
          <w:lang w:val="en-GB"/>
        </w:rPr>
      </w:pPr>
    </w:p>
    <w:p w14:paraId="04DF3EC0" w14:textId="77777777" w:rsidR="009B18EB" w:rsidRPr="00EC7780" w:rsidRDefault="00C10D66">
      <w:pPr>
        <w:numPr>
          <w:ilvl w:val="0"/>
          <w:numId w:val="2"/>
        </w:numPr>
        <w:ind w:left="0" w:firstLine="113"/>
        <w:jc w:val="both"/>
        <w:rPr>
          <w:lang w:val="en-GB"/>
        </w:rPr>
      </w:pPr>
      <w:r w:rsidRPr="00EC7780">
        <w:rPr>
          <w:lang w:val="en-GB"/>
        </w:rPr>
        <w:t xml:space="preserve">Products shall be accepted in batches and consignments. Each batch of goods shall be marked with a contractual mark and shall be accompanied by a declaration of conformity of the Goods in accordance with LST EN ISO/IEC 17050-1 (ISO/IEC 17050-1) Form A.2 or an equivalent model standard. </w:t>
      </w:r>
    </w:p>
    <w:p w14:paraId="0376FA96" w14:textId="77777777" w:rsidR="009B18EB" w:rsidRPr="00EC7780" w:rsidRDefault="00C10D66">
      <w:pPr>
        <w:numPr>
          <w:ilvl w:val="0"/>
          <w:numId w:val="2"/>
        </w:numPr>
        <w:ind w:left="0" w:firstLine="113"/>
        <w:jc w:val="both"/>
        <w:rPr>
          <w:lang w:val="en-GB"/>
        </w:rPr>
      </w:pPr>
      <w:r w:rsidRPr="00EC7780">
        <w:rPr>
          <w:lang w:val="en-GB"/>
        </w:rPr>
        <w:t>The Buyer shall check the quality of the Goods from the selected batch in accordance with the terms of the Contract and may carry out laboratory tests on them. In the event that the results obtained do not comply with the requirements set out in the technical specification or with the working samples, the entire batch of goods delivered at that time shall be subject to defects.</w:t>
      </w:r>
    </w:p>
    <w:p w14:paraId="0677EDC4" w14:textId="77777777" w:rsidR="009B18EB" w:rsidRPr="00EC7780" w:rsidRDefault="009B18EB">
      <w:pPr>
        <w:tabs>
          <w:tab w:val="left" w:pos="1310"/>
        </w:tabs>
        <w:jc w:val="both"/>
        <w:rPr>
          <w:lang w:val="en-GB"/>
        </w:rPr>
      </w:pPr>
    </w:p>
    <w:tbl>
      <w:tblPr>
        <w:tblW w:w="5147" w:type="pct"/>
        <w:tblLook w:val="04A0" w:firstRow="1" w:lastRow="0" w:firstColumn="1" w:lastColumn="0" w:noHBand="0" w:noVBand="1"/>
      </w:tblPr>
      <w:tblGrid>
        <w:gridCol w:w="3895"/>
        <w:gridCol w:w="2585"/>
        <w:gridCol w:w="3441"/>
      </w:tblGrid>
      <w:tr w:rsidR="009B18EB" w:rsidRPr="00EC7780" w14:paraId="2795B7EA" w14:textId="77777777">
        <w:tc>
          <w:tcPr>
            <w:tcW w:w="1941" w:type="pct"/>
            <w:shd w:val="clear" w:color="auto" w:fill="auto"/>
          </w:tcPr>
          <w:p w14:paraId="41E91E31" w14:textId="77777777" w:rsidR="009B18EB" w:rsidRPr="00EC7780" w:rsidRDefault="00C10D66">
            <w:pPr>
              <w:widowControl w:val="0"/>
              <w:suppressAutoHyphens/>
              <w:jc w:val="both"/>
              <w:rPr>
                <w:rFonts w:eastAsia="Arial Unicode MS"/>
                <w:b/>
                <w:lang w:val="en-GB" w:bidi="lt-LT"/>
              </w:rPr>
            </w:pPr>
            <w:r w:rsidRPr="00EC7780">
              <w:rPr>
                <w:rFonts w:eastAsia="Arial Unicode MS"/>
                <w:b/>
                <w:lang w:val="en-GB" w:bidi="lt-LT"/>
              </w:rPr>
              <w:t>BUYER</w:t>
            </w:r>
          </w:p>
          <w:p w14:paraId="27381B2A" w14:textId="77777777" w:rsidR="009B18EB" w:rsidRPr="00EC7780" w:rsidRDefault="00C10D66">
            <w:pPr>
              <w:widowControl w:val="0"/>
              <w:suppressAutoHyphens/>
              <w:rPr>
                <w:rFonts w:eastAsia="Arial"/>
                <w:b/>
                <w:lang w:val="en-GB" w:eastAsia="ar-SA" w:bidi="lt-LT"/>
              </w:rPr>
            </w:pPr>
            <w:r w:rsidRPr="00EC7780">
              <w:rPr>
                <w:rFonts w:eastAsia="Calibri"/>
                <w:b/>
                <w:bCs/>
                <w:lang w:val="en-GB"/>
              </w:rPr>
              <w:t>Defence Materiel Agency under Minister of National Defence</w:t>
            </w:r>
          </w:p>
          <w:p w14:paraId="2E76DA2C" w14:textId="77777777" w:rsidR="009B18EB" w:rsidRPr="00EC7780" w:rsidRDefault="00C10D66">
            <w:pPr>
              <w:widowControl w:val="0"/>
              <w:suppressAutoHyphens/>
              <w:jc w:val="both"/>
              <w:rPr>
                <w:rFonts w:eastAsia="Arial"/>
                <w:lang w:val="en-GB" w:eastAsia="ar-SA" w:bidi="lt-LT"/>
              </w:rPr>
            </w:pPr>
            <w:r w:rsidRPr="00EC7780">
              <w:rPr>
                <w:rFonts w:eastAsia="Arial"/>
                <w:lang w:val="en-GB" w:eastAsia="ar-SA" w:bidi="lt-LT"/>
              </w:rPr>
              <w:t>_______________________</w:t>
            </w:r>
          </w:p>
          <w:p w14:paraId="209CA181" w14:textId="77777777" w:rsidR="009B18EB" w:rsidRPr="00EC7780" w:rsidRDefault="00C10D66">
            <w:pPr>
              <w:widowControl w:val="0"/>
              <w:suppressAutoHyphens/>
              <w:jc w:val="both"/>
              <w:rPr>
                <w:rFonts w:eastAsia="Arial"/>
                <w:lang w:val="en-GB" w:eastAsia="ar-SA" w:bidi="lt-LT"/>
              </w:rPr>
            </w:pPr>
            <w:r w:rsidRPr="00EC7780">
              <w:rPr>
                <w:rFonts w:eastAsia="Arial"/>
                <w:lang w:val="en-GB" w:eastAsia="ar-SA" w:bidi="lt-LT"/>
              </w:rPr>
              <w:t>Director</w:t>
            </w:r>
          </w:p>
          <w:p w14:paraId="33EC8B56" w14:textId="6C02D3B4" w:rsidR="009B18EB" w:rsidRPr="00EC7780" w:rsidRDefault="009B18EB">
            <w:pPr>
              <w:widowControl w:val="0"/>
              <w:suppressAutoHyphens/>
              <w:jc w:val="both"/>
              <w:rPr>
                <w:rFonts w:eastAsia="Arial Unicode MS"/>
                <w:b/>
                <w:lang w:val="en-GB" w:bidi="lt-LT"/>
              </w:rPr>
            </w:pPr>
            <w:bookmarkStart w:id="0" w:name="_GoBack"/>
            <w:bookmarkEnd w:id="0"/>
          </w:p>
        </w:tc>
        <w:tc>
          <w:tcPr>
            <w:tcW w:w="1288" w:type="pct"/>
            <w:shd w:val="clear" w:color="auto" w:fill="auto"/>
          </w:tcPr>
          <w:p w14:paraId="14AA21EF" w14:textId="77777777" w:rsidR="009B18EB" w:rsidRPr="00EC7780" w:rsidRDefault="009B18EB">
            <w:pPr>
              <w:widowControl w:val="0"/>
              <w:suppressAutoHyphens/>
              <w:ind w:right="870"/>
              <w:jc w:val="both"/>
              <w:rPr>
                <w:rFonts w:eastAsia="Arial Unicode MS"/>
                <w:b/>
                <w:lang w:val="en-GB" w:bidi="lt-LT"/>
              </w:rPr>
            </w:pPr>
          </w:p>
        </w:tc>
        <w:tc>
          <w:tcPr>
            <w:tcW w:w="1715" w:type="pct"/>
            <w:shd w:val="clear" w:color="auto" w:fill="auto"/>
          </w:tcPr>
          <w:p w14:paraId="5DE4906F" w14:textId="77777777" w:rsidR="009B18EB" w:rsidRPr="00EC7780" w:rsidRDefault="00C10D66">
            <w:pPr>
              <w:widowControl w:val="0"/>
              <w:suppressAutoHyphens/>
              <w:jc w:val="both"/>
              <w:rPr>
                <w:rFonts w:eastAsia="Arial Unicode MS"/>
                <w:b/>
                <w:lang w:val="en-GB" w:bidi="lt-LT"/>
              </w:rPr>
            </w:pPr>
            <w:r w:rsidRPr="00EC7780">
              <w:rPr>
                <w:rFonts w:eastAsia="Arial Unicode MS"/>
                <w:b/>
                <w:lang w:val="en-GB" w:bidi="lt-LT"/>
              </w:rPr>
              <w:t>SELLER</w:t>
            </w:r>
          </w:p>
          <w:p w14:paraId="2485DE86" w14:textId="77777777" w:rsidR="009B18EB" w:rsidRPr="00EC7780" w:rsidRDefault="009B18EB">
            <w:pPr>
              <w:widowControl w:val="0"/>
              <w:suppressAutoHyphens/>
              <w:jc w:val="both"/>
              <w:rPr>
                <w:rFonts w:eastAsia="Arial Unicode MS"/>
                <w:b/>
                <w:lang w:val="en-GB" w:bidi="lt-LT"/>
              </w:rPr>
            </w:pPr>
          </w:p>
          <w:p w14:paraId="3EB6793F" w14:textId="77777777" w:rsidR="009B18EB" w:rsidRPr="00EC7780" w:rsidRDefault="00C10D66">
            <w:pPr>
              <w:widowControl w:val="0"/>
              <w:suppressAutoHyphens/>
              <w:jc w:val="both"/>
              <w:rPr>
                <w:rFonts w:eastAsia="Arial"/>
                <w:lang w:val="en-GB" w:eastAsia="ar-SA" w:bidi="lt-LT"/>
              </w:rPr>
            </w:pPr>
            <w:r w:rsidRPr="00EC7780">
              <w:rPr>
                <w:rFonts w:eastAsia="Arial Unicode MS"/>
                <w:b/>
                <w:lang w:val="en-GB" w:bidi="lt-LT"/>
              </w:rPr>
              <w:t xml:space="preserve">UNIFEQ Europe sp. z </w:t>
            </w:r>
            <w:proofErr w:type="spellStart"/>
            <w:r w:rsidRPr="00EC7780">
              <w:rPr>
                <w:rFonts w:eastAsia="Arial Unicode MS"/>
                <w:b/>
                <w:lang w:val="en-GB" w:bidi="lt-LT"/>
              </w:rPr>
              <w:t>o.o</w:t>
            </w:r>
            <w:proofErr w:type="spellEnd"/>
            <w:r w:rsidRPr="00EC7780">
              <w:rPr>
                <w:rFonts w:eastAsia="Arial Unicode MS"/>
                <w:b/>
                <w:lang w:val="en-GB" w:bidi="lt-LT"/>
              </w:rPr>
              <w:t>.</w:t>
            </w:r>
          </w:p>
          <w:p w14:paraId="7956330F" w14:textId="77777777" w:rsidR="009B18EB" w:rsidRPr="00EC7780" w:rsidRDefault="00C10D66">
            <w:pPr>
              <w:widowControl w:val="0"/>
              <w:suppressAutoHyphens/>
              <w:jc w:val="both"/>
              <w:rPr>
                <w:rFonts w:eastAsia="Arial"/>
                <w:lang w:val="en-GB" w:eastAsia="ar-SA" w:bidi="lt-LT"/>
              </w:rPr>
            </w:pPr>
            <w:r w:rsidRPr="00EC7780">
              <w:rPr>
                <w:rFonts w:eastAsia="Arial"/>
                <w:lang w:val="en-GB" w:eastAsia="ar-SA" w:bidi="lt-LT"/>
              </w:rPr>
              <w:t>______________________</w:t>
            </w:r>
          </w:p>
          <w:p w14:paraId="28E30078" w14:textId="1D508CE1" w:rsidR="009B18EB" w:rsidRPr="00EC7780" w:rsidRDefault="009B18EB">
            <w:pPr>
              <w:widowControl w:val="0"/>
              <w:suppressAutoHyphens/>
              <w:jc w:val="both"/>
              <w:rPr>
                <w:rFonts w:eastAsia="Arial Unicode MS"/>
                <w:lang w:val="en-GB" w:bidi="lt-LT"/>
              </w:rPr>
            </w:pPr>
          </w:p>
        </w:tc>
      </w:tr>
    </w:tbl>
    <w:p w14:paraId="397E1B1B" w14:textId="77777777" w:rsidR="009B18EB" w:rsidRPr="00EC7780" w:rsidRDefault="009B18EB">
      <w:pPr>
        <w:tabs>
          <w:tab w:val="left" w:pos="1310"/>
        </w:tabs>
        <w:jc w:val="both"/>
        <w:rPr>
          <w:lang w:val="en-GB"/>
        </w:rPr>
      </w:pPr>
    </w:p>
    <w:sectPr w:rsidR="009B18EB" w:rsidRPr="00EC7780">
      <w:footerReference w:type="even" r:id="rId8"/>
      <w:footerReference w:type="default" r:id="rId9"/>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B4B5E" w14:textId="77777777" w:rsidR="00BA41CF" w:rsidRDefault="00BA41CF">
      <w:r>
        <w:separator/>
      </w:r>
    </w:p>
  </w:endnote>
  <w:endnote w:type="continuationSeparator" w:id="0">
    <w:p w14:paraId="77773450" w14:textId="77777777" w:rsidR="00BA41CF" w:rsidRDefault="00BA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9921" w14:textId="77777777" w:rsidR="009B18EB" w:rsidRDefault="00C10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372F73" w14:textId="77777777" w:rsidR="009B18EB" w:rsidRDefault="009B18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8162" w14:textId="30D6B9A6" w:rsidR="009B18EB" w:rsidRDefault="00C10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A4F">
      <w:rPr>
        <w:rStyle w:val="PageNumber"/>
        <w:noProof/>
      </w:rPr>
      <w:t>4</w:t>
    </w:r>
    <w:r>
      <w:rPr>
        <w:rStyle w:val="PageNumber"/>
      </w:rPr>
      <w:fldChar w:fldCharType="end"/>
    </w:r>
  </w:p>
  <w:p w14:paraId="4E314A1E" w14:textId="77777777" w:rsidR="009B18EB" w:rsidRDefault="009B18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1D2BD" w14:textId="77777777" w:rsidR="00BA41CF" w:rsidRDefault="00BA41CF">
      <w:r>
        <w:separator/>
      </w:r>
    </w:p>
  </w:footnote>
  <w:footnote w:type="continuationSeparator" w:id="0">
    <w:p w14:paraId="2275B5D3" w14:textId="77777777" w:rsidR="00BA41CF" w:rsidRDefault="00BA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B1642"/>
    <w:multiLevelType w:val="multilevel"/>
    <w:tmpl w:val="6DEB16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AD7EDC"/>
    <w:multiLevelType w:val="multilevel"/>
    <w:tmpl w:val="7EAD7EDC"/>
    <w:lvl w:ilvl="0">
      <w:start w:val="1"/>
      <w:numFmt w:val="decimal"/>
      <w:lvlText w:val="%1."/>
      <w:lvlJc w:val="left"/>
      <w:pPr>
        <w:tabs>
          <w:tab w:val="left" w:pos="1080"/>
        </w:tabs>
        <w:ind w:left="1080" w:hanging="360"/>
      </w:pPr>
      <w:rPr>
        <w:b w:val="0"/>
      </w:rPr>
    </w:lvl>
    <w:lvl w:ilvl="1">
      <w:start w:val="1"/>
      <w:numFmt w:val="decimal"/>
      <w:isLgl/>
      <w:lvlText w:val="%1.%2."/>
      <w:lvlJc w:val="left"/>
      <w:pPr>
        <w:tabs>
          <w:tab w:val="left" w:pos="1080"/>
        </w:tabs>
        <w:ind w:left="1080" w:hanging="36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440"/>
        </w:tabs>
        <w:ind w:left="1440" w:hanging="72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1800"/>
        </w:tabs>
        <w:ind w:left="1800" w:hanging="108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160"/>
        </w:tabs>
        <w:ind w:left="2160" w:hanging="1440"/>
      </w:pPr>
      <w:rPr>
        <w:rFonts w:hint="default"/>
      </w:rPr>
    </w:lvl>
    <w:lvl w:ilvl="8">
      <w:start w:val="1"/>
      <w:numFmt w:val="decimal"/>
      <w:isLgl/>
      <w:lvlText w:val="%1.%2.%3.%4.%5.%6.%7.%8.%9."/>
      <w:lvlJc w:val="left"/>
      <w:pPr>
        <w:tabs>
          <w:tab w:val="left" w:pos="2520"/>
        </w:tabs>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4F"/>
    <w:rsid w:val="00000985"/>
    <w:rsid w:val="0000302F"/>
    <w:rsid w:val="0000560F"/>
    <w:rsid w:val="000065DA"/>
    <w:rsid w:val="00015C6A"/>
    <w:rsid w:val="00016F7E"/>
    <w:rsid w:val="000171CD"/>
    <w:rsid w:val="00021ABD"/>
    <w:rsid w:val="00031823"/>
    <w:rsid w:val="00034887"/>
    <w:rsid w:val="0006033F"/>
    <w:rsid w:val="00061D12"/>
    <w:rsid w:val="00063DBA"/>
    <w:rsid w:val="000641ED"/>
    <w:rsid w:val="000708F3"/>
    <w:rsid w:val="0008243C"/>
    <w:rsid w:val="000857E5"/>
    <w:rsid w:val="00085B39"/>
    <w:rsid w:val="000A4D42"/>
    <w:rsid w:val="000A7C11"/>
    <w:rsid w:val="000C0C97"/>
    <w:rsid w:val="000C18AD"/>
    <w:rsid w:val="000D08BA"/>
    <w:rsid w:val="000D20B5"/>
    <w:rsid w:val="000D25C3"/>
    <w:rsid w:val="000D61C9"/>
    <w:rsid w:val="000D6BE4"/>
    <w:rsid w:val="000E126A"/>
    <w:rsid w:val="000E5C83"/>
    <w:rsid w:val="000E5D17"/>
    <w:rsid w:val="000F2D81"/>
    <w:rsid w:val="000F5851"/>
    <w:rsid w:val="000F6C6F"/>
    <w:rsid w:val="000F6F0F"/>
    <w:rsid w:val="000F760D"/>
    <w:rsid w:val="0010126B"/>
    <w:rsid w:val="00101410"/>
    <w:rsid w:val="00103E04"/>
    <w:rsid w:val="001053B9"/>
    <w:rsid w:val="001062A7"/>
    <w:rsid w:val="001101E1"/>
    <w:rsid w:val="00112075"/>
    <w:rsid w:val="001172ED"/>
    <w:rsid w:val="001174CD"/>
    <w:rsid w:val="00125F38"/>
    <w:rsid w:val="00126CB4"/>
    <w:rsid w:val="00131B5A"/>
    <w:rsid w:val="00143E53"/>
    <w:rsid w:val="0014480D"/>
    <w:rsid w:val="0015279B"/>
    <w:rsid w:val="001536F5"/>
    <w:rsid w:val="00160D44"/>
    <w:rsid w:val="001633F3"/>
    <w:rsid w:val="0017041A"/>
    <w:rsid w:val="00174F3A"/>
    <w:rsid w:val="00181DF8"/>
    <w:rsid w:val="001822F9"/>
    <w:rsid w:val="00182E83"/>
    <w:rsid w:val="00183527"/>
    <w:rsid w:val="00186380"/>
    <w:rsid w:val="0018739D"/>
    <w:rsid w:val="00187C83"/>
    <w:rsid w:val="00193B19"/>
    <w:rsid w:val="001A2C05"/>
    <w:rsid w:val="001A545E"/>
    <w:rsid w:val="001A6FC7"/>
    <w:rsid w:val="001B2AA6"/>
    <w:rsid w:val="001B47F4"/>
    <w:rsid w:val="001B5D04"/>
    <w:rsid w:val="001B5F9A"/>
    <w:rsid w:val="001B61EE"/>
    <w:rsid w:val="001C0AF3"/>
    <w:rsid w:val="001C0C72"/>
    <w:rsid w:val="001D0264"/>
    <w:rsid w:val="001D72F3"/>
    <w:rsid w:val="001E4131"/>
    <w:rsid w:val="00200A77"/>
    <w:rsid w:val="002033CF"/>
    <w:rsid w:val="00203C69"/>
    <w:rsid w:val="0021266C"/>
    <w:rsid w:val="00216AB8"/>
    <w:rsid w:val="0021732D"/>
    <w:rsid w:val="002225FC"/>
    <w:rsid w:val="00243D83"/>
    <w:rsid w:val="00243D8A"/>
    <w:rsid w:val="0025421E"/>
    <w:rsid w:val="00257F7C"/>
    <w:rsid w:val="00261729"/>
    <w:rsid w:val="00264F5C"/>
    <w:rsid w:val="002677DC"/>
    <w:rsid w:val="00284921"/>
    <w:rsid w:val="0028630F"/>
    <w:rsid w:val="00287934"/>
    <w:rsid w:val="002A65A3"/>
    <w:rsid w:val="002B07BA"/>
    <w:rsid w:val="002B32F0"/>
    <w:rsid w:val="002B3320"/>
    <w:rsid w:val="002B5EBC"/>
    <w:rsid w:val="002C09A2"/>
    <w:rsid w:val="002C49FF"/>
    <w:rsid w:val="002D23D3"/>
    <w:rsid w:val="002D34F0"/>
    <w:rsid w:val="002D5B0B"/>
    <w:rsid w:val="002D6AA3"/>
    <w:rsid w:val="002F547B"/>
    <w:rsid w:val="002F626D"/>
    <w:rsid w:val="002F72C3"/>
    <w:rsid w:val="00304AFF"/>
    <w:rsid w:val="0030663F"/>
    <w:rsid w:val="00313A3B"/>
    <w:rsid w:val="00315837"/>
    <w:rsid w:val="003168DF"/>
    <w:rsid w:val="00317B04"/>
    <w:rsid w:val="00320155"/>
    <w:rsid w:val="00325913"/>
    <w:rsid w:val="003266FB"/>
    <w:rsid w:val="003339E9"/>
    <w:rsid w:val="00334BC3"/>
    <w:rsid w:val="00336DB3"/>
    <w:rsid w:val="00351030"/>
    <w:rsid w:val="00351190"/>
    <w:rsid w:val="00352118"/>
    <w:rsid w:val="00353070"/>
    <w:rsid w:val="00355FF9"/>
    <w:rsid w:val="0035763A"/>
    <w:rsid w:val="00360B30"/>
    <w:rsid w:val="00362CF5"/>
    <w:rsid w:val="00364BEB"/>
    <w:rsid w:val="0037471C"/>
    <w:rsid w:val="00375D38"/>
    <w:rsid w:val="003764F8"/>
    <w:rsid w:val="003805D0"/>
    <w:rsid w:val="00385941"/>
    <w:rsid w:val="00390B1C"/>
    <w:rsid w:val="003912E8"/>
    <w:rsid w:val="00397665"/>
    <w:rsid w:val="0039781D"/>
    <w:rsid w:val="003A0AA8"/>
    <w:rsid w:val="003A3892"/>
    <w:rsid w:val="003A6D61"/>
    <w:rsid w:val="003D08D6"/>
    <w:rsid w:val="003D26C0"/>
    <w:rsid w:val="003E0412"/>
    <w:rsid w:val="003E0F42"/>
    <w:rsid w:val="003E7685"/>
    <w:rsid w:val="003F4BAB"/>
    <w:rsid w:val="003F628E"/>
    <w:rsid w:val="0040461F"/>
    <w:rsid w:val="004049DB"/>
    <w:rsid w:val="00416CF6"/>
    <w:rsid w:val="00417B92"/>
    <w:rsid w:val="00422F6B"/>
    <w:rsid w:val="004333D8"/>
    <w:rsid w:val="0043427A"/>
    <w:rsid w:val="004403C2"/>
    <w:rsid w:val="00452536"/>
    <w:rsid w:val="004526C8"/>
    <w:rsid w:val="00453988"/>
    <w:rsid w:val="00455E98"/>
    <w:rsid w:val="00457593"/>
    <w:rsid w:val="00462093"/>
    <w:rsid w:val="00467D8C"/>
    <w:rsid w:val="004709DC"/>
    <w:rsid w:val="00470D8C"/>
    <w:rsid w:val="0047314E"/>
    <w:rsid w:val="00491A14"/>
    <w:rsid w:val="0049632A"/>
    <w:rsid w:val="00496CF7"/>
    <w:rsid w:val="004A3411"/>
    <w:rsid w:val="004A3B6C"/>
    <w:rsid w:val="004A4B0F"/>
    <w:rsid w:val="004A5B08"/>
    <w:rsid w:val="004B089F"/>
    <w:rsid w:val="004B17F1"/>
    <w:rsid w:val="004B221D"/>
    <w:rsid w:val="004B51BC"/>
    <w:rsid w:val="004B7BF5"/>
    <w:rsid w:val="004C267E"/>
    <w:rsid w:val="004C37F1"/>
    <w:rsid w:val="004E7DD7"/>
    <w:rsid w:val="004F2935"/>
    <w:rsid w:val="00500C7E"/>
    <w:rsid w:val="00502527"/>
    <w:rsid w:val="005037AB"/>
    <w:rsid w:val="00510911"/>
    <w:rsid w:val="0051233B"/>
    <w:rsid w:val="00517F4E"/>
    <w:rsid w:val="00527700"/>
    <w:rsid w:val="005377D4"/>
    <w:rsid w:val="00540085"/>
    <w:rsid w:val="00540694"/>
    <w:rsid w:val="00544BE7"/>
    <w:rsid w:val="00557C8C"/>
    <w:rsid w:val="00575272"/>
    <w:rsid w:val="00587E51"/>
    <w:rsid w:val="00591998"/>
    <w:rsid w:val="00592D4C"/>
    <w:rsid w:val="0059710E"/>
    <w:rsid w:val="005A0A64"/>
    <w:rsid w:val="005A763B"/>
    <w:rsid w:val="005B1EB6"/>
    <w:rsid w:val="005C68C7"/>
    <w:rsid w:val="005D1EA3"/>
    <w:rsid w:val="005D5827"/>
    <w:rsid w:val="005D7FCE"/>
    <w:rsid w:val="005E01B2"/>
    <w:rsid w:val="005F1791"/>
    <w:rsid w:val="005F794C"/>
    <w:rsid w:val="00600311"/>
    <w:rsid w:val="00605CFD"/>
    <w:rsid w:val="00606673"/>
    <w:rsid w:val="006138B1"/>
    <w:rsid w:val="00615B15"/>
    <w:rsid w:val="00624248"/>
    <w:rsid w:val="00625FDD"/>
    <w:rsid w:val="00630C9F"/>
    <w:rsid w:val="00631E32"/>
    <w:rsid w:val="00635A40"/>
    <w:rsid w:val="0064342A"/>
    <w:rsid w:val="00651B67"/>
    <w:rsid w:val="00660558"/>
    <w:rsid w:val="00660C4A"/>
    <w:rsid w:val="00663708"/>
    <w:rsid w:val="00665EAF"/>
    <w:rsid w:val="00667486"/>
    <w:rsid w:val="00671465"/>
    <w:rsid w:val="00674C30"/>
    <w:rsid w:val="00684388"/>
    <w:rsid w:val="00687EE8"/>
    <w:rsid w:val="006951E1"/>
    <w:rsid w:val="00696E47"/>
    <w:rsid w:val="006A0E3D"/>
    <w:rsid w:val="006A1701"/>
    <w:rsid w:val="006B25FB"/>
    <w:rsid w:val="006C75CC"/>
    <w:rsid w:val="006E21A6"/>
    <w:rsid w:val="006E499C"/>
    <w:rsid w:val="006E4DA1"/>
    <w:rsid w:val="006E646B"/>
    <w:rsid w:val="006F68FD"/>
    <w:rsid w:val="006F6AAB"/>
    <w:rsid w:val="0070506B"/>
    <w:rsid w:val="0070720D"/>
    <w:rsid w:val="00710C6F"/>
    <w:rsid w:val="00720A42"/>
    <w:rsid w:val="00731F59"/>
    <w:rsid w:val="007335AE"/>
    <w:rsid w:val="00734517"/>
    <w:rsid w:val="00735829"/>
    <w:rsid w:val="00744493"/>
    <w:rsid w:val="00763EE2"/>
    <w:rsid w:val="007713B1"/>
    <w:rsid w:val="00775B2B"/>
    <w:rsid w:val="007769B0"/>
    <w:rsid w:val="007771AD"/>
    <w:rsid w:val="007A3564"/>
    <w:rsid w:val="007A6A21"/>
    <w:rsid w:val="007A7197"/>
    <w:rsid w:val="007C0957"/>
    <w:rsid w:val="007C141F"/>
    <w:rsid w:val="007C172F"/>
    <w:rsid w:val="007C2A32"/>
    <w:rsid w:val="007C61F5"/>
    <w:rsid w:val="007D0971"/>
    <w:rsid w:val="007D0973"/>
    <w:rsid w:val="007D0E69"/>
    <w:rsid w:val="007D1913"/>
    <w:rsid w:val="007D7CB3"/>
    <w:rsid w:val="007F2220"/>
    <w:rsid w:val="007F25CA"/>
    <w:rsid w:val="007F3ED9"/>
    <w:rsid w:val="00814D83"/>
    <w:rsid w:val="00814F1F"/>
    <w:rsid w:val="0081634E"/>
    <w:rsid w:val="00831755"/>
    <w:rsid w:val="00835547"/>
    <w:rsid w:val="00842989"/>
    <w:rsid w:val="008437FF"/>
    <w:rsid w:val="00844F0B"/>
    <w:rsid w:val="008528D8"/>
    <w:rsid w:val="00861B9C"/>
    <w:rsid w:val="00877EC2"/>
    <w:rsid w:val="00880964"/>
    <w:rsid w:val="00881A00"/>
    <w:rsid w:val="0088553E"/>
    <w:rsid w:val="00892023"/>
    <w:rsid w:val="008A00D0"/>
    <w:rsid w:val="008A02F5"/>
    <w:rsid w:val="008A35DF"/>
    <w:rsid w:val="008B0917"/>
    <w:rsid w:val="008B199C"/>
    <w:rsid w:val="008B4409"/>
    <w:rsid w:val="008B6D37"/>
    <w:rsid w:val="008B7AAE"/>
    <w:rsid w:val="008C2F1F"/>
    <w:rsid w:val="008C42CB"/>
    <w:rsid w:val="008D019E"/>
    <w:rsid w:val="008D4EE5"/>
    <w:rsid w:val="008E0DC9"/>
    <w:rsid w:val="008E6556"/>
    <w:rsid w:val="009035CD"/>
    <w:rsid w:val="00903F90"/>
    <w:rsid w:val="00904408"/>
    <w:rsid w:val="00906C5F"/>
    <w:rsid w:val="00912840"/>
    <w:rsid w:val="00925D1F"/>
    <w:rsid w:val="00935A83"/>
    <w:rsid w:val="009530FF"/>
    <w:rsid w:val="00962695"/>
    <w:rsid w:val="009630DD"/>
    <w:rsid w:val="009633E8"/>
    <w:rsid w:val="00967588"/>
    <w:rsid w:val="0097312A"/>
    <w:rsid w:val="00990F3C"/>
    <w:rsid w:val="009A44C0"/>
    <w:rsid w:val="009B18EB"/>
    <w:rsid w:val="009B6D90"/>
    <w:rsid w:val="009B709C"/>
    <w:rsid w:val="009C0186"/>
    <w:rsid w:val="009C2828"/>
    <w:rsid w:val="009C2C68"/>
    <w:rsid w:val="009C58CD"/>
    <w:rsid w:val="009D036B"/>
    <w:rsid w:val="009D7CEB"/>
    <w:rsid w:val="009E11C3"/>
    <w:rsid w:val="009E2917"/>
    <w:rsid w:val="009E3775"/>
    <w:rsid w:val="009F293E"/>
    <w:rsid w:val="009F29C5"/>
    <w:rsid w:val="009F4DC0"/>
    <w:rsid w:val="00A02DDC"/>
    <w:rsid w:val="00A1067A"/>
    <w:rsid w:val="00A3191A"/>
    <w:rsid w:val="00A3396B"/>
    <w:rsid w:val="00A3477F"/>
    <w:rsid w:val="00A360DC"/>
    <w:rsid w:val="00A421F6"/>
    <w:rsid w:val="00A434E1"/>
    <w:rsid w:val="00A45DCE"/>
    <w:rsid w:val="00A47F65"/>
    <w:rsid w:val="00A53E2D"/>
    <w:rsid w:val="00A6016B"/>
    <w:rsid w:val="00A61607"/>
    <w:rsid w:val="00A65594"/>
    <w:rsid w:val="00A74051"/>
    <w:rsid w:val="00A76E1B"/>
    <w:rsid w:val="00A801B6"/>
    <w:rsid w:val="00A83F45"/>
    <w:rsid w:val="00A86558"/>
    <w:rsid w:val="00A92ED2"/>
    <w:rsid w:val="00A94D99"/>
    <w:rsid w:val="00A96239"/>
    <w:rsid w:val="00AA12FE"/>
    <w:rsid w:val="00AA243D"/>
    <w:rsid w:val="00AB2CA3"/>
    <w:rsid w:val="00AC3441"/>
    <w:rsid w:val="00AC786D"/>
    <w:rsid w:val="00AD1F3A"/>
    <w:rsid w:val="00AD6556"/>
    <w:rsid w:val="00AD7AAE"/>
    <w:rsid w:val="00AD7FA2"/>
    <w:rsid w:val="00AE071F"/>
    <w:rsid w:val="00AE4FB0"/>
    <w:rsid w:val="00AE7C7D"/>
    <w:rsid w:val="00AF2723"/>
    <w:rsid w:val="00AF2833"/>
    <w:rsid w:val="00AF3834"/>
    <w:rsid w:val="00AF53B7"/>
    <w:rsid w:val="00AF66A4"/>
    <w:rsid w:val="00B02BFB"/>
    <w:rsid w:val="00B03EA6"/>
    <w:rsid w:val="00B05AE1"/>
    <w:rsid w:val="00B12709"/>
    <w:rsid w:val="00B12898"/>
    <w:rsid w:val="00B12CAC"/>
    <w:rsid w:val="00B24629"/>
    <w:rsid w:val="00B3414C"/>
    <w:rsid w:val="00B406AC"/>
    <w:rsid w:val="00B41929"/>
    <w:rsid w:val="00B47CB6"/>
    <w:rsid w:val="00B502A3"/>
    <w:rsid w:val="00B517A4"/>
    <w:rsid w:val="00B55621"/>
    <w:rsid w:val="00B56784"/>
    <w:rsid w:val="00B608BC"/>
    <w:rsid w:val="00B643A4"/>
    <w:rsid w:val="00B746F1"/>
    <w:rsid w:val="00B7580D"/>
    <w:rsid w:val="00B839F5"/>
    <w:rsid w:val="00B90585"/>
    <w:rsid w:val="00B939B2"/>
    <w:rsid w:val="00BA41CF"/>
    <w:rsid w:val="00BB0F97"/>
    <w:rsid w:val="00BB6D4F"/>
    <w:rsid w:val="00BB7DFC"/>
    <w:rsid w:val="00BC0B33"/>
    <w:rsid w:val="00BC1B31"/>
    <w:rsid w:val="00BC3BA9"/>
    <w:rsid w:val="00BC5133"/>
    <w:rsid w:val="00BC6DFE"/>
    <w:rsid w:val="00BE037F"/>
    <w:rsid w:val="00BF0208"/>
    <w:rsid w:val="00BF0F6C"/>
    <w:rsid w:val="00BF162F"/>
    <w:rsid w:val="00BF3586"/>
    <w:rsid w:val="00BF6324"/>
    <w:rsid w:val="00C0089E"/>
    <w:rsid w:val="00C00C24"/>
    <w:rsid w:val="00C00E20"/>
    <w:rsid w:val="00C061C1"/>
    <w:rsid w:val="00C10D66"/>
    <w:rsid w:val="00C161A9"/>
    <w:rsid w:val="00C239F1"/>
    <w:rsid w:val="00C447F2"/>
    <w:rsid w:val="00C52D46"/>
    <w:rsid w:val="00C6034F"/>
    <w:rsid w:val="00C6754F"/>
    <w:rsid w:val="00C74B86"/>
    <w:rsid w:val="00C85053"/>
    <w:rsid w:val="00C87469"/>
    <w:rsid w:val="00C95B21"/>
    <w:rsid w:val="00C967B4"/>
    <w:rsid w:val="00C96E6E"/>
    <w:rsid w:val="00CA2387"/>
    <w:rsid w:val="00CB144D"/>
    <w:rsid w:val="00CB4E5A"/>
    <w:rsid w:val="00CB5E38"/>
    <w:rsid w:val="00CB7E2D"/>
    <w:rsid w:val="00CC14EB"/>
    <w:rsid w:val="00CC75C6"/>
    <w:rsid w:val="00CF2D45"/>
    <w:rsid w:val="00CF60DC"/>
    <w:rsid w:val="00D039B5"/>
    <w:rsid w:val="00D03ADB"/>
    <w:rsid w:val="00D065F4"/>
    <w:rsid w:val="00D07704"/>
    <w:rsid w:val="00D23E8A"/>
    <w:rsid w:val="00D326ED"/>
    <w:rsid w:val="00D376DE"/>
    <w:rsid w:val="00D430D4"/>
    <w:rsid w:val="00D439A9"/>
    <w:rsid w:val="00D44D05"/>
    <w:rsid w:val="00D475DB"/>
    <w:rsid w:val="00D47812"/>
    <w:rsid w:val="00D52454"/>
    <w:rsid w:val="00D60BC5"/>
    <w:rsid w:val="00D72876"/>
    <w:rsid w:val="00D75FB9"/>
    <w:rsid w:val="00D91BD8"/>
    <w:rsid w:val="00D926C0"/>
    <w:rsid w:val="00D97C96"/>
    <w:rsid w:val="00D97F35"/>
    <w:rsid w:val="00DA0D47"/>
    <w:rsid w:val="00DA18B2"/>
    <w:rsid w:val="00DA4B25"/>
    <w:rsid w:val="00DA6203"/>
    <w:rsid w:val="00DA6EDF"/>
    <w:rsid w:val="00DC16A6"/>
    <w:rsid w:val="00DC699C"/>
    <w:rsid w:val="00DD4FDE"/>
    <w:rsid w:val="00DE303B"/>
    <w:rsid w:val="00DF2255"/>
    <w:rsid w:val="00DF2C49"/>
    <w:rsid w:val="00E02EBF"/>
    <w:rsid w:val="00E33585"/>
    <w:rsid w:val="00E4136A"/>
    <w:rsid w:val="00E50C52"/>
    <w:rsid w:val="00E5174D"/>
    <w:rsid w:val="00E527E8"/>
    <w:rsid w:val="00E52D3E"/>
    <w:rsid w:val="00E76243"/>
    <w:rsid w:val="00E82685"/>
    <w:rsid w:val="00E86DC1"/>
    <w:rsid w:val="00E94691"/>
    <w:rsid w:val="00EA10F8"/>
    <w:rsid w:val="00EA49A4"/>
    <w:rsid w:val="00EA6290"/>
    <w:rsid w:val="00EB2A1A"/>
    <w:rsid w:val="00EC064C"/>
    <w:rsid w:val="00EC390B"/>
    <w:rsid w:val="00EC527E"/>
    <w:rsid w:val="00EC7780"/>
    <w:rsid w:val="00ED0053"/>
    <w:rsid w:val="00ED2A6B"/>
    <w:rsid w:val="00EE3A02"/>
    <w:rsid w:val="00EF1931"/>
    <w:rsid w:val="00EF3F37"/>
    <w:rsid w:val="00EF3F90"/>
    <w:rsid w:val="00EF4C8E"/>
    <w:rsid w:val="00F1005E"/>
    <w:rsid w:val="00F13A4F"/>
    <w:rsid w:val="00F1689E"/>
    <w:rsid w:val="00F16986"/>
    <w:rsid w:val="00F16B6F"/>
    <w:rsid w:val="00F1779C"/>
    <w:rsid w:val="00F2650F"/>
    <w:rsid w:val="00F26594"/>
    <w:rsid w:val="00F26DDD"/>
    <w:rsid w:val="00F31819"/>
    <w:rsid w:val="00F323B3"/>
    <w:rsid w:val="00F365E4"/>
    <w:rsid w:val="00F40420"/>
    <w:rsid w:val="00F424C2"/>
    <w:rsid w:val="00F46561"/>
    <w:rsid w:val="00F52287"/>
    <w:rsid w:val="00F57524"/>
    <w:rsid w:val="00F604C3"/>
    <w:rsid w:val="00F66794"/>
    <w:rsid w:val="00F67956"/>
    <w:rsid w:val="00F67E39"/>
    <w:rsid w:val="00F71659"/>
    <w:rsid w:val="00F77010"/>
    <w:rsid w:val="00F77287"/>
    <w:rsid w:val="00F77CA2"/>
    <w:rsid w:val="00FA3205"/>
    <w:rsid w:val="00FA3C0B"/>
    <w:rsid w:val="00FC0B96"/>
    <w:rsid w:val="00FD1BB1"/>
    <w:rsid w:val="00FD36CA"/>
    <w:rsid w:val="00FD51D5"/>
    <w:rsid w:val="00FE1CD2"/>
    <w:rsid w:val="00FF0445"/>
    <w:rsid w:val="3917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7AFC0"/>
  <w15:docId w15:val="{88CCDCAC-F24D-4409-A340-8B364416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annotation reference" w:semiHidden="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rPr>
  </w:style>
  <w:style w:type="paragraph" w:styleId="Heading1">
    <w:name w:val="heading 1"/>
    <w:basedOn w:val="Normal"/>
    <w:next w:val="Normal"/>
    <w:qFormat/>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widowControl w:val="0"/>
      <w:jc w:val="both"/>
    </w:pPr>
    <w:rPr>
      <w:szCs w:val="20"/>
    </w:rPr>
  </w:style>
  <w:style w:type="paragraph" w:styleId="BodyTextIndent">
    <w:name w:val="Body Text Indent"/>
    <w:basedOn w:val="Normal"/>
    <w:link w:val="BodyTextIndentChar"/>
    <w:qFormat/>
    <w:pPr>
      <w:spacing w:after="120"/>
      <w:ind w:left="283"/>
    </w:pPr>
  </w:style>
  <w:style w:type="character" w:styleId="CommentReference">
    <w:name w:val="annotation reference"/>
    <w:semiHidden/>
    <w:rPr>
      <w:sz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qFormat/>
    <w:pPr>
      <w:tabs>
        <w:tab w:val="center" w:pos="4819"/>
        <w:tab w:val="right" w:pos="9638"/>
      </w:tabs>
    </w:pPr>
  </w:style>
  <w:style w:type="paragraph" w:styleId="Header">
    <w:name w:val="header"/>
    <w:basedOn w:val="Normal"/>
    <w:pPr>
      <w:tabs>
        <w:tab w:val="center" w:pos="4320"/>
        <w:tab w:val="right" w:pos="8640"/>
      </w:tabs>
    </w:pPr>
    <w:rPr>
      <w:szCs w:val="20"/>
      <w:lang w:val="en-GB"/>
    </w:rPr>
  </w:style>
  <w:style w:type="character" w:styleId="Hyperlink">
    <w:name w:val="Hyperlink"/>
    <w:qFormat/>
    <w:rPr>
      <w:color w:val="0000FF"/>
      <w:u w:val="single"/>
    </w:rPr>
  </w:style>
  <w:style w:type="character" w:styleId="PageNumber">
    <w:name w:val="page number"/>
    <w:basedOn w:val="DefaultParagraphFont"/>
    <w:qFormat/>
  </w:style>
  <w:style w:type="paragraph" w:styleId="Subtitle">
    <w:name w:val="Subtitle"/>
    <w:basedOn w:val="Normal"/>
    <w:link w:val="SubtitleChar"/>
    <w:qFormat/>
    <w:pPr>
      <w:jc w:val="center"/>
    </w:pPr>
    <w:rPr>
      <w:b/>
      <w:szCs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rPr>
  </w:style>
  <w:style w:type="character" w:customStyle="1" w:styleId="BodyTextIndentChar">
    <w:name w:val="Body Text Indent Char"/>
    <w:link w:val="BodyTextIndent"/>
    <w:qFormat/>
    <w:rPr>
      <w:sz w:val="24"/>
      <w:szCs w:val="24"/>
      <w:lang w:eastAsia="en-US"/>
    </w:rPr>
  </w:style>
  <w:style w:type="character" w:customStyle="1" w:styleId="SubtitleChar">
    <w:name w:val="Subtitle Char"/>
    <w:link w:val="Subtitle"/>
    <w:qFormat/>
    <w:rPr>
      <w:b/>
      <w:sz w:val="24"/>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odyTextChar">
    <w:name w:val="Body Text Char"/>
    <w:link w:val="BodyText"/>
    <w:qFormat/>
    <w:rPr>
      <w:sz w:val="24"/>
      <w:lang w:eastAsia="en-US"/>
    </w:rPr>
  </w:style>
  <w:style w:type="paragraph" w:customStyle="1" w:styleId="Revision1">
    <w:name w:val="Revision1"/>
    <w:hidden/>
    <w:uiPriority w:val="99"/>
    <w:semiHidden/>
    <w:qFormat/>
    <w:rPr>
      <w:sz w:val="24"/>
      <w:szCs w:val="24"/>
      <w:lang w:val="lt-LT"/>
    </w:rPr>
  </w:style>
  <w:style w:type="paragraph" w:customStyle="1" w:styleId="BodyText1">
    <w:name w:val="Body Text1"/>
    <w:qFormat/>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30421-EE43-4002-AF4A-0B75C433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6742</Characters>
  <Application>Microsoft Office Word</Application>
  <DocSecurity>0</DocSecurity>
  <Lines>56</Lines>
  <Paragraphs>16</Paragraphs>
  <ScaleCrop>false</ScaleCrop>
  <Company>LK</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Windows User</cp:lastModifiedBy>
  <cp:revision>9</cp:revision>
  <cp:lastPrinted>2023-04-12T06:05:00Z</cp:lastPrinted>
  <dcterms:created xsi:type="dcterms:W3CDTF">2024-04-18T07:34:00Z</dcterms:created>
  <dcterms:modified xsi:type="dcterms:W3CDTF">2024-07-30T07:07:00Z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1F3BC66A1E434B819FF093811BEA773F_12</vt:lpwstr>
  </property>
</Properties>
</file>