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82B81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9B739" w14:textId="275331AC" w:rsidR="00DC08A5" w:rsidRPr="00FB1E79" w:rsidRDefault="00FB1E79" w:rsidP="00FB1E7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1E79">
        <w:rPr>
          <w:rFonts w:ascii="Times New Roman" w:hAnsi="Times New Roman" w:cs="Times New Roman"/>
          <w:bCs/>
          <w:sz w:val="24"/>
          <w:szCs w:val="24"/>
        </w:rPr>
        <w:t>2024 m. balandžio    d. Suta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FB1E79">
        <w:rPr>
          <w:rFonts w:ascii="Times New Roman" w:hAnsi="Times New Roman" w:cs="Times New Roman"/>
          <w:bCs/>
          <w:sz w:val="24"/>
          <w:szCs w:val="24"/>
        </w:rPr>
        <w:t>ties Nr.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</w:p>
    <w:p w14:paraId="2F355D0F" w14:textId="548E82B9" w:rsidR="00FB1E79" w:rsidRDefault="00C46495" w:rsidP="00FB1E7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B1E79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0E56EADD" w14:textId="16B9CA6C" w:rsidR="00BA50A3" w:rsidRDefault="00C949D4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2A37">
        <w:rPr>
          <w:rFonts w:ascii="Times New Roman" w:hAnsi="Times New Roman" w:cs="Times New Roman"/>
          <w:b/>
          <w:bCs/>
          <w:sz w:val="24"/>
          <w:szCs w:val="24"/>
        </w:rPr>
        <w:t>PREKIŲ ĮKAINIŲ PERSKAIČIAVIMO SĄLYGOS</w:t>
      </w:r>
    </w:p>
    <w:p w14:paraId="377CDC27" w14:textId="77777777" w:rsid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59A8C5" w14:textId="77777777" w:rsidR="00B05D75" w:rsidRDefault="00BA50A3" w:rsidP="00B0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12 (dvylikos)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.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2EAEDF3A" w14:textId="64375F8E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05B67A0F" w14:textId="77777777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44753796" w14:textId="77777777" w:rsidR="00BA50A3" w:rsidRPr="00BA50A3" w:rsidRDefault="00BA50A3" w:rsidP="00BA50A3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5FE260CA" w14:textId="77777777" w:rsidR="00BA50A3" w:rsidRPr="00BA50A3" w:rsidRDefault="00842156" w:rsidP="00C949D4">
      <w:pPr>
        <w:spacing w:after="0" w:line="240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BA50A3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BA50A3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BA50A3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0AA8036C" w14:textId="77777777" w:rsidR="00BA50A3" w:rsidRPr="00BA50A3" w:rsidRDefault="00BA50A3" w:rsidP="00C949D4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 įkainis (Eur be PVM)) (jei įkainis buvo perskaičiuotas, tai po paskutinio perskaičiavimo).</w:t>
      </w:r>
    </w:p>
    <w:p w14:paraId="6A97F822" w14:textId="77777777" w:rsidR="00BA50A3" w:rsidRPr="00BA50A3" w:rsidRDefault="00BA50A3" w:rsidP="00C949D4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 įkainis (Eur be PVM)</w:t>
      </w:r>
    </w:p>
    <w:p w14:paraId="63172F81" w14:textId="77777777" w:rsidR="00BA50A3" w:rsidRPr="00BA50A3" w:rsidRDefault="00BA50A3" w:rsidP="00C949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</w:t>
      </w:r>
      <w:r w:rsidRPr="00BA50A3">
        <w:rPr>
          <w:rFonts w:ascii="Times New Roman" w:eastAsia="Calibri" w:hAnsi="Times New Roman" w:cs="Calibri"/>
          <w:sz w:val="24"/>
          <w:szCs w:val="24"/>
          <w:vertAlign w:val="superscript"/>
        </w:rPr>
        <w:footnoteReference w:id="1"/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0B864B12" w14:textId="77777777" w:rsidR="00BA50A3" w:rsidRPr="00BA50A3" w:rsidRDefault="00BA50A3" w:rsidP="00C949D4">
      <w:pPr>
        <w:spacing w:after="0" w:line="240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39FAB7E6" w14:textId="77777777" w:rsidR="00BA50A3" w:rsidRPr="00BA50A3" w:rsidRDefault="00BA50A3" w:rsidP="00C949D4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626DBB88" w14:textId="77777777" w:rsidR="00BA50A3" w:rsidRPr="00BA50A3" w:rsidRDefault="00BA50A3" w:rsidP="00C949D4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šaliai datą naujausias paskelbtas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26C04D77" w14:textId="77777777" w:rsidR="00BA50A3" w:rsidRPr="00BA50A3" w:rsidRDefault="00BA50A3" w:rsidP="00C949D4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pradžios datos (mėnesio)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3A6887C7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72DA3F3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6.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0CF78622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), apskaičiuotas kaip nustatyta 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 įkainiai bus perskaičiuojami maksimaliu 30 procentų pokyčiu.</w:t>
      </w:r>
    </w:p>
    <w:p w14:paraId="7DDA2B5A" w14:textId="17C65847" w:rsidR="006430BE" w:rsidRDefault="00280D9E" w:rsidP="00FB1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088A62C7" w14:textId="77777777" w:rsidR="00C949D4" w:rsidRDefault="00C949D4" w:rsidP="00FB1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5147" w:type="pct"/>
        <w:tblLook w:val="04A0" w:firstRow="1" w:lastRow="0" w:firstColumn="1" w:lastColumn="0" w:noHBand="0" w:noVBand="1"/>
      </w:tblPr>
      <w:tblGrid>
        <w:gridCol w:w="3895"/>
        <w:gridCol w:w="2585"/>
        <w:gridCol w:w="3441"/>
      </w:tblGrid>
      <w:tr w:rsidR="00C949D4" w:rsidRPr="00C949D4" w14:paraId="41993F4F" w14:textId="77777777" w:rsidTr="007E0C81">
        <w:tc>
          <w:tcPr>
            <w:tcW w:w="1941" w:type="pct"/>
            <w:shd w:val="clear" w:color="auto" w:fill="auto"/>
          </w:tcPr>
          <w:p w14:paraId="00C613F7" w14:textId="4D46B181" w:rsidR="00C949D4" w:rsidRPr="00C949D4" w:rsidRDefault="00C949D4" w:rsidP="00C949D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lt-LT"/>
              </w:rPr>
            </w:pPr>
            <w:bookmarkStart w:id="0" w:name="_GoBack"/>
            <w:bookmarkEnd w:id="0"/>
          </w:p>
        </w:tc>
        <w:tc>
          <w:tcPr>
            <w:tcW w:w="1288" w:type="pct"/>
            <w:shd w:val="clear" w:color="auto" w:fill="auto"/>
          </w:tcPr>
          <w:p w14:paraId="49F89A4F" w14:textId="77777777" w:rsidR="00C949D4" w:rsidRPr="00C949D4" w:rsidRDefault="00C949D4" w:rsidP="00C949D4">
            <w:pPr>
              <w:widowControl w:val="0"/>
              <w:suppressAutoHyphens/>
              <w:spacing w:after="0" w:line="240" w:lineRule="auto"/>
              <w:ind w:right="87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lt-LT"/>
              </w:rPr>
            </w:pPr>
          </w:p>
        </w:tc>
        <w:tc>
          <w:tcPr>
            <w:tcW w:w="1715" w:type="pct"/>
            <w:shd w:val="clear" w:color="auto" w:fill="auto"/>
          </w:tcPr>
          <w:p w14:paraId="49183AEC" w14:textId="293ABBE3" w:rsidR="00C949D4" w:rsidRPr="00C949D4" w:rsidRDefault="00C949D4" w:rsidP="00C949D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lt-LT"/>
              </w:rPr>
            </w:pPr>
          </w:p>
        </w:tc>
      </w:tr>
    </w:tbl>
    <w:p w14:paraId="2F1E8FCB" w14:textId="77777777" w:rsidR="00C949D4" w:rsidRPr="00C949D4" w:rsidRDefault="00C949D4" w:rsidP="00C949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C949D4" w:rsidRPr="00C949D4" w:rsidSect="00C949D4">
      <w:pgSz w:w="11906" w:h="16838"/>
      <w:pgMar w:top="28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E2BFE" w14:textId="77777777" w:rsidR="004422D8" w:rsidRDefault="004422D8" w:rsidP="00BA50A3">
      <w:pPr>
        <w:spacing w:after="0" w:line="240" w:lineRule="auto"/>
      </w:pPr>
      <w:r>
        <w:separator/>
      </w:r>
    </w:p>
  </w:endnote>
  <w:endnote w:type="continuationSeparator" w:id="0">
    <w:p w14:paraId="4E22C7B9" w14:textId="77777777" w:rsidR="004422D8" w:rsidRDefault="004422D8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43897" w14:textId="77777777" w:rsidR="004422D8" w:rsidRDefault="004422D8" w:rsidP="00BA50A3">
      <w:pPr>
        <w:spacing w:after="0" w:line="240" w:lineRule="auto"/>
      </w:pPr>
      <w:r>
        <w:separator/>
      </w:r>
    </w:p>
  </w:footnote>
  <w:footnote w:type="continuationSeparator" w:id="0">
    <w:p w14:paraId="7A0417FF" w14:textId="77777777" w:rsidR="004422D8" w:rsidRDefault="004422D8" w:rsidP="00BA50A3">
      <w:pPr>
        <w:spacing w:after="0" w:line="240" w:lineRule="auto"/>
      </w:pPr>
      <w:r>
        <w:continuationSeparator/>
      </w:r>
    </w:p>
  </w:footnote>
  <w:footnote w:id="1">
    <w:p w14:paraId="16BF0CAD" w14:textId="67E5DE19" w:rsidR="00BA50A3" w:rsidRDefault="00BA50A3" w:rsidP="00BA50A3">
      <w:pPr>
        <w:pStyle w:val="FootnoteText"/>
      </w:pPr>
      <w:r>
        <w:rPr>
          <w:rStyle w:val="FootnoteReference"/>
        </w:rPr>
        <w:footnoteRef/>
      </w:r>
      <w:r>
        <w:t xml:space="preserve"> Prieiga per internetą:  </w:t>
      </w:r>
      <w:hyperlink r:id="rId1" w:anchor="/" w:history="1">
        <w:r w:rsidRPr="00CF5448">
          <w:rPr>
            <w:rStyle w:val="Hyperlink"/>
          </w:rPr>
          <w:t>https://osp.stat.gov.lt/statistiniu-rodikliu-analize?indicator=S7R259#/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1D1DB7"/>
    <w:rsid w:val="00280D9E"/>
    <w:rsid w:val="004422D8"/>
    <w:rsid w:val="004F1B0D"/>
    <w:rsid w:val="006430BE"/>
    <w:rsid w:val="00842156"/>
    <w:rsid w:val="008B19B2"/>
    <w:rsid w:val="00B05D75"/>
    <w:rsid w:val="00BA50A3"/>
    <w:rsid w:val="00C46495"/>
    <w:rsid w:val="00C949D4"/>
    <w:rsid w:val="00DC08A5"/>
    <w:rsid w:val="00F04EB7"/>
    <w:rsid w:val="00FB1E79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sp.stat.gov.lt/statistiniu-rodikliu-analize?indicator=S7R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9</cp:revision>
  <dcterms:created xsi:type="dcterms:W3CDTF">2023-04-04T10:40:00Z</dcterms:created>
  <dcterms:modified xsi:type="dcterms:W3CDTF">2024-07-30T07:08:00Z</dcterms:modified>
</cp:coreProperties>
</file>