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ind w:hanging="0"/>
        <w:jc w:val="center"/>
        <w:outlineLvl w:val="0"/>
        <w:rPr>
          <w:b/>
          <w:b/>
          <w:bCs/>
        </w:rPr>
      </w:pPr>
      <w:r>
        <w:rPr>
          <w:b/>
        </w:rPr>
        <w:t xml:space="preserve">RANGOS SUTARTIS Nr. </w:t>
      </w:r>
    </w:p>
    <w:p>
      <w:pPr>
        <w:pStyle w:val="Normal"/>
        <w:numPr>
          <w:ilvl w:val="0"/>
          <w:numId w:val="0"/>
        </w:numPr>
        <w:spacing w:lineRule="auto" w:line="240"/>
        <w:ind w:hanging="0"/>
        <w:jc w:val="center"/>
        <w:outlineLvl w:val="0"/>
        <w:rPr/>
      </w:pPr>
      <w:r>
        <w:rPr/>
        <w:t>2024 m. _____________________ d.</w:t>
      </w:r>
    </w:p>
    <w:p>
      <w:pPr>
        <w:pStyle w:val="Normal"/>
        <w:numPr>
          <w:ilvl w:val="0"/>
          <w:numId w:val="0"/>
        </w:numPr>
        <w:spacing w:lineRule="auto" w:line="240"/>
        <w:ind w:hanging="0"/>
        <w:jc w:val="center"/>
        <w:outlineLvl w:val="0"/>
        <w:rPr/>
      </w:pPr>
      <w:r>
        <w:rPr/>
        <w:t>Prienai</w:t>
      </w:r>
    </w:p>
    <w:p>
      <w:pPr>
        <w:pStyle w:val="Normal"/>
        <w:numPr>
          <w:ilvl w:val="0"/>
          <w:numId w:val="0"/>
        </w:numPr>
        <w:spacing w:lineRule="auto" w:line="240"/>
        <w:ind w:firstLine="697"/>
        <w:jc w:val="center"/>
        <w:outlineLvl w:val="0"/>
        <w:rPr/>
      </w:pPr>
      <w:r>
        <w:rPr/>
      </w:r>
    </w:p>
    <w:p>
      <w:pPr>
        <w:pStyle w:val="Normal"/>
        <w:spacing w:lineRule="auto" w:line="240"/>
        <w:ind w:firstLine="567"/>
        <w:rPr/>
      </w:pPr>
      <w:r>
        <w:rPr>
          <w:b/>
        </w:rPr>
        <w:t xml:space="preserve">Prienų rajono savivaldybės administracija </w:t>
      </w:r>
      <w:r>
        <w:rPr/>
        <w:t>(toliau</w:t>
      </w:r>
      <w:r>
        <w:rPr>
          <w:b/>
        </w:rPr>
        <w:t xml:space="preserve"> </w:t>
      </w:r>
      <w:r>
        <w:rPr/>
        <w:t>–</w:t>
      </w:r>
      <w:r>
        <w:rPr>
          <w:b/>
        </w:rPr>
        <w:t xml:space="preserve"> Užsakovas</w:t>
      </w:r>
      <w:r>
        <w:rPr/>
        <w:t>)</w:t>
      </w:r>
      <w:r>
        <w:rPr>
          <w:b/>
        </w:rPr>
        <w:t xml:space="preserve">, </w:t>
      </w:r>
      <w:r>
        <w:rPr/>
        <w:t xml:space="preserve">juridinio asmens kodas 288742590, buveinės adresas Laisvės a. 12, LT59126 Prienai, atstovaujama administracijos direktorės Jūratės Mickevičienės, veikiančios pagal Prienų rajono savivaldybės administracijos nuostatus, ir UAB „Parama“ (toliau – </w:t>
      </w:r>
      <w:r>
        <w:rPr>
          <w:b/>
        </w:rPr>
        <w:t>Rangovas</w:t>
      </w:r>
      <w:r>
        <w:rPr/>
        <w:t xml:space="preserve">), įmonės kodas 165108836, buveinės adresas Gardino g. 30, LT-62154 Alytus, atstovaujama generalinio direktoriaus Kastyčio Nauckūno, veikiančio pagal įmonės įstatus, </w:t>
      </w:r>
    </w:p>
    <w:p>
      <w:pPr>
        <w:pStyle w:val="Normal"/>
        <w:spacing w:lineRule="auto" w:line="240"/>
        <w:ind w:firstLine="567"/>
        <w:rPr/>
      </w:pPr>
      <w:r>
        <w:rPr/>
        <w:t xml:space="preserve">toliau Užsakovas ir Rangovas kiekvienas atskirai gali būti vadinami „Šalimi“, o abu kartu – „Šalimis“, sudarė šią sutartį (toliau – Sutartis), vadovaujantis skelbiamos apklausos būdu atlikto viešojo pirkimo </w:t>
      </w:r>
      <w:r>
        <w:rPr>
          <w:b/>
          <w:bCs/>
        </w:rPr>
        <w:t>„</w:t>
      </w:r>
      <w:r>
        <w:rPr>
          <w:rFonts w:eastAsia="Calibri" w:cs="Calibri"/>
          <w:b/>
          <w:bCs/>
          <w:color w:val="000000"/>
        </w:rPr>
        <w:t>Stadiono g. (VE-23) Veiverių mstl., Veiverių</w:t>
      </w:r>
      <w:r>
        <w:rPr>
          <w:b/>
          <w:bCs/>
        </w:rPr>
        <w:t xml:space="preserve"> sen., Prienų r. sav. kapitalinis remontas“ </w:t>
      </w:r>
      <w:r>
        <w:rPr/>
        <w:t>sąlygomis ir susitarė dėl toliau išvardytų sąlygų.</w:t>
      </w:r>
    </w:p>
    <w:p>
      <w:pPr>
        <w:pStyle w:val="Normal"/>
        <w:numPr>
          <w:ilvl w:val="0"/>
          <w:numId w:val="0"/>
        </w:numPr>
        <w:spacing w:lineRule="auto" w:line="240"/>
        <w:ind w:firstLine="697"/>
        <w:outlineLvl w:val="0"/>
        <w:rPr/>
      </w:pPr>
      <w:r>
        <w:rPr/>
      </w:r>
    </w:p>
    <w:p>
      <w:pPr>
        <w:pStyle w:val="Normal"/>
        <w:numPr>
          <w:ilvl w:val="0"/>
          <w:numId w:val="0"/>
        </w:numPr>
        <w:tabs>
          <w:tab w:val="clear" w:pos="397"/>
          <w:tab w:val="left" w:pos="284" w:leader="none"/>
        </w:tabs>
        <w:spacing w:lineRule="auto" w:line="240"/>
        <w:ind w:hanging="0"/>
        <w:jc w:val="center"/>
        <w:outlineLvl w:val="0"/>
        <w:rPr>
          <w:b/>
          <w:b/>
        </w:rPr>
      </w:pPr>
      <w:r>
        <w:rPr>
          <w:b/>
        </w:rPr>
        <w:t>I. SUTARTIES DALYKAS IR OBJEKTAS</w:t>
      </w:r>
    </w:p>
    <w:p>
      <w:pPr>
        <w:pStyle w:val="Prastasis10punktai"/>
        <w:tabs>
          <w:tab w:val="clear" w:pos="397"/>
          <w:tab w:val="left" w:pos="993" w:leader="none"/>
        </w:tabs>
        <w:spacing w:lineRule="auto" w:line="240"/>
        <w:jc w:val="both"/>
        <w:rPr>
          <w:rFonts w:ascii="Calibri" w:hAnsi="Calibri" w:asciiTheme="minorHAnsi" w:hAnsiTheme="minorHAnsi"/>
          <w:bCs w:val="false"/>
          <w:sz w:val="21"/>
          <w:lang w:eastAsia="ar-SA"/>
        </w:rPr>
      </w:pPr>
      <w:r>
        <w:rPr>
          <w:rFonts w:asciiTheme="minorHAnsi" w:hAnsiTheme="minorHAnsi" w:ascii="Calibri" w:hAnsi="Calibri"/>
          <w:bCs w:val="false"/>
          <w:sz w:val="21"/>
          <w:lang w:eastAsia="ar-SA"/>
        </w:rPr>
      </w:r>
    </w:p>
    <w:p>
      <w:pPr>
        <w:pStyle w:val="Prastasis10punktai"/>
        <w:numPr>
          <w:ilvl w:val="1"/>
          <w:numId w:val="2"/>
        </w:numPr>
        <w:tabs>
          <w:tab w:val="clear" w:pos="397"/>
          <w:tab w:val="left" w:pos="993" w:leader="none"/>
        </w:tabs>
        <w:spacing w:lineRule="auto" w:line="240"/>
        <w:ind w:left="0"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 xml:space="preserve">Šia Sutartimi Rangovas įsipareigoja savo rizika per Sutartyje numatytą terminą ir Sutartyje nustatytomis datomis atlikti ir perduoti </w:t>
      </w:r>
      <w:r>
        <w:rPr>
          <w:rFonts w:eastAsia="Calibri" w:cs="Calibri" w:ascii="Calibri" w:hAnsi="Calibri"/>
          <w:color w:val="000000"/>
          <w:sz w:val="21"/>
        </w:rPr>
        <w:t>Stadiono g. (VE-23) Veiverių mstl., Veiverių</w:t>
      </w:r>
      <w:r>
        <w:rPr>
          <w:rFonts w:ascii="Calibri" w:hAnsi="Calibri" w:asciiTheme="minorHAnsi" w:hAnsiTheme="minorHAnsi"/>
          <w:sz w:val="21"/>
        </w:rPr>
        <w:t xml:space="preserve"> sen. Prienų r. sav. kapitalinio remonto darbus </w:t>
      </w:r>
      <w:r>
        <w:rPr>
          <w:rFonts w:eastAsia="Calibri" w:ascii="Calibri" w:hAnsi="Calibri" w:asciiTheme="minorHAnsi" w:hAnsiTheme="minorHAnsi"/>
          <w:b w:val="false"/>
          <w:sz w:val="21"/>
        </w:rPr>
        <w:t>(toliau – Darbai),</w:t>
      </w:r>
      <w:r>
        <w:rPr>
          <w:rFonts w:ascii="Calibri" w:hAnsi="Calibri" w:asciiTheme="minorHAnsi" w:hAnsiTheme="minorHAnsi"/>
          <w:b w:val="false"/>
          <w:sz w:val="21"/>
        </w:rPr>
        <w:t xml:space="preserve"> ištaisyti defektus, tinkamai parengti išpildomąją dokumentaciją, topografinį planą ir kadastrines bylas, o Užsakovas įsipareigoja sudaryti Rangovui būtinas sąlygas Darbams atlikti, Sutartyje numatyta tvarka priimti Rangovo atliktus Darbus ir Rangovui sumokėti Sutarties kainą Sutartyje numatytomis sąlygomis ir tvarka.</w:t>
      </w:r>
    </w:p>
    <w:p>
      <w:pPr>
        <w:pStyle w:val="Prastasis10punktai"/>
        <w:numPr>
          <w:ilvl w:val="1"/>
          <w:numId w:val="2"/>
        </w:numPr>
        <w:tabs>
          <w:tab w:val="clear" w:pos="397"/>
          <w:tab w:val="left" w:pos="993" w:leader="none"/>
        </w:tabs>
        <w:spacing w:lineRule="auto" w:line="240"/>
        <w:ind w:left="0" w:right="-1" w:firstLine="567"/>
        <w:jc w:val="both"/>
        <w:rPr>
          <w:rFonts w:ascii="Calibri" w:hAnsi="Calibri" w:asciiTheme="minorHAnsi" w:hAnsiTheme="minorHAnsi"/>
          <w:sz w:val="21"/>
        </w:rPr>
      </w:pPr>
      <w:r>
        <w:rPr>
          <w:rFonts w:ascii="Calibri" w:hAnsi="Calibri" w:asciiTheme="minorHAnsi" w:hAnsiTheme="minorHAnsi"/>
          <w:b w:val="false"/>
          <w:spacing w:val="-3"/>
          <w:sz w:val="21"/>
        </w:rPr>
        <w:t xml:space="preserve">Darbai atliekami pagal </w:t>
      </w:r>
      <w:r>
        <w:rPr>
          <w:rFonts w:eastAsia="Calibri" w:cs="Calibri" w:ascii="Calibri" w:hAnsi="Calibri"/>
          <w:color w:val="000000"/>
          <w:spacing w:val="-3"/>
          <w:sz w:val="21"/>
        </w:rPr>
        <w:t>Stadiono g. (VE-23) Veiveriai, Veiverių</w:t>
      </w:r>
      <w:r>
        <w:rPr>
          <w:rFonts w:cs="Calibri" w:ascii="Calibri" w:hAnsi="Calibri" w:cstheme="minorHAnsi"/>
          <w:spacing w:val="-3"/>
          <w:sz w:val="21"/>
        </w:rPr>
        <w:t xml:space="preserve"> </w:t>
      </w:r>
      <w:r>
        <w:rPr>
          <w:rFonts w:ascii="Calibri" w:hAnsi="Calibri" w:asciiTheme="minorHAnsi" w:hAnsiTheme="minorHAnsi"/>
          <w:sz w:val="21"/>
        </w:rPr>
        <w:t>sen. Prienų r. sav. kapitalinio remonto techninį projektą Nr. UL-24-0009.</w:t>
      </w:r>
    </w:p>
    <w:p>
      <w:pPr>
        <w:pStyle w:val="Normal"/>
        <w:numPr>
          <w:ilvl w:val="1"/>
          <w:numId w:val="2"/>
        </w:numPr>
        <w:tabs>
          <w:tab w:val="clear" w:pos="397"/>
          <w:tab w:val="left" w:pos="709" w:leader="none"/>
          <w:tab w:val="left" w:pos="993" w:leader="none"/>
        </w:tabs>
        <w:spacing w:lineRule="auto" w:line="240"/>
        <w:ind w:left="0" w:right="45" w:firstLine="567"/>
        <w:rPr>
          <w:spacing w:val="-3"/>
        </w:rPr>
      </w:pPr>
      <w:r>
        <w:rPr>
          <w:spacing w:val="-3"/>
        </w:rPr>
        <w:t>Darbai turi atitikti Lietuvos Respublikos įstatymų, teisės aktų, statybos techninių reglamentų reikalavimus. Darbų atlikimui naudojamos medžiagos ir gaminiai turi atitikti Aplinkos apsaugos kriterijų taikymo, vykdant žaliuosius pirkimus, tvarkos apraše (toliau – Aprašas), patvirtintame Lietuvos Respublikos aplinkos ministro 2011 m. birželio 28 d. įsakymu Nr. D1-508 „Dėl Aplinkos apsaugos kriterijų taikymo, vykdant žaliuosius pirkimus, tvarkos aprašo patvirtinimo“ (Lietuvos Respublikos aplinkos ministro 2022 m. gruodžio 13 d. įsakymo Nr. D1-401 redakcija), nustatytus minimalius aplinkos apsaugos kriterijus, kitus norminius teisės aktus ir reglamentus, visos privalomos sertifikuoti medžiagos ir gaminiai turi turėti Lietuvos Respublikoje galiojančius sertifikatus ir atitikti jiems nustatytus reikalavimus.</w:t>
      </w:r>
    </w:p>
    <w:p>
      <w:pPr>
        <w:pStyle w:val="Normal"/>
        <w:numPr>
          <w:ilvl w:val="1"/>
          <w:numId w:val="2"/>
        </w:numPr>
        <w:tabs>
          <w:tab w:val="clear" w:pos="397"/>
          <w:tab w:val="left" w:pos="709" w:leader="none"/>
          <w:tab w:val="left" w:pos="993" w:leader="none"/>
        </w:tabs>
        <w:spacing w:lineRule="auto" w:line="240"/>
        <w:ind w:left="0" w:right="45" w:firstLine="567"/>
        <w:rPr>
          <w:b/>
          <w:b/>
          <w:spacing w:val="-3"/>
        </w:rPr>
      </w:pPr>
      <w:r>
        <w:rPr>
          <w:spacing w:val="-3"/>
        </w:rPr>
        <w:t xml:space="preserve">Darbų atlikimo vieta – </w:t>
      </w:r>
      <w:r>
        <w:rPr>
          <w:rFonts w:eastAsia="Calibri" w:cs="Calibri"/>
          <w:b/>
          <w:bCs/>
          <w:color w:val="000000"/>
          <w:spacing w:val="-3"/>
        </w:rPr>
        <w:t>Stadiono g., Veiverių mstl., Veiverių</w:t>
      </w:r>
      <w:r>
        <w:rPr>
          <w:b/>
          <w:bCs/>
          <w:spacing w:val="-3"/>
        </w:rPr>
        <w:t xml:space="preserve"> </w:t>
      </w:r>
      <w:r>
        <w:rPr>
          <w:b/>
          <w:bCs/>
        </w:rPr>
        <w:t>s</w:t>
      </w:r>
      <w:r>
        <w:rPr>
          <w:b/>
        </w:rPr>
        <w:t xml:space="preserve">en. Prienų r. sav. </w:t>
      </w:r>
    </w:p>
    <w:p>
      <w:pPr>
        <w:pStyle w:val="Normal"/>
        <w:numPr>
          <w:ilvl w:val="1"/>
          <w:numId w:val="2"/>
        </w:numPr>
        <w:tabs>
          <w:tab w:val="clear" w:pos="397"/>
          <w:tab w:val="left" w:pos="709" w:leader="none"/>
          <w:tab w:val="left" w:pos="993" w:leader="none"/>
        </w:tabs>
        <w:spacing w:lineRule="auto" w:line="240"/>
        <w:ind w:left="0" w:firstLine="567"/>
        <w:outlineLvl w:val="0"/>
        <w:rPr>
          <w:rFonts w:eastAsia="TimesNewRomanPSMT"/>
        </w:rPr>
      </w:pPr>
      <w:r>
        <w:rPr/>
        <w:t xml:space="preserve">Darbai turi būti atlikti pagal Lietuvos Respublikos įstatymų, teisės aktų, statybos techninių reglamentų reikalavimus. </w:t>
      </w:r>
    </w:p>
    <w:p>
      <w:pPr>
        <w:pStyle w:val="Normal"/>
        <w:numPr>
          <w:ilvl w:val="0"/>
          <w:numId w:val="0"/>
        </w:numPr>
        <w:tabs>
          <w:tab w:val="clear" w:pos="397"/>
          <w:tab w:val="left" w:pos="709" w:leader="none"/>
          <w:tab w:val="left" w:pos="993" w:leader="none"/>
        </w:tabs>
        <w:spacing w:lineRule="auto" w:line="240"/>
        <w:ind w:left="567" w:hanging="0"/>
        <w:outlineLvl w:val="0"/>
        <w:rPr>
          <w:rFonts w:eastAsia="TimesNewRomanPSMT"/>
        </w:rPr>
      </w:pPr>
      <w:r>
        <w:rPr>
          <w:rFonts w:eastAsia="TimesNewRomanPSMT"/>
        </w:rPr>
      </w:r>
    </w:p>
    <w:p>
      <w:pPr>
        <w:pStyle w:val="Normal"/>
        <w:numPr>
          <w:ilvl w:val="0"/>
          <w:numId w:val="0"/>
        </w:numPr>
        <w:spacing w:lineRule="auto" w:line="240"/>
        <w:ind w:hanging="0"/>
        <w:jc w:val="center"/>
        <w:outlineLvl w:val="0"/>
        <w:rPr>
          <w:b/>
          <w:b/>
        </w:rPr>
      </w:pPr>
      <w:r>
        <w:rPr>
          <w:b/>
        </w:rPr>
        <w:t>II. SUTARTIES DARBŲ KAINA IR KAINODAROS TAISYKLĖS</w:t>
      </w:r>
    </w:p>
    <w:p>
      <w:pPr>
        <w:pStyle w:val="Normal"/>
        <w:spacing w:lineRule="auto" w:line="240"/>
        <w:rPr/>
      </w:pPr>
      <w:r>
        <w:rPr/>
        <w:t xml:space="preserve">          </w:t>
      </w:r>
    </w:p>
    <w:p>
      <w:pPr>
        <w:pStyle w:val="Normal"/>
        <w:tabs>
          <w:tab w:val="clear" w:pos="397"/>
          <w:tab w:val="left" w:pos="567" w:leader="none"/>
          <w:tab w:val="left" w:pos="851" w:leader="none"/>
        </w:tabs>
        <w:spacing w:lineRule="auto" w:line="240"/>
        <w:ind w:firstLine="567"/>
        <w:rPr/>
      </w:pPr>
      <w:r>
        <w:rPr/>
        <w:t xml:space="preserve">2.1. Pradinės Sutarties vertė 91 940,88 (devyniasdešimt vienas tūkstantis devyni šimtai keturiasdešimt eurų, 88 ct) Eur be PVM sudaro 19 307,58 (devyniolika tūkstančių trys šimtai septyni eurai, 58 ct) Eur. Bendra Sutarties kaina </w:t>
      </w:r>
      <w:r>
        <w:rPr>
          <w:b/>
          <w:bCs/>
        </w:rPr>
        <w:t xml:space="preserve">111 248,46 </w:t>
      </w:r>
      <w:r>
        <w:rPr/>
        <w:t>(vienas šimtas vienuolika tūkstančių du šimtai keturiasdešimt aštuoni eurai, 46 ct) Eur su PVM.</w:t>
      </w:r>
    </w:p>
    <w:p>
      <w:pPr>
        <w:pStyle w:val="Normal"/>
        <w:tabs>
          <w:tab w:val="clear" w:pos="397"/>
          <w:tab w:val="left" w:pos="567" w:leader="none"/>
          <w:tab w:val="left" w:pos="851" w:leader="none"/>
        </w:tabs>
        <w:spacing w:lineRule="auto" w:line="240"/>
        <w:ind w:firstLine="567"/>
        <w:rPr/>
      </w:pPr>
      <w:r>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w:t>
      </w:r>
    </w:p>
    <w:p>
      <w:pPr>
        <w:pStyle w:val="Normal"/>
        <w:tabs>
          <w:tab w:val="clear" w:pos="397"/>
          <w:tab w:val="left" w:pos="567" w:leader="none"/>
          <w:tab w:val="left" w:pos="851" w:leader="none"/>
        </w:tabs>
        <w:spacing w:lineRule="auto" w:line="240"/>
        <w:ind w:firstLine="567"/>
        <w:rPr/>
      </w:pPr>
      <w:r>
        <w:rPr/>
        <w:t>2.3. Šiai Sutarčiai taikoma fiksuotos kainos kainodara. Bet koks kiekis, kuris gali būti nustatytas techninėje specifikacijoje, yra orientacinis (projektinis) ir neturi būti laikomas faktiniu ir tiksliu Darbų, kuriuos Rangovui reikia atlikti, kiekiu.</w:t>
      </w:r>
    </w:p>
    <w:p>
      <w:pPr>
        <w:pStyle w:val="Normal"/>
        <w:tabs>
          <w:tab w:val="clear" w:pos="397"/>
          <w:tab w:val="left" w:pos="567" w:leader="none"/>
          <w:tab w:val="left" w:pos="851" w:leader="none"/>
        </w:tabs>
        <w:spacing w:lineRule="auto" w:line="240"/>
        <w:ind w:firstLine="567"/>
        <w:rPr/>
      </w:pPr>
      <w:r>
        <w:rPr>
          <w:iCs/>
          <w:color w:val="000000"/>
          <w:shd w:fill="FFFFFF" w:val="clear"/>
        </w:rPr>
        <w:t>2.4. Užsakovas už visą pirkimo dokumentuose ir Sutartyje numatytą pirkimo objektą sumoka 2.1 papunktyje nurodytą kainą, jeigu faktinis ir pirkimo dokumentuose bei Sutartyje Užsakovo nurodytų Darbų kiekis (skaičiuojant pinigine verte) nesiskiria daugiau kaip 15 procentų, skaičiuojant nuo pradinės Sutarties vertės.</w:t>
      </w:r>
    </w:p>
    <w:p>
      <w:pPr>
        <w:pStyle w:val="Normal"/>
        <w:tabs>
          <w:tab w:val="clear" w:pos="397"/>
          <w:tab w:val="left" w:pos="567" w:leader="none"/>
          <w:tab w:val="left" w:pos="851" w:leader="none"/>
        </w:tabs>
        <w:spacing w:lineRule="auto" w:line="240"/>
        <w:ind w:firstLine="567"/>
        <w:rPr/>
      </w:pPr>
      <w:r>
        <w:rPr/>
        <w:t xml:space="preserve">2.5.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 </w:t>
      </w:r>
    </w:p>
    <w:p>
      <w:pPr>
        <w:pStyle w:val="Normal"/>
        <w:tabs>
          <w:tab w:val="clear" w:pos="397"/>
          <w:tab w:val="left" w:pos="567" w:leader="none"/>
          <w:tab w:val="left" w:pos="851" w:leader="none"/>
        </w:tabs>
        <w:spacing w:lineRule="auto" w:line="240"/>
        <w:ind w:firstLine="567"/>
        <w:rPr/>
      </w:pPr>
      <w:r>
        <w:rPr/>
        <w:t>2.6.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pPr>
        <w:pStyle w:val="Normal"/>
        <w:tabs>
          <w:tab w:val="clear" w:pos="397"/>
          <w:tab w:val="left" w:pos="567" w:leader="none"/>
          <w:tab w:val="left" w:pos="851" w:leader="none"/>
        </w:tabs>
        <w:spacing w:lineRule="auto" w:line="240"/>
        <w:ind w:firstLine="567"/>
        <w:rPr/>
      </w:pPr>
      <w:r>
        <w:rPr/>
        <w:t>2.7. Nepriklausomai nuo Rangovo atliktų darbų, dėl kurių nėra susitarta šioje Sutartyje nustatyta tvarka, apimties, Sutarties kaina negali būti keičiama, išskyrus šiais nurodytais atvejais:</w:t>
      </w:r>
    </w:p>
    <w:p>
      <w:pPr>
        <w:pStyle w:val="Normal"/>
        <w:tabs>
          <w:tab w:val="clear" w:pos="397"/>
          <w:tab w:val="left" w:pos="567" w:leader="none"/>
          <w:tab w:val="left" w:pos="851" w:leader="none"/>
        </w:tabs>
        <w:spacing w:lineRule="auto" w:line="240"/>
        <w:ind w:firstLine="567"/>
        <w:rPr/>
      </w:pPr>
      <w:r>
        <w:rPr/>
        <w:t>2.7.1. pagal Sutarties 13 skyriaus nuostatas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pPr>
        <w:pStyle w:val="Normal"/>
        <w:tabs>
          <w:tab w:val="clear" w:pos="397"/>
          <w:tab w:val="left" w:pos="567" w:leader="none"/>
          <w:tab w:val="left" w:pos="851" w:leader="none"/>
        </w:tabs>
        <w:spacing w:lineRule="auto" w:line="240"/>
        <w:ind w:firstLine="567"/>
        <w:rPr/>
      </w:pPr>
      <w:r>
        <w:rPr/>
        <w:t xml:space="preserve">2.7.1.1. pritaikant Sutartyje numatytų Darbų kainą (jei Sutartyje nustatyti tam tikrų konkrečių darbų įkainiai), jei įmanoma: </w:t>
      </w:r>
    </w:p>
    <w:p>
      <w:pPr>
        <w:pStyle w:val="Default"/>
        <w:numPr>
          <w:ilvl w:val="1"/>
          <w:numId w:val="3"/>
        </w:numPr>
        <w:tabs>
          <w:tab w:val="clear" w:pos="397"/>
          <w:tab w:val="left" w:pos="851" w:leader="none"/>
        </w:tabs>
        <w:ind w:left="0" w:firstLine="567"/>
        <w:jc w:val="both"/>
        <w:rPr>
          <w:rFonts w:ascii="Calibri" w:hAnsi="Calibri" w:asciiTheme="minorHAnsi" w:hAnsiTheme="minorHAnsi"/>
          <w:sz w:val="21"/>
          <w:szCs w:val="21"/>
        </w:rPr>
      </w:pPr>
      <w:r>
        <w:rPr>
          <w:rFonts w:ascii="Calibri" w:hAnsi="Calibri" w:asciiTheme="minorHAnsi" w:hAnsiTheme="minorHAnsi"/>
          <w:sz w:val="21"/>
          <w:szCs w:val="21"/>
        </w:rPr>
        <w:t xml:space="preserve">pritaikant Sutartyje nurodytų darbų įkainius, arba </w:t>
      </w:r>
    </w:p>
    <w:p>
      <w:pPr>
        <w:pStyle w:val="Default"/>
        <w:numPr>
          <w:ilvl w:val="1"/>
          <w:numId w:val="3"/>
        </w:numPr>
        <w:tabs>
          <w:tab w:val="clear" w:pos="397"/>
          <w:tab w:val="left" w:pos="851" w:leader="none"/>
          <w:tab w:val="left" w:pos="993" w:leader="none"/>
        </w:tabs>
        <w:ind w:left="0" w:firstLine="567"/>
        <w:jc w:val="both"/>
        <w:rPr>
          <w:rFonts w:ascii="Calibri" w:hAnsi="Calibri" w:asciiTheme="minorHAnsi" w:hAnsiTheme="minorHAnsi"/>
          <w:sz w:val="21"/>
          <w:szCs w:val="21"/>
        </w:rPr>
      </w:pPr>
      <w:r>
        <w:rPr>
          <w:rFonts w:ascii="Calibri" w:hAnsi="Calibri" w:asciiTheme="minorHAnsi" w:hAnsiTheme="minorHAnsi"/>
          <w:sz w:val="21"/>
          <w:szCs w:val="21"/>
        </w:rPr>
        <w:t xml:space="preserve">išskaičiuojant kainos dalį iš Sutartyje numatyto įkainio, arba </w:t>
      </w:r>
    </w:p>
    <w:p>
      <w:pPr>
        <w:pStyle w:val="Default"/>
        <w:numPr>
          <w:ilvl w:val="1"/>
          <w:numId w:val="3"/>
        </w:numPr>
        <w:tabs>
          <w:tab w:val="clear" w:pos="397"/>
          <w:tab w:val="left" w:pos="851" w:leader="none"/>
        </w:tabs>
        <w:ind w:left="0" w:firstLine="567"/>
        <w:jc w:val="both"/>
        <w:rPr>
          <w:rFonts w:ascii="Calibri" w:hAnsi="Calibri" w:asciiTheme="minorHAnsi" w:hAnsiTheme="minorHAnsi"/>
          <w:sz w:val="21"/>
          <w:szCs w:val="21"/>
        </w:rPr>
      </w:pPr>
      <w:r>
        <w:rPr>
          <w:rFonts w:ascii="Calibri" w:hAnsi="Calibri" w:asciiTheme="minorHAnsi" w:hAnsiTheme="minorHAnsi"/>
          <w:sz w:val="21"/>
          <w:szCs w:val="21"/>
        </w:rPr>
        <w:t xml:space="preserve">pritaikant Sutartyje numatytus panašių darbų įkainius. Panašius darbus turi pagrįsti ir nustatyti Užsakovas. </w:t>
      </w:r>
    </w:p>
    <w:p>
      <w:pPr>
        <w:pStyle w:val="Default"/>
        <w:numPr>
          <w:ilvl w:val="3"/>
          <w:numId w:val="4"/>
        </w:numPr>
        <w:tabs>
          <w:tab w:val="clear" w:pos="397"/>
          <w:tab w:val="left" w:pos="1276" w:leader="none"/>
        </w:tabs>
        <w:ind w:left="0" w:firstLine="567"/>
        <w:jc w:val="both"/>
        <w:rPr>
          <w:rFonts w:ascii="Calibri" w:hAnsi="Calibri" w:asciiTheme="minorHAnsi" w:hAnsiTheme="minorHAnsi"/>
          <w:sz w:val="21"/>
          <w:szCs w:val="21"/>
        </w:rPr>
      </w:pPr>
      <w:r>
        <w:rPr>
          <w:rFonts w:ascii="Calibri" w:hAnsi="Calibri" w:asciiTheme="minorHAnsi" w:hAnsiTheme="minorHAnsi"/>
          <w:sz w:val="21"/>
          <w:szCs w:val="21"/>
        </w:rPr>
        <w:t xml:space="preserve">įvertinus pagrįstas tiesiogines (darbo užmokesčio ir su juo susijusius mokesčius, statybos produktų ir įrengimų, mechanizmų sąnaudos) bei netiesiogines (pridėtines, statybvietės, pelno) išlaidas pagal </w:t>
      </w:r>
      <w:r>
        <w:rPr>
          <w:rFonts w:ascii="Calibri" w:hAnsi="Calibri" w:asciiTheme="minorHAnsi" w:hAnsiTheme="minorHAnsi"/>
          <w:spacing w:val="1"/>
          <w:sz w:val="21"/>
          <w:szCs w:val="21"/>
        </w:rPr>
        <w:t>Kainodaros taisyklių nustatymo</w:t>
      </w:r>
      <w:r>
        <w:rPr>
          <w:rFonts w:ascii="Calibri" w:hAnsi="Calibri" w:asciiTheme="minorHAnsi" w:hAnsiTheme="minorHAnsi"/>
          <w:sz w:val="21"/>
          <w:szCs w:val="21"/>
        </w:rPr>
        <w:t xml:space="preserve"> metodikos (toliau – Metodika), </w:t>
      </w:r>
      <w:r>
        <w:rPr>
          <w:rFonts w:ascii="Calibri" w:hAnsi="Calibri" w:asciiTheme="minorHAnsi" w:hAnsiTheme="minorHAnsi"/>
          <w:spacing w:val="1"/>
          <w:sz w:val="21"/>
          <w:szCs w:val="21"/>
        </w:rPr>
        <w:t>patvirtintos</w:t>
      </w:r>
      <w:r>
        <w:rPr>
          <w:rFonts w:ascii="Calibri" w:hAnsi="Calibri" w:asciiTheme="minorHAnsi" w:hAnsiTheme="minorHAnsi"/>
          <w:sz w:val="21"/>
          <w:szCs w:val="21"/>
        </w:rPr>
        <w:t xml:space="preserve"> Viešųjų pirkimų tarnybos direktoriaus 2017 m. birželio 28 d. įsakymu Nr. 1S-95 „Dėl Kainodaros taisyklių nustatymo metodikos patvirtinimo“ (Viešųjų pirkimų tarnybos direktoriaus 2019 m. sausio 24 d. įsakymo Nr. 1S-13 redakcija), priedo „Tiesioginių ir netiesioginių išlaidų apskaičiavimo taisyklės“ nuostatas.</w:t>
      </w:r>
    </w:p>
    <w:p>
      <w:pPr>
        <w:pStyle w:val="Normal"/>
        <w:spacing w:lineRule="auto" w:line="240"/>
        <w:ind w:firstLine="567"/>
        <w:rPr>
          <w:rFonts w:eastAsia="Lucida Sans Unicode"/>
        </w:rPr>
      </w:pPr>
      <w:r>
        <w:rPr>
          <w:rFonts w:eastAsia="Lucida Sans Unicode"/>
        </w:rPr>
      </w:r>
    </w:p>
    <w:p>
      <w:pPr>
        <w:pStyle w:val="Normal"/>
        <w:spacing w:lineRule="auto" w:line="240"/>
        <w:ind w:hanging="0"/>
        <w:jc w:val="center"/>
        <w:rPr>
          <w:rFonts w:eastAsia="Lucida Sans Unicode"/>
        </w:rPr>
      </w:pPr>
      <w:r>
        <w:rPr>
          <w:rFonts w:eastAsia="Lucida Sans Unicode"/>
          <w:b/>
        </w:rPr>
        <w:t xml:space="preserve">III. </w:t>
      </w:r>
      <w:r>
        <w:rPr>
          <w:b/>
        </w:rPr>
        <w:t>ATSISKAITYMO TVARKA</w:t>
      </w:r>
    </w:p>
    <w:p>
      <w:pPr>
        <w:pStyle w:val="Normal"/>
        <w:numPr>
          <w:ilvl w:val="0"/>
          <w:numId w:val="0"/>
        </w:numPr>
        <w:spacing w:lineRule="auto" w:line="240"/>
        <w:ind w:left="720" w:firstLine="697"/>
        <w:outlineLvl w:val="0"/>
        <w:rPr>
          <w:b/>
          <w:b/>
        </w:rPr>
      </w:pPr>
      <w:r>
        <w:rPr>
          <w:b/>
        </w:rPr>
      </w:r>
    </w:p>
    <w:p>
      <w:pPr>
        <w:pStyle w:val="Normal"/>
        <w:numPr>
          <w:ilvl w:val="0"/>
          <w:numId w:val="0"/>
        </w:numPr>
        <w:spacing w:lineRule="auto" w:line="240"/>
        <w:ind w:firstLine="567"/>
        <w:outlineLvl w:val="0"/>
        <w:rPr/>
      </w:pPr>
      <w:r>
        <w:rPr/>
        <w:t>3.1. Mokėjimą Rangovas gali gauti tik tada, kai Šalys pasirašo Darbų perdavimo–priėmimo aktą ir Rangovas ištaiso visus defektus, įvardintus Darbų perdavimo–priėmimo metu, Užsakovui raštiškai patvirtinus tokių defektų ištaisymą.</w:t>
      </w:r>
    </w:p>
    <w:p>
      <w:pPr>
        <w:pStyle w:val="Normal"/>
        <w:numPr>
          <w:ilvl w:val="0"/>
          <w:numId w:val="0"/>
        </w:numPr>
        <w:spacing w:lineRule="auto" w:line="240"/>
        <w:ind w:firstLine="567"/>
        <w:outlineLvl w:val="0"/>
        <w:rPr/>
      </w:pPr>
      <w:r>
        <w:rPr/>
        <w:t xml:space="preserve">3.2. Už faktiškai ir kokybiškai atliktus darbus Užsakovas atsiskaitys pavedimu pagal Rangovo pateiktas sąskaitas faktūras ir atlikus Sutarties 3.1 papunktyje nurodytus veiksmus, </w:t>
      </w:r>
      <w:r>
        <w:rPr>
          <w:color w:val="000000"/>
        </w:rPr>
        <w:t>per 30 (trisdešimt) kalendorinių dienų</w:t>
      </w:r>
      <w:r>
        <w:rPr/>
        <w:t xml:space="preserve"> nuo sąskaitų faktūrų pateikimo dienos Užsakovui. Atsiskaitymo dokumentai pateikiami tik informacinės sistemos „E.sąskaita“ priemonėmis (elektroninės paslaugos „E. sąskaitos“ svetainė pasiekiama adresu www.esaskaita.eu).</w:t>
      </w:r>
    </w:p>
    <w:p>
      <w:pPr>
        <w:pStyle w:val="Normal"/>
        <w:tabs>
          <w:tab w:val="clear" w:pos="397"/>
          <w:tab w:val="left" w:pos="1106" w:leader="none"/>
        </w:tabs>
        <w:spacing w:lineRule="auto" w:line="240"/>
        <w:ind w:firstLine="567"/>
        <w:rPr/>
      </w:pPr>
      <w:r>
        <w:rPr/>
        <w:t>3.3. Užsakovas turi teisę sulaikyti mokėjimus už Rangovo atliktus Darbus, jeigu Rangovas nepašalina Užsakovo nurodytų Rangovo atliktų Darbų trūkumų.</w:t>
      </w:r>
    </w:p>
    <w:p>
      <w:pPr>
        <w:pStyle w:val="Normal"/>
        <w:tabs>
          <w:tab w:val="clear" w:pos="397"/>
          <w:tab w:val="left" w:pos="1106" w:leader="none"/>
        </w:tabs>
        <w:spacing w:lineRule="auto" w:line="240"/>
        <w:ind w:firstLine="567"/>
        <w:rPr/>
      </w:pPr>
      <w:r>
        <w:rPr/>
        <w:t>3.4.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pPr>
        <w:pStyle w:val="Normal"/>
        <w:tabs>
          <w:tab w:val="clear" w:pos="397"/>
          <w:tab w:val="left" w:pos="1106" w:leader="none"/>
        </w:tabs>
        <w:spacing w:lineRule="auto" w:line="240"/>
        <w:rPr/>
      </w:pPr>
      <w:r>
        <w:rPr/>
      </w:r>
    </w:p>
    <w:p>
      <w:pPr>
        <w:pStyle w:val="Normal"/>
        <w:numPr>
          <w:ilvl w:val="0"/>
          <w:numId w:val="0"/>
        </w:numPr>
        <w:spacing w:lineRule="auto" w:line="240"/>
        <w:ind w:hanging="0"/>
        <w:jc w:val="center"/>
        <w:outlineLvl w:val="0"/>
        <w:rPr>
          <w:rFonts w:eastAsia="Calibri"/>
          <w:b/>
          <w:b/>
        </w:rPr>
      </w:pPr>
      <w:r>
        <w:rPr>
          <w:rFonts w:eastAsia="Calibri"/>
          <w:b/>
        </w:rPr>
        <w:t>IV. DARBŲ ATLIKIMO TERMINAI</w:t>
      </w:r>
    </w:p>
    <w:p>
      <w:pPr>
        <w:pStyle w:val="Normal"/>
        <w:numPr>
          <w:ilvl w:val="0"/>
          <w:numId w:val="0"/>
        </w:numPr>
        <w:spacing w:lineRule="auto" w:line="240"/>
        <w:ind w:firstLine="540"/>
        <w:jc w:val="center"/>
        <w:outlineLvl w:val="0"/>
        <w:rPr>
          <w:rFonts w:eastAsia="Calibri"/>
          <w:b/>
          <w:b/>
        </w:rPr>
      </w:pPr>
      <w:r>
        <w:rPr>
          <w:rFonts w:eastAsia="Calibri"/>
          <w:b/>
        </w:rPr>
      </w:r>
    </w:p>
    <w:p>
      <w:pPr>
        <w:pStyle w:val="Normal"/>
        <w:tabs>
          <w:tab w:val="clear" w:pos="397"/>
          <w:tab w:val="left" w:pos="993" w:leader="none"/>
        </w:tabs>
        <w:spacing w:lineRule="auto" w:line="240"/>
        <w:ind w:firstLine="567"/>
        <w:rPr/>
      </w:pPr>
      <w:r>
        <w:rPr/>
        <w:t xml:space="preserve">4.1. Numatomas galutinis darbų atlikimo terminas iki </w:t>
      </w:r>
      <w:r>
        <w:rPr>
          <w:b/>
        </w:rPr>
        <w:t>2024 m. spalio 15 d.</w:t>
      </w:r>
      <w:r>
        <w:rPr/>
        <w:t xml:space="preserve"> </w:t>
      </w:r>
    </w:p>
    <w:p>
      <w:pPr>
        <w:pStyle w:val="Normal"/>
        <w:tabs>
          <w:tab w:val="clear" w:pos="397"/>
          <w:tab w:val="left" w:pos="1134" w:leader="none"/>
        </w:tabs>
        <w:spacing w:lineRule="auto" w:line="240"/>
        <w:ind w:firstLine="567"/>
        <w:rPr/>
      </w:pPr>
      <w:r>
        <w:rPr/>
        <w:t>4.2. Darbų atlikimo terminas dėl nenumatytų aplinkybių ar kitų svarbių priežasčių gali būti pratęstas 1 (vieną) kartą ne ilgiau kaip 1 mėn. laikotarpiui. Susidarius situacijai, dėl kurios būtų paskelbiama ekstremalioji situacija valstybės lygiu ir įvedamas karantinas, Sutarties terminas pratęsiamas karantino laikotarpiui.</w:t>
      </w:r>
    </w:p>
    <w:p>
      <w:pPr>
        <w:pStyle w:val="Normal"/>
        <w:tabs>
          <w:tab w:val="clear" w:pos="397"/>
          <w:tab w:val="left" w:pos="1134" w:leader="none"/>
        </w:tabs>
        <w:spacing w:lineRule="auto" w:line="240"/>
        <w:ind w:firstLine="567"/>
        <w:rPr/>
      </w:pPr>
      <w:r>
        <w:rPr/>
        <w:t>4.3. Darbų pabaiga pagal Sutartį bus laikomas momentas, kai bus užbaigti visi Sutartyje numatyti Darbai ir priimti pagal šios Sutarties 8 skyrių.</w:t>
      </w:r>
    </w:p>
    <w:p>
      <w:pPr>
        <w:pStyle w:val="Normal"/>
        <w:spacing w:lineRule="auto" w:line="240"/>
        <w:rPr/>
      </w:pPr>
      <w:r>
        <w:rPr/>
      </w:r>
    </w:p>
    <w:p>
      <w:pPr>
        <w:pStyle w:val="Normal"/>
        <w:numPr>
          <w:ilvl w:val="0"/>
          <w:numId w:val="0"/>
        </w:numPr>
        <w:spacing w:lineRule="auto" w:line="240"/>
        <w:ind w:hanging="0"/>
        <w:jc w:val="center"/>
        <w:outlineLvl w:val="0"/>
        <w:rPr>
          <w:b/>
          <w:b/>
        </w:rPr>
      </w:pPr>
      <w:r>
        <w:rPr>
          <w:b/>
        </w:rPr>
        <w:t>V. ŠALIŲ ĮSIPAREIGOJIMAI</w:t>
      </w:r>
    </w:p>
    <w:p>
      <w:pPr>
        <w:pStyle w:val="Normal"/>
        <w:numPr>
          <w:ilvl w:val="0"/>
          <w:numId w:val="0"/>
        </w:numPr>
        <w:spacing w:lineRule="auto" w:line="240"/>
        <w:ind w:firstLine="697"/>
        <w:jc w:val="center"/>
        <w:outlineLvl w:val="0"/>
        <w:rPr>
          <w:b/>
          <w:b/>
        </w:rPr>
      </w:pPr>
      <w:r>
        <w:rPr>
          <w:b/>
        </w:rPr>
      </w:r>
    </w:p>
    <w:p>
      <w:pPr>
        <w:pStyle w:val="Normal"/>
        <w:spacing w:lineRule="auto" w:line="240"/>
        <w:ind w:firstLine="567"/>
        <w:rPr>
          <w:i/>
          <w:i/>
          <w:color w:val="000000"/>
        </w:rPr>
      </w:pPr>
      <w:r>
        <w:rPr>
          <w:color w:val="000000"/>
        </w:rPr>
        <w:t>5.1. Užsakovas įsipareigoja:</w:t>
      </w:r>
    </w:p>
    <w:p>
      <w:pPr>
        <w:pStyle w:val="Normal"/>
        <w:spacing w:lineRule="auto" w:line="240"/>
        <w:ind w:firstLine="567"/>
        <w:rPr>
          <w:b/>
          <w:b/>
          <w:i/>
          <w:i/>
          <w:color w:val="000000"/>
        </w:rPr>
      </w:pPr>
      <w:r>
        <w:rPr>
          <w:color w:val="000000"/>
        </w:rPr>
        <w:t>5.1.1. nustatyti Darbų apimtį ir atlikimo sąlygas;</w:t>
      </w:r>
    </w:p>
    <w:p>
      <w:pPr>
        <w:pStyle w:val="Normal"/>
        <w:spacing w:lineRule="auto" w:line="240"/>
        <w:ind w:firstLine="567"/>
        <w:rPr>
          <w:color w:val="000000"/>
        </w:rPr>
      </w:pPr>
      <w:r>
        <w:rPr>
          <w:color w:val="000000"/>
        </w:rPr>
        <w:t>5.1.2. pranešti kas vykdys Darbų kokybės priežiūrą;</w:t>
      </w:r>
    </w:p>
    <w:p>
      <w:pPr>
        <w:pStyle w:val="Normal"/>
        <w:spacing w:lineRule="auto" w:line="240"/>
        <w:ind w:firstLine="567"/>
        <w:rPr>
          <w:color w:val="000000"/>
        </w:rPr>
      </w:pPr>
      <w:r>
        <w:rPr>
          <w:color w:val="000000"/>
        </w:rPr>
        <w:t>5.1.3. priimti iš Rangovo užbaigtus Darbus ir už juos atsiskaityti;</w:t>
      </w:r>
    </w:p>
    <w:p>
      <w:pPr>
        <w:pStyle w:val="Normal"/>
        <w:spacing w:lineRule="auto" w:line="240"/>
        <w:ind w:firstLine="567"/>
        <w:rPr>
          <w:color w:val="000000"/>
        </w:rPr>
      </w:pPr>
      <w:r>
        <w:rPr>
          <w:color w:val="000000"/>
        </w:rPr>
        <w:t>5.1.4. pareikalauti šalinti trūkumus, nemokėti už nekokybiškai atliktą darbą arba sustabdyti Darbus, jeigu Rangovas nesilaiko statybos normų ir taisyklių.</w:t>
      </w:r>
    </w:p>
    <w:p>
      <w:pPr>
        <w:pStyle w:val="Normal"/>
        <w:spacing w:lineRule="auto" w:line="240"/>
        <w:ind w:firstLine="567"/>
        <w:rPr>
          <w:color w:val="000000"/>
        </w:rPr>
      </w:pPr>
      <w:r>
        <w:rPr>
          <w:color w:val="000000"/>
        </w:rPr>
        <w:t>5.2. Rangovas įsipareigoja:</w:t>
      </w:r>
    </w:p>
    <w:p>
      <w:pPr>
        <w:pStyle w:val="Normal"/>
        <w:spacing w:lineRule="auto" w:line="240"/>
        <w:ind w:firstLine="567"/>
        <w:rPr>
          <w:color w:val="000000"/>
        </w:rPr>
      </w:pPr>
      <w:r>
        <w:rPr>
          <w:color w:val="000000"/>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pPr>
        <w:pStyle w:val="Normal"/>
        <w:spacing w:lineRule="auto" w:line="240"/>
        <w:ind w:firstLine="567"/>
        <w:rPr>
          <w:color w:val="000000"/>
        </w:rPr>
      </w:pPr>
      <w:r>
        <w:rPr>
          <w:color w:val="000000"/>
        </w:rPr>
        <w:t xml:space="preserve">5.2.2. </w:t>
      </w:r>
      <w:r>
        <w:rPr/>
        <w:t>naudoti tik Darbų vykdymui ir naudojimo sąlygoms tinkamą įrangą ir medžiagas</w:t>
      </w:r>
      <w:r>
        <w:rPr>
          <w:color w:val="000000"/>
        </w:rPr>
        <w:t>;</w:t>
      </w:r>
    </w:p>
    <w:p>
      <w:pPr>
        <w:pStyle w:val="Normal"/>
        <w:spacing w:lineRule="auto" w:line="240"/>
        <w:ind w:firstLine="567"/>
        <w:rPr>
          <w:color w:val="000000"/>
        </w:rPr>
      </w:pPr>
      <w:r>
        <w:rPr/>
        <w:t>5.2.3. paskirti Lietuvos Respublikos teisės aktų nustatyta tvarka atestuotą statybos darbų vadovą, kuris privalo vykdyti pareigas, numatytas STR 1.06.01:2016 „Statybos darbai. Statinio statybos priežiūra“, pateikti Užsakovui kitus dokumentus;</w:t>
      </w:r>
    </w:p>
    <w:p>
      <w:pPr>
        <w:pStyle w:val="Normal"/>
        <w:spacing w:lineRule="auto" w:line="240"/>
        <w:ind w:firstLine="567"/>
        <w:rPr>
          <w:color w:val="000000"/>
        </w:rPr>
      </w:pPr>
      <w:r>
        <w:rPr/>
        <w:t>5.2.4. užtikrinti saugos ir sveikatos darbe, priešgaisrinės</w:t>
      </w:r>
      <w:r>
        <w:rPr>
          <w:color w:val="000000"/>
        </w:rPr>
        <w:t xml:space="preserve"> saugos ir aplinkos apsaugos reikalavimų vykdymą; </w:t>
      </w:r>
    </w:p>
    <w:p>
      <w:pPr>
        <w:pStyle w:val="Normal"/>
        <w:spacing w:lineRule="auto" w:line="240"/>
        <w:ind w:firstLine="567"/>
        <w:rPr>
          <w:color w:val="000000"/>
        </w:rPr>
      </w:pPr>
      <w:r>
        <w:rPr>
          <w:color w:val="000000"/>
        </w:rPr>
        <w:t>5.2.5. parengti išpildomąją dokumentaciją ir kadastrines bylas, laikantis teisės aktų reikalavimų;</w:t>
      </w:r>
    </w:p>
    <w:p>
      <w:pPr>
        <w:pStyle w:val="Normal"/>
        <w:spacing w:lineRule="auto" w:line="240"/>
        <w:ind w:firstLine="567"/>
        <w:rPr/>
      </w:pPr>
      <w:r>
        <w:rPr>
          <w:color w:val="000000"/>
        </w:rPr>
        <w:t xml:space="preserve">5.2.6. </w:t>
      </w:r>
      <w:r>
        <w:rPr/>
        <w:t>būti atsakingas už visus savo veiksmus ir statybos darbų metodų tinkamumą, patikimumą visu Darbų vykdymo laikotarpiu;</w:t>
      </w:r>
    </w:p>
    <w:p>
      <w:pPr>
        <w:pStyle w:val="Normal"/>
        <w:spacing w:lineRule="auto" w:line="240"/>
        <w:ind w:firstLine="567"/>
        <w:rPr/>
      </w:pPr>
      <w:r>
        <w:rPr/>
        <w:t>5.2.7. pašalinti iš statybvietės visas statybines atliekas ir šiukšles;</w:t>
      </w:r>
    </w:p>
    <w:p>
      <w:pPr>
        <w:pStyle w:val="Normal"/>
        <w:spacing w:lineRule="auto" w:line="240"/>
        <w:ind w:firstLine="567"/>
        <w:rPr/>
      </w:pPr>
      <w:r>
        <w:rPr/>
        <w:t>5.2.8. valyti ir prižiūrėti patekimo į statybvietę kelius,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pPr>
        <w:pStyle w:val="Normal"/>
        <w:spacing w:lineRule="auto" w:line="240"/>
        <w:ind w:firstLine="567"/>
        <w:rPr>
          <w:color w:val="000000"/>
        </w:rPr>
      </w:pPr>
      <w:r>
        <w:rPr/>
        <w:t>5.2.9.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pPr>
        <w:pStyle w:val="Normal"/>
        <w:spacing w:lineRule="auto" w:line="240"/>
        <w:ind w:firstLine="567"/>
        <w:rPr>
          <w:color w:val="000000"/>
        </w:rPr>
      </w:pPr>
      <w:r>
        <w:rPr>
          <w:color w:val="000000"/>
        </w:rPr>
        <w:t>5.2.10. garantuoti, kad atlikti darbai atitinka norminių statybos dokumentų reikalavimus;</w:t>
      </w:r>
    </w:p>
    <w:p>
      <w:pPr>
        <w:pStyle w:val="Normal"/>
        <w:spacing w:lineRule="auto" w:line="240"/>
        <w:ind w:firstLine="567"/>
        <w:rPr>
          <w:rFonts w:eastAsia="Calibri"/>
        </w:rPr>
      </w:pPr>
      <w:r>
        <w:rPr>
          <w:color w:val="000000"/>
        </w:rPr>
        <w:t xml:space="preserve">5.2.11. </w:t>
      </w:r>
      <w:r>
        <w:rPr>
          <w:rFonts w:eastAsia="Calibri"/>
        </w:rPr>
        <w:t>užtikrinti, kad Rangovas ir bet kurie asmenys (subrangovai, subsubrangovai ir kt.), veikiantys jo vardu, yra gavę visus būtinus leidimus, kvalifikacijos atestacijos pažymėjimus ar kitokius dokumentus, leidžiančius užsiimti šioje Sutartyje nustatyta veikla, kuri yra Rangovo sutartinių įsipareigojimų dalis;</w:t>
      </w:r>
    </w:p>
    <w:p>
      <w:pPr>
        <w:pStyle w:val="Normal"/>
        <w:spacing w:lineRule="auto" w:line="240"/>
        <w:ind w:firstLine="567"/>
        <w:rPr>
          <w:rFonts w:eastAsia="Calibri"/>
        </w:rPr>
      </w:pPr>
      <w:r>
        <w:rPr>
          <w:rFonts w:eastAsia="Calibri"/>
        </w:rPr>
        <w:t>5.2.12. būti atsakingas už subrangovo, jo įgaliotų atstovų ir darbuotojų veiksmus arba neveikimą taip, kaip atsakytų už savo paties veiksmus ar neveikimą;</w:t>
      </w:r>
    </w:p>
    <w:p>
      <w:pPr>
        <w:pStyle w:val="Normal"/>
        <w:spacing w:lineRule="auto" w:line="240"/>
        <w:ind w:firstLine="567"/>
        <w:rPr/>
      </w:pPr>
      <w:r>
        <w:rPr/>
        <w:t>5.2.13. sudaryti sąlygas Užsakovo atstovams lankytis Darbų atlikimo objekte bei susipažinti su visa Darbų dokumentacija;</w:t>
      </w:r>
    </w:p>
    <w:p>
      <w:pPr>
        <w:pStyle w:val="Normal"/>
        <w:spacing w:lineRule="auto" w:line="240"/>
        <w:ind w:firstLine="567"/>
        <w:rPr/>
      </w:pPr>
      <w:r>
        <w:rPr/>
        <w:t>5.2.14. užtikrinti, kad jis yra gavęs ir turi visą būtiną informaciją, kurią Rangovas, panaudodamas visas savo žinias ir rūpestingumą, galėjo gauti iki Sutarties pasirašymo ir kuri gali turėti įtakos Sutarties kainai arba Darbams, įskaitant techninės specifikacijos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pPr>
        <w:pStyle w:val="Normal"/>
        <w:spacing w:lineRule="auto" w:line="240"/>
        <w:ind w:firstLine="567"/>
        <w:rPr/>
      </w:pPr>
      <w:r>
        <w:rPr/>
        <w:t>5.2.15. prisiimti savo atsakomybei ir rizikai Darbų faktinių kiekių neatitikimą orientaciniams (projektiniams) kiekiams, kurių vertė</w:t>
      </w:r>
      <w:r>
        <w:rPr>
          <w:iCs/>
          <w:color w:val="000000"/>
          <w:shd w:fill="FFFFFF" w:val="clear"/>
        </w:rPr>
        <w:t xml:space="preserve"> negali viršyti procentinio dydžio, nurodyto šios Sutarties 2.4 papunktyje, </w:t>
      </w:r>
      <w:r>
        <w:rPr/>
        <w:t>skaičiuojant nuo pradinės Sutarties vertės. Jei neatitinka daugiau kaip 15 procentų, skaičiuojant nuo pradinės Sutarties vertės, Sutartyje nurodytų Darbų apimties, visi darbai, viršijantys 15 procentų ribą, turi būti atsisakomi ir (ar) įsigyjami taikant kiekio (apimties) keitimo sąlygas, nurodytas Metodikos, III skyriuje. Tokių darbų vertės nustatymo, teikimo ir tvirtinimo procedūra atliekama analogiškai pagal pakeitimų procedūrą, nurodytą Sutarties 13 skyriuje;</w:t>
      </w:r>
    </w:p>
    <w:p>
      <w:pPr>
        <w:pStyle w:val="Normal"/>
        <w:spacing w:lineRule="auto" w:line="240"/>
        <w:ind w:firstLine="567"/>
        <w:rPr/>
      </w:pPr>
      <w:r>
        <w:rPr>
          <w:color w:val="000000"/>
        </w:rPr>
        <w:t>5.2.16. savo sąskaita atlyginti nuostolius, kurie atsirado dėl netinkamo Darbų vykdymo,</w:t>
      </w:r>
      <w:r>
        <w:rPr>
          <w:rFonts w:eastAsia="Calibri"/>
        </w:rPr>
        <w:t xml:space="preserve"> ir apsaugoti Užsakovą nuo visų pretenzijų, kompensacijų</w:t>
      </w:r>
      <w:r>
        <w:rPr>
          <w:color w:val="000000"/>
        </w:rPr>
        <w:t>;</w:t>
      </w:r>
    </w:p>
    <w:p>
      <w:pPr>
        <w:pStyle w:val="Normal"/>
        <w:spacing w:lineRule="auto" w:line="240"/>
        <w:ind w:firstLine="567"/>
        <w:rPr>
          <w:color w:val="000000"/>
        </w:rPr>
      </w:pPr>
      <w:r>
        <w:rPr>
          <w:color w:val="000000"/>
        </w:rPr>
        <w:t>5.2.17. savo sąskaita šalinti kontrolinių bandymų metu nustatytus Darbų kokybės trūkumus iki teikiant dokumentus apmokėti už atliktus Darbus;</w:t>
      </w:r>
    </w:p>
    <w:p>
      <w:pPr>
        <w:pStyle w:val="Normal"/>
        <w:spacing w:lineRule="auto" w:line="240"/>
        <w:ind w:firstLine="567"/>
        <w:rPr>
          <w:color w:val="000000"/>
        </w:rPr>
      </w:pPr>
      <w:r>
        <w:rPr>
          <w:color w:val="000000"/>
        </w:rPr>
        <w:t>5.2.18. įforminti priežiūros darbų atlikimo dokumentus;</w:t>
      </w:r>
    </w:p>
    <w:p>
      <w:pPr>
        <w:pStyle w:val="Normal"/>
        <w:spacing w:lineRule="auto" w:line="240"/>
        <w:ind w:firstLine="567"/>
        <w:rPr>
          <w:color w:val="000000"/>
        </w:rPr>
      </w:pPr>
      <w:r>
        <w:rPr>
          <w:color w:val="000000"/>
        </w:rPr>
        <w:t>5.2.19. savo sąskaita atlikti medžiagų ir gaminių, jei Užsakovui kilo įtarimas dėl atliktų, bet nepriduotų darbų kokybės;</w:t>
      </w:r>
    </w:p>
    <w:p>
      <w:pPr>
        <w:pStyle w:val="Normal"/>
        <w:spacing w:lineRule="auto" w:line="240"/>
        <w:ind w:firstLine="567"/>
        <w:rPr>
          <w:color w:val="000000"/>
        </w:rPr>
      </w:pPr>
      <w:r>
        <w:rPr>
          <w:color w:val="000000"/>
        </w:rPr>
        <w:t>5.2.20. vykdyti Darbų pirkimo metu visus pateiktus įsipareigojimus;</w:t>
      </w:r>
    </w:p>
    <w:p>
      <w:pPr>
        <w:pStyle w:val="Normal"/>
        <w:spacing w:lineRule="auto" w:line="240"/>
        <w:ind w:firstLine="567"/>
        <w:rPr>
          <w:color w:val="000000"/>
        </w:rPr>
      </w:pPr>
      <w:r>
        <w:rPr>
          <w:color w:val="000000"/>
        </w:rPr>
        <w:t>5.2.21. įspėti Užsakovą, jei jo nurodymų laikymasis kelia grėsmę atliekamų Darbų kokybei;</w:t>
      </w:r>
    </w:p>
    <w:p>
      <w:pPr>
        <w:pStyle w:val="Normal"/>
        <w:spacing w:lineRule="auto" w:line="240"/>
        <w:ind w:firstLine="567"/>
        <w:rPr>
          <w:color w:val="000000"/>
        </w:rPr>
      </w:pPr>
      <w:r>
        <w:rPr>
          <w:color w:val="000000"/>
        </w:rPr>
        <w:t>5.2.22. laiku pranešti Užsakovui apie kitas aplinkybes, kenkiančias Darbų kokybei, atlikimo terminui;</w:t>
      </w:r>
    </w:p>
    <w:p>
      <w:pPr>
        <w:pStyle w:val="Normal"/>
        <w:spacing w:lineRule="auto" w:line="240"/>
        <w:ind w:firstLine="567"/>
        <w:rPr/>
      </w:pPr>
      <w:r>
        <w:rPr>
          <w:color w:val="000000"/>
        </w:rPr>
        <w:t xml:space="preserve">5.2.23. </w:t>
      </w:r>
      <w:r>
        <w:rPr/>
        <w:t>užtikrinti ir atsakyti, kad statybvietėje statybos Darbus atliekantys asmenys turėtų skaidriai dirbančio asmens identifikavimo kodus, o kiti į statybvietę patenkantys asmenys būtų identifikuojami Rangovo nustatytomis priemonėmis;</w:t>
      </w:r>
    </w:p>
    <w:p>
      <w:pPr>
        <w:pStyle w:val="Normal"/>
        <w:spacing w:lineRule="auto" w:line="240"/>
        <w:ind w:firstLine="567"/>
        <w:rPr/>
      </w:pPr>
      <w:r>
        <w:rPr/>
        <w:t>5.2.24. savo lėšomis pasirengti eismo organizavimo schemas. Gauti leidimą eismo uždarymui ar ribojimui, užtikrinant patekimą į savininkų ar naudotojų teritorijas (jei reikia). Pasirengti apylankos schemas, gauti joms suderinimus, savo lėšomis įsirengti apylankos ženklus.</w:t>
      </w:r>
    </w:p>
    <w:p>
      <w:pPr>
        <w:pStyle w:val="Normal"/>
        <w:spacing w:lineRule="auto" w:line="240"/>
        <w:ind w:firstLine="567"/>
        <w:rPr/>
      </w:pPr>
      <w:r>
        <w:rPr/>
        <w:t>5.2.26. privalo pasirūpinti statybos darbų žurnalu ir vadovaujantis STR 1.06.01:2016 „Statybos darbai. Statinio statybos priežiūra“ statybos darbų žurnalo pildymo tvarkos aprašo nuostatomis pildyti statybos darbų žurnalą.</w:t>
      </w:r>
    </w:p>
    <w:p>
      <w:pPr>
        <w:pStyle w:val="Pagrindinistekstas"/>
        <w:spacing w:lineRule="auto" w:line="240"/>
        <w:rPr/>
      </w:pPr>
      <w:r>
        <w:rPr/>
        <w:t>5.2.27. vykdydamas Sutartį užtikrinti, kad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pPr>
        <w:pStyle w:val="Pagrindinistekstas"/>
        <w:spacing w:lineRule="auto" w:line="240"/>
        <w:rPr/>
      </w:pPr>
      <w:r>
        <w:rPr/>
        <w:t xml:space="preserve">5.2.28. </w:t>
      </w:r>
      <w:r>
        <w:rPr>
          <w:szCs w:val="21"/>
        </w:rPr>
        <w:t>užtikrinti, kad ne mažiau kaip pusę išlaidų statybos produktams sudarytų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pPr>
        <w:pStyle w:val="Pagrindinistekstas"/>
        <w:spacing w:lineRule="auto" w:line="240"/>
        <w:rPr>
          <w:szCs w:val="21"/>
        </w:rPr>
      </w:pPr>
      <w:r>
        <w:rPr>
          <w:szCs w:val="21"/>
        </w:rPr>
        <w:t>5.2.29. Užsakovui paprašius pateikti dokumentus, patvirtinančius, kad Rangovas laikosi 5.2.27 ir 5.2.28 papunkčiuose nustatytų reikalavimų. Rangovui nepateikus šių dokumentų ar pateiktų dokumentų galiojimo laikas yra pasibaigęs, šis įsipareigojimų pažeidimas laikomas esminiu.</w:t>
      </w:r>
    </w:p>
    <w:p>
      <w:pPr>
        <w:pStyle w:val="Normal"/>
        <w:spacing w:lineRule="auto" w:line="240"/>
        <w:ind w:firstLine="567"/>
        <w:rPr/>
      </w:pPr>
      <w:r>
        <w:rPr/>
      </w:r>
    </w:p>
    <w:p>
      <w:pPr>
        <w:pStyle w:val="Normal"/>
        <w:numPr>
          <w:ilvl w:val="0"/>
          <w:numId w:val="0"/>
        </w:numPr>
        <w:spacing w:lineRule="auto" w:line="240"/>
        <w:ind w:hanging="0"/>
        <w:jc w:val="center"/>
        <w:outlineLvl w:val="0"/>
        <w:rPr>
          <w:b/>
          <w:b/>
        </w:rPr>
      </w:pPr>
      <w:r>
        <w:rPr>
          <w:b/>
        </w:rPr>
        <w:t>VI. ŠALIŲ TEISĖS</w:t>
      </w:r>
    </w:p>
    <w:p>
      <w:pPr>
        <w:pStyle w:val="Normal"/>
        <w:numPr>
          <w:ilvl w:val="0"/>
          <w:numId w:val="0"/>
        </w:numPr>
        <w:spacing w:lineRule="auto" w:line="240"/>
        <w:ind w:firstLine="426"/>
        <w:jc w:val="center"/>
        <w:outlineLvl w:val="0"/>
        <w:rPr>
          <w:b/>
          <w:b/>
        </w:rPr>
      </w:pPr>
      <w:r>
        <w:rPr>
          <w:b/>
        </w:rPr>
      </w:r>
    </w:p>
    <w:p>
      <w:pPr>
        <w:pStyle w:val="Normal"/>
        <w:numPr>
          <w:ilvl w:val="0"/>
          <w:numId w:val="0"/>
        </w:numPr>
        <w:spacing w:lineRule="auto" w:line="240"/>
        <w:ind w:firstLine="567"/>
        <w:outlineLvl w:val="0"/>
        <w:rPr/>
      </w:pPr>
      <w:r>
        <w:rPr/>
        <w:t>6.1. Užsakovo teisės:</w:t>
      </w:r>
    </w:p>
    <w:p>
      <w:pPr>
        <w:pStyle w:val="Prastasis10punktai"/>
        <w:spacing w:lineRule="auto" w:line="240"/>
        <w:ind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6.1.1. bet kuriuo metu tikrinti Darbų atlikimo eigą ir kokybę;</w:t>
      </w:r>
    </w:p>
    <w:p>
      <w:pPr>
        <w:pStyle w:val="Prastasis10punktai"/>
        <w:spacing w:lineRule="auto" w:line="240"/>
        <w:ind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6.1.2. nukrypimus nuo kokybės reikalavimų ar kitus trūkumus fiksuoti vienkartinio patikrinimo aktais ir reikalauti per suderintą protingą terminą neatlygintinai pašalinti nurodytus trūkumus;</w:t>
      </w:r>
    </w:p>
    <w:p>
      <w:pPr>
        <w:pStyle w:val="Prastasis10punktai"/>
        <w:spacing w:lineRule="auto" w:line="240"/>
        <w:ind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6.1.3. pareikšti reikalavimus dėl Darbų rezultato trūkumų, kurie buvo nustatyti per garantinį terminą;</w:t>
      </w:r>
    </w:p>
    <w:p>
      <w:pPr>
        <w:pStyle w:val="Prastasis10punktai"/>
        <w:spacing w:lineRule="auto" w:line="240"/>
        <w:ind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6.1.4. kreiptis dėl netesybų sumos sumokėjimo į Rangovą, o jam neatsiskaičius per 30 dienų kreiptis į garantiją suteikusią organizaciją dėl mokėtinų sumų išmokėjimo.</w:t>
      </w:r>
    </w:p>
    <w:p>
      <w:pPr>
        <w:pStyle w:val="Prastasis10punktai"/>
        <w:spacing w:lineRule="auto" w:line="240"/>
        <w:ind w:right="-1" w:firstLine="567"/>
        <w:jc w:val="both"/>
        <w:rPr>
          <w:rFonts w:ascii="Calibri" w:hAnsi="Calibri" w:asciiTheme="minorHAnsi" w:hAnsiTheme="minorHAnsi"/>
          <w:b w:val="false"/>
          <w:b w:val="false"/>
          <w:sz w:val="21"/>
        </w:rPr>
      </w:pPr>
      <w:r>
        <w:rPr>
          <w:rFonts w:ascii="Calibri" w:hAnsi="Calibri" w:asciiTheme="minorHAnsi" w:hAnsiTheme="minorHAnsi"/>
          <w:b w:val="false"/>
          <w:sz w:val="21"/>
        </w:rPr>
        <w:t>6.2. Rangovas turi teisę vietoj Užsakovo nustatytų Rangovo atliktų Darbų trūkumų pašalinimo atlikti Darbus iš naujo.</w:t>
      </w:r>
    </w:p>
    <w:p>
      <w:pPr>
        <w:pStyle w:val="Normal"/>
        <w:spacing w:lineRule="auto" w:line="240"/>
        <w:rPr/>
      </w:pPr>
      <w:r>
        <w:rPr/>
      </w:r>
    </w:p>
    <w:p>
      <w:pPr>
        <w:pStyle w:val="Normal"/>
        <w:spacing w:lineRule="auto" w:line="240"/>
        <w:rPr/>
      </w:pPr>
      <w:r>
        <w:rPr/>
      </w:r>
    </w:p>
    <w:p>
      <w:pPr>
        <w:pStyle w:val="Normal"/>
        <w:numPr>
          <w:ilvl w:val="0"/>
          <w:numId w:val="0"/>
        </w:numPr>
        <w:spacing w:lineRule="auto" w:line="240"/>
        <w:ind w:hanging="0"/>
        <w:jc w:val="center"/>
        <w:outlineLvl w:val="0"/>
        <w:rPr>
          <w:b/>
          <w:b/>
        </w:rPr>
      </w:pPr>
      <w:r>
        <w:rPr>
          <w:b/>
        </w:rPr>
        <w:t>VII. ATSAKOMYBĖ UŽ DEFEKTUS, GARANTIJOS</w:t>
      </w:r>
    </w:p>
    <w:p>
      <w:pPr>
        <w:pStyle w:val="Normal"/>
        <w:numPr>
          <w:ilvl w:val="0"/>
          <w:numId w:val="0"/>
        </w:numPr>
        <w:spacing w:lineRule="auto" w:line="240"/>
        <w:ind w:firstLine="697"/>
        <w:jc w:val="center"/>
        <w:outlineLvl w:val="0"/>
        <w:rPr>
          <w:b/>
          <w:b/>
        </w:rPr>
      </w:pPr>
      <w:r>
        <w:rPr>
          <w:b/>
        </w:rPr>
      </w:r>
    </w:p>
    <w:p>
      <w:pPr>
        <w:pStyle w:val="Normal"/>
        <w:numPr>
          <w:ilvl w:val="0"/>
          <w:numId w:val="0"/>
        </w:numPr>
        <w:spacing w:lineRule="auto" w:line="240"/>
        <w:ind w:firstLine="567"/>
        <w:outlineLvl w:val="0"/>
        <w:rPr/>
      </w:pPr>
      <w:r>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pPr>
        <w:pStyle w:val="Normal"/>
        <w:numPr>
          <w:ilvl w:val="0"/>
          <w:numId w:val="0"/>
        </w:numPr>
        <w:spacing w:lineRule="auto" w:line="240"/>
        <w:ind w:firstLine="567"/>
        <w:outlineLvl w:val="0"/>
        <w:rPr/>
      </w:pPr>
      <w:r>
        <w:rPr>
          <w:color w:val="000000"/>
        </w:rPr>
        <w:t>7.2. Garantinis laikotarpis pradedamas skaičiuoti nuo darbų perdavimo–priėmimo akto pasirašymo.</w:t>
      </w:r>
    </w:p>
    <w:p>
      <w:pPr>
        <w:pStyle w:val="Normal"/>
        <w:numPr>
          <w:ilvl w:val="0"/>
          <w:numId w:val="0"/>
        </w:numPr>
        <w:spacing w:lineRule="auto" w:line="240"/>
        <w:ind w:firstLine="567"/>
        <w:outlineLvl w:val="0"/>
        <w:rPr/>
      </w:pPr>
      <w:r>
        <w:rPr/>
        <w:t>7.3.</w:t>
      </w:r>
      <w:r>
        <w:rPr>
          <w:b/>
        </w:rPr>
        <w:t xml:space="preserve"> </w:t>
      </w:r>
      <w:r>
        <w:rPr/>
        <w:t>Užsakovas, nustatęs Darbų trūkumus ar kitokius nukrypimus nuo Sutarties po Darbų perdavimo–priėmimo, jei tie trūkumai ar nukrypimai negalėjo būti nustatyti perimant Darbus (paslėpti trūkumai arba trūkumai, atsiradę statinio garantinio naudojimo metu), taip pat jei jie buvo Rangovo tyčia paslėpti, privalo apie juos raštu pranešti Rangovui.</w:t>
      </w:r>
    </w:p>
    <w:p>
      <w:pPr>
        <w:pStyle w:val="Normal"/>
        <w:numPr>
          <w:ilvl w:val="0"/>
          <w:numId w:val="0"/>
        </w:numPr>
        <w:spacing w:lineRule="auto" w:line="240"/>
        <w:ind w:firstLine="567"/>
        <w:outlineLvl w:val="0"/>
        <w:rPr/>
      </w:pPr>
      <w:r>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neatitinkamų medžiagų naudojimu, netinkama darbų kokybe arba bet kurio Rangovo įsipareigojimo pagal Sutartį neįvykdymu.</w:t>
      </w:r>
    </w:p>
    <w:p>
      <w:pPr>
        <w:pStyle w:val="Normal"/>
        <w:numPr>
          <w:ilvl w:val="0"/>
          <w:numId w:val="0"/>
        </w:numPr>
        <w:spacing w:lineRule="auto" w:line="240"/>
        <w:ind w:firstLine="567"/>
        <w:outlineLvl w:val="0"/>
        <w:rPr/>
      </w:pPr>
      <w:r>
        <w:rPr/>
      </w:r>
    </w:p>
    <w:p>
      <w:pPr>
        <w:pStyle w:val="Normal"/>
        <w:numPr>
          <w:ilvl w:val="0"/>
          <w:numId w:val="0"/>
        </w:numPr>
        <w:spacing w:lineRule="auto" w:line="240"/>
        <w:ind w:hanging="0"/>
        <w:jc w:val="center"/>
        <w:outlineLvl w:val="0"/>
        <w:rPr>
          <w:b/>
          <w:b/>
        </w:rPr>
      </w:pPr>
      <w:r>
        <w:rPr>
          <w:b/>
        </w:rPr>
        <w:t>VIII. ATLIKTŲ DARBŲ PRIĖMIMAS</w:t>
      </w:r>
    </w:p>
    <w:p>
      <w:pPr>
        <w:pStyle w:val="Normal"/>
        <w:numPr>
          <w:ilvl w:val="0"/>
          <w:numId w:val="0"/>
        </w:numPr>
        <w:spacing w:lineRule="auto" w:line="240"/>
        <w:ind w:firstLine="697"/>
        <w:jc w:val="center"/>
        <w:outlineLvl w:val="0"/>
        <w:rPr>
          <w:b/>
          <w:b/>
        </w:rPr>
      </w:pPr>
      <w:r>
        <w:rPr>
          <w:b/>
        </w:rPr>
      </w:r>
    </w:p>
    <w:p>
      <w:pPr>
        <w:pStyle w:val="Normal"/>
        <w:numPr>
          <w:ilvl w:val="0"/>
          <w:numId w:val="0"/>
        </w:numPr>
        <w:spacing w:lineRule="auto" w:line="240"/>
        <w:ind w:firstLine="567"/>
        <w:outlineLvl w:val="0"/>
        <w:rPr/>
      </w:pPr>
      <w:r>
        <w:rPr/>
        <w:t>8.1. Apie Darbų galutinį atlikimą Rangovas raštu praneša Užsakovui ne vėliau kaip prieš 5 darbo dienas iki numatomo atliktų Darbų rezultato perdavimo.</w:t>
      </w:r>
    </w:p>
    <w:p>
      <w:pPr>
        <w:pStyle w:val="PrastasisParykintasis"/>
        <w:spacing w:lineRule="auto" w:line="240"/>
        <w:ind w:right="-1" w:firstLine="567"/>
        <w:jc w:val="both"/>
        <w:rPr>
          <w:rFonts w:ascii="Calibri" w:hAnsi="Calibri" w:asciiTheme="minorHAnsi" w:hAnsiTheme="minorHAnsi"/>
          <w:b w:val="false"/>
          <w:b w:val="false"/>
          <w:szCs w:val="21"/>
        </w:rPr>
      </w:pPr>
      <w:r>
        <w:rPr>
          <w:rFonts w:ascii="Calibri" w:hAnsi="Calibri" w:asciiTheme="minorHAnsi" w:hAnsiTheme="minorHAnsi"/>
          <w:b w:val="false"/>
          <w:szCs w:val="21"/>
        </w:rPr>
        <w:t>8.2. Atliktų Darbų priėmimas įforminamas perdavimo–priėmimo aktu, kuriuo Užsakovas patvirtina priėmęs, o Rangovas perdavęs atliktus Darbus. Aktas surašomas dviem egzemplioriais, po vieną egzempliorių kiekvienai Sutarties Šaliai.</w:t>
      </w:r>
      <w:r>
        <w:rPr>
          <w:rFonts w:ascii="Calibri" w:hAnsi="Calibri" w:asciiTheme="minorHAnsi" w:hAnsiTheme="minorHAnsi"/>
          <w:szCs w:val="21"/>
        </w:rPr>
        <w:t xml:space="preserve"> </w:t>
      </w:r>
    </w:p>
    <w:p>
      <w:pPr>
        <w:pStyle w:val="PrastasisParykintasis"/>
        <w:spacing w:lineRule="auto" w:line="240"/>
        <w:ind w:right="-1" w:firstLine="567"/>
        <w:jc w:val="both"/>
        <w:rPr>
          <w:rFonts w:ascii="Calibri" w:hAnsi="Calibri" w:asciiTheme="minorHAnsi" w:hAnsiTheme="minorHAnsi"/>
          <w:b w:val="false"/>
          <w:b w:val="false"/>
          <w:szCs w:val="21"/>
        </w:rPr>
      </w:pPr>
      <w:r>
        <w:rPr>
          <w:rFonts w:ascii="Calibri" w:hAnsi="Calibri" w:asciiTheme="minorHAnsi" w:hAnsiTheme="minorHAnsi"/>
          <w:b w:val="false"/>
          <w:szCs w:val="21"/>
        </w:rPr>
        <w:t>8.3. Jeigu Darbai nebuvo priimti dėl nustatytų trūkumų, Rangovas per 10 darbo dienų privalo savo sąskaita tuos trūkumus pašalinti. Pašalinus minėtus trūkumus, Darbų priėmimas vykdomas iš naujo šioje Sutartyje nustatyta tvarka.</w:t>
      </w:r>
    </w:p>
    <w:p>
      <w:pPr>
        <w:pStyle w:val="Normal"/>
        <w:numPr>
          <w:ilvl w:val="0"/>
          <w:numId w:val="0"/>
        </w:numPr>
        <w:spacing w:lineRule="auto" w:line="240"/>
        <w:ind w:firstLine="697"/>
        <w:outlineLvl w:val="0"/>
        <w:rPr>
          <w:b/>
          <w:b/>
        </w:rPr>
      </w:pPr>
      <w:r>
        <w:rPr>
          <w:b/>
        </w:rPr>
      </w:r>
    </w:p>
    <w:p>
      <w:pPr>
        <w:pStyle w:val="Normal"/>
        <w:numPr>
          <w:ilvl w:val="0"/>
          <w:numId w:val="0"/>
        </w:numPr>
        <w:spacing w:lineRule="auto" w:line="240"/>
        <w:ind w:hanging="0"/>
        <w:jc w:val="center"/>
        <w:outlineLvl w:val="0"/>
        <w:rPr>
          <w:b/>
          <w:b/>
        </w:rPr>
      </w:pPr>
      <w:r>
        <w:rPr>
          <w:b/>
        </w:rPr>
        <w:t>IX. ŠALIŲ ATSAKOMYBĖ</w:t>
      </w:r>
    </w:p>
    <w:p>
      <w:pPr>
        <w:pStyle w:val="Normal"/>
        <w:numPr>
          <w:ilvl w:val="0"/>
          <w:numId w:val="0"/>
        </w:numPr>
        <w:spacing w:lineRule="auto" w:line="240"/>
        <w:ind w:firstLine="697"/>
        <w:outlineLvl w:val="0"/>
        <w:rPr>
          <w:b/>
          <w:b/>
          <w:bCs/>
        </w:rPr>
      </w:pPr>
      <w:r>
        <w:rPr>
          <w:b/>
          <w:bCs/>
        </w:rPr>
        <w:t xml:space="preserve">    </w:t>
      </w:r>
    </w:p>
    <w:p>
      <w:pPr>
        <w:pStyle w:val="Normal"/>
        <w:spacing w:lineRule="auto" w:line="240"/>
        <w:ind w:firstLine="567"/>
        <w:rPr/>
      </w:pPr>
      <w:r>
        <w:rPr/>
        <w:t>9.1. Užsakovas, esant Sutarties 10.2 punkte nurodytoms aplinkybėms,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pPr>
        <w:pStyle w:val="Normal"/>
        <w:spacing w:lineRule="auto" w:line="240"/>
        <w:ind w:firstLine="567"/>
        <w:rPr/>
      </w:pPr>
      <w:r>
        <w:rPr/>
        <w:t>9.2. Užsakovas, uždelsęs sumokėti Rangovui priklausančias sumas šioje Sutartyje nustatyta tvarka ir terminais, Rangovui pareikalavus, moka Rangovui 0,02 %</w:t>
      </w:r>
      <w:r>
        <w:rPr>
          <w:bCs/>
        </w:rPr>
        <w:t xml:space="preserve"> (dviejų šimtųjų)</w:t>
      </w:r>
      <w:r>
        <w:rPr/>
        <w:t xml:space="preserve"> delspinigių už kiekvieną pavėluotą dieną nuo laiku neapmokėtos sumos. </w:t>
      </w:r>
    </w:p>
    <w:p>
      <w:pPr>
        <w:pStyle w:val="Normal"/>
        <w:spacing w:lineRule="auto" w:line="240"/>
        <w:ind w:firstLine="567"/>
        <w:rPr/>
      </w:pPr>
      <w:r>
        <w:rPr/>
        <w:t>9.3. Rangovas iki šios Sutarties 4.1 punkte nurodyto termino neatlikęs Darbų moka 100,00 Eur dydžio baudą už kiekvieną uždelstą dieną.</w:t>
      </w:r>
    </w:p>
    <w:p>
      <w:pPr>
        <w:pStyle w:val="Normal"/>
        <w:spacing w:lineRule="auto" w:line="240"/>
        <w:ind w:firstLine="567"/>
        <w:rPr/>
      </w:pPr>
      <w:r>
        <w:rPr/>
        <w:t>9.4. Baudos sumokėjimas ir nuostolių, padarytų netinkamu Sutarties vykdymu, atlyginimas neatleidžia nuo pareigos įvykdyti įsipareigojimus.</w:t>
      </w:r>
    </w:p>
    <w:p>
      <w:pPr>
        <w:pStyle w:val="Normal"/>
        <w:spacing w:lineRule="auto" w:line="240"/>
        <w:ind w:firstLine="567"/>
        <w:rPr/>
      </w:pPr>
      <w:r>
        <w:rPr/>
        <w:t xml:space="preserve">9.5.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pPr>
        <w:pStyle w:val="Normal"/>
        <w:spacing w:lineRule="auto" w:line="240"/>
        <w:ind w:right="-1" w:firstLine="567"/>
        <w:rPr/>
      </w:pPr>
      <w:r>
        <w:rPr/>
        <w:t>9.6. Jei dėl Rangovo neveikimo ar netinkamo veikimo Darbų atlikimo bei garantinio laikotarpio metu padaroma žala tretiesiems asmenims, Rangovas privalo atlyginti atsiradusią žalą.</w:t>
      </w:r>
    </w:p>
    <w:p>
      <w:pPr>
        <w:pStyle w:val="Normal"/>
        <w:tabs>
          <w:tab w:val="clear" w:pos="397"/>
          <w:tab w:val="left" w:pos="142" w:leader="none"/>
        </w:tabs>
        <w:spacing w:lineRule="auto" w:line="240"/>
        <w:ind w:firstLine="567"/>
        <w:rPr/>
      </w:pPr>
      <w:r>
        <w:rPr/>
        <w:t>9.7. Šalys pareiškia, kad Sutartyje nustatytos netesybos yra laikomos teisingomis bei protingo dydžio,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pPr>
        <w:pStyle w:val="Normal"/>
        <w:spacing w:lineRule="auto" w:line="240"/>
        <w:ind w:right="-1" w:firstLine="567"/>
        <w:rPr/>
      </w:pPr>
      <w:r>
        <w:rPr/>
        <w:t>9.8.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jc w:val="center"/>
        <w:rPr>
          <w:b/>
          <w:b/>
          <w:bCs/>
        </w:rPr>
      </w:pPr>
      <w:r>
        <w:rPr>
          <w:b/>
          <w:bCs/>
        </w:rPr>
        <w:t>X. SUTARTIES ĮVYKDYMO UŽTIKRINIMAS</w:t>
      </w:r>
    </w:p>
    <w:p>
      <w:pPr>
        <w:pStyle w:val="Normal"/>
        <w:spacing w:lineRule="auto" w:line="240"/>
        <w:jc w:val="center"/>
        <w:rPr>
          <w:b/>
          <w:b/>
          <w:bCs/>
        </w:rPr>
      </w:pPr>
      <w:r>
        <w:rPr>
          <w:b/>
          <w:bCs/>
        </w:rPr>
      </w:r>
    </w:p>
    <w:p>
      <w:pPr>
        <w:pStyle w:val="Normal"/>
        <w:spacing w:lineRule="auto" w:line="240"/>
        <w:ind w:firstLine="567"/>
        <w:rPr/>
      </w:pPr>
      <w:r>
        <w:rPr>
          <w:bCs/>
        </w:rPr>
        <w:t xml:space="preserve">10.1. </w:t>
      </w:r>
      <w:r>
        <w:rPr/>
        <w:t xml:space="preserve">Sutarties įvykdymo užtikrinimą (banko garantiją, draudimo bendrovės laidavimo raštą arba užstatą) Rangovas privalo pateikti Užsakovui ne vėliau kaip per 10 dienų nuo Sutarties pasirašymo. Jei Rangovas per šį laikotarpį Sutarties įvykdymo užtikrinimo nepateikia, laikoma, kad Rangovas atsisakė sudaryti Sutartį. </w:t>
      </w:r>
      <w:r>
        <w:rPr>
          <w:b/>
          <w:bCs/>
        </w:rPr>
        <w:t>Užtikrinimo suma yra 5 % (penki) nuo pradinės Sutarties vertės be PVM</w:t>
      </w:r>
      <w:r>
        <w:rPr>
          <w:b/>
          <w:bCs/>
          <w:i/>
        </w:rPr>
        <w:t>.</w:t>
      </w:r>
      <w:r>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pPr>
        <w:pStyle w:val="Normal"/>
        <w:spacing w:lineRule="auto" w:line="240"/>
        <w:ind w:firstLine="567"/>
        <w:rPr/>
      </w:pPr>
      <w:r>
        <w:rPr/>
        <w:t>10.2. Sutarties įvykdymo užtikrinimu garantuojama, kad Užsakovui bus atlyginama už Rangovo įsipareigojimų nevykdymą pagal Sutartį ar jų vykdymą netinkamai. Sutarties įvykdymo užtikrinimas taip pat galioja ir netesybų pagal šią Sutartį užtikrinimui.</w:t>
      </w:r>
    </w:p>
    <w:p>
      <w:pPr>
        <w:pStyle w:val="Normal"/>
        <w:spacing w:lineRule="auto" w:line="240"/>
        <w:ind w:firstLine="567"/>
        <w:rPr/>
      </w:pPr>
      <w:r>
        <w:rPr/>
        <w:t>10.3. Jei Sutarties vykdymo metu užtikrinimą išdavęs juridinis asmuo negali įvykdyti savo įsipareigojimų, Užsakovas raštu turi pareikalauti Rangovo per 10 dienų pateikti naują užtikrinimą.</w:t>
      </w:r>
    </w:p>
    <w:p>
      <w:pPr>
        <w:pStyle w:val="Normal"/>
        <w:spacing w:lineRule="auto" w:line="240"/>
        <w:ind w:firstLine="426"/>
        <w:jc w:val="center"/>
        <w:rPr>
          <w:b/>
          <w:b/>
        </w:rPr>
      </w:pPr>
      <w:r>
        <w:rPr>
          <w:b/>
        </w:rPr>
      </w:r>
    </w:p>
    <w:p>
      <w:pPr>
        <w:pStyle w:val="Normal"/>
        <w:spacing w:lineRule="auto" w:line="240"/>
        <w:ind w:hanging="0"/>
        <w:jc w:val="center"/>
        <w:rPr>
          <w:b/>
          <w:b/>
        </w:rPr>
      </w:pPr>
      <w:r>
        <w:rPr>
          <w:b/>
        </w:rPr>
        <w:t>XI. NENUGALIMOS JĖGOS APLINKYBĖS</w:t>
      </w:r>
    </w:p>
    <w:p>
      <w:pPr>
        <w:pStyle w:val="Normal"/>
        <w:spacing w:lineRule="auto" w:line="240"/>
        <w:ind w:firstLine="426"/>
        <w:jc w:val="center"/>
        <w:rPr>
          <w:b/>
          <w:b/>
        </w:rPr>
      </w:pPr>
      <w:r>
        <w:rPr>
          <w:b/>
        </w:rPr>
      </w:r>
    </w:p>
    <w:p>
      <w:pPr>
        <w:pStyle w:val="Normal"/>
        <w:spacing w:lineRule="auto" w:line="240"/>
        <w:ind w:firstLine="567"/>
        <w:rPr/>
      </w:pPr>
      <w:r>
        <w:rPr/>
        <w:t>11.1. Šalis gali būti visiškai ar iš dalies atleidžiama nuo atsakomybės dėl ypatingų ir neišvengiamų aplinkybių – nenugalimos jėgos (</w:t>
      </w:r>
      <w:r>
        <w:rPr>
          <w:i/>
        </w:rPr>
        <w:t>force majeure</w:t>
      </w:r>
      <w:r>
        <w:rPr/>
        <w:t>), nustatytos ir jas patyrusios Šalies įrodytos pagal Lietuvos Respublikos civilinį kodeksą, jeigu Šalis nedelsiant pranešė kitai Šaliai apie kliūtį bei jos poveikį įsipareigojimų vykdymui.</w:t>
      </w:r>
    </w:p>
    <w:p>
      <w:pPr>
        <w:pStyle w:val="Normal"/>
        <w:spacing w:lineRule="auto" w:line="240"/>
        <w:ind w:firstLine="567"/>
        <w:rPr/>
      </w:pPr>
      <w:r>
        <w:rPr/>
        <w:t>11.2. Nenugalima jėga (</w:t>
      </w:r>
      <w:r>
        <w:rPr>
          <w:i/>
        </w:rPr>
        <w:t>force majeure</w:t>
      </w:r>
      <w:r>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Pr>
          <w:i/>
        </w:rPr>
        <w:t>force majeure</w:t>
      </w:r>
      <w:r>
        <w:rPr/>
        <w:t xml:space="preserve">) taip pat nelaikoma tai, kad rinkoje nėra reikalingų prievolei vykdyti prekių, Šalis neturi reikiamų finansinių išteklių arba Šalies kontrahentai pažeidžia savo prievoles. </w:t>
      </w:r>
    </w:p>
    <w:p>
      <w:pPr>
        <w:pStyle w:val="Normal"/>
        <w:spacing w:lineRule="auto" w:line="240"/>
        <w:ind w:firstLine="567"/>
        <w:rPr/>
      </w:pPr>
      <w:r>
        <w:rPr/>
        <w:t>11.3. Jei nenugalimos jėgos (</w:t>
      </w:r>
      <w:r>
        <w:rPr>
          <w:i/>
        </w:rPr>
        <w:t>force majeure</w:t>
      </w:r>
      <w:r>
        <w:rPr/>
        <w:t>) aplinkybės trunka ilgiau kaip 120 kalendorinių dienų, tuomet bet kuri Sutarties šalis turi teisę nutraukti Sutartį įspėdama apie tai kitą šalį prieš 30 kalendorinių dienų. Jei pasibaigus šiam 30 dienų laikotarpiui nenugalimos jėgos (</w:t>
      </w:r>
      <w:r>
        <w:rPr>
          <w:i/>
        </w:rPr>
        <w:t>force majeure</w:t>
      </w:r>
      <w:r>
        <w:rPr/>
        <w:t>) aplinkybės vis dar yra, Sutartis nutraukiama ir pagal Sutarties sąlygas Šalys atleidžiamos nuo tolesnio Sutarties vykdymo.</w:t>
      </w:r>
    </w:p>
    <w:p>
      <w:pPr>
        <w:pStyle w:val="Normal"/>
        <w:spacing w:lineRule="auto" w:line="240"/>
        <w:ind w:firstLine="567"/>
        <w:rPr/>
      </w:pPr>
      <w:r>
        <w:rPr/>
      </w:r>
    </w:p>
    <w:p>
      <w:pPr>
        <w:pStyle w:val="ListParagraph"/>
        <w:tabs>
          <w:tab w:val="clear" w:pos="397"/>
          <w:tab w:val="left" w:pos="426" w:leader="none"/>
        </w:tabs>
        <w:suppressAutoHyphens w:val="false"/>
        <w:spacing w:lineRule="auto" w:line="240"/>
        <w:ind w:left="0" w:right="-1" w:hanging="0"/>
        <w:jc w:val="center"/>
        <w:rPr>
          <w:b/>
          <w:b/>
          <w:bCs/>
        </w:rPr>
      </w:pPr>
      <w:r>
        <w:rPr>
          <w:b/>
          <w:bCs/>
        </w:rPr>
        <w:t>XII. SUTARTIES GALIOJIMAS</w:t>
      </w:r>
    </w:p>
    <w:p>
      <w:pPr>
        <w:pStyle w:val="Normal"/>
        <w:suppressAutoHyphens w:val="false"/>
        <w:spacing w:lineRule="auto" w:line="240"/>
        <w:ind w:left="1170" w:right="-1" w:firstLine="697"/>
        <w:rPr>
          <w:b/>
          <w:b/>
          <w:bCs/>
        </w:rPr>
      </w:pPr>
      <w:r>
        <w:rPr>
          <w:b/>
          <w:bCs/>
        </w:rPr>
      </w:r>
    </w:p>
    <w:p>
      <w:pPr>
        <w:pStyle w:val="Normal"/>
        <w:spacing w:lineRule="auto" w:line="240"/>
        <w:ind w:firstLine="567"/>
        <w:rPr/>
      </w:pPr>
      <w:r>
        <w:rPr/>
        <w:t xml:space="preserve">12.1. Sutartis įsigalioja ją pasirašius ir Rangovui pateikus reikalaujamą pirkimo Sutarties </w:t>
      </w:r>
      <w:r>
        <w:rPr>
          <w:color w:val="000000"/>
        </w:rPr>
        <w:t>įvykdymo užtikrinimą patvirtinantį dokumentą ir galioja iki Užsakovas ir Rangovas įvykdys šioje Sutartyje numatytus įsipareigojimus.</w:t>
      </w:r>
      <w:r>
        <w:rPr/>
        <w:t xml:space="preserve"> </w:t>
      </w:r>
    </w:p>
    <w:p>
      <w:pPr>
        <w:pStyle w:val="Normal"/>
        <w:spacing w:lineRule="auto" w:line="240"/>
        <w:ind w:firstLine="567"/>
        <w:rPr/>
      </w:pPr>
      <w:r>
        <w:rPr/>
        <w:t>12.2. Jei bet kuri Sutarties nuostata taps ar bus pripažinta visiškai ar iš dalies negaliojančia, tai neturės įtakos kitų Sutarties nuostatų galiojimui.</w:t>
      </w:r>
    </w:p>
    <w:p>
      <w:pPr>
        <w:pStyle w:val="Normal"/>
        <w:spacing w:lineRule="auto" w:line="240"/>
        <w:ind w:firstLine="567"/>
        <w:rPr/>
      </w:pPr>
      <w:r>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pPr>
        <w:pStyle w:val="Normal"/>
        <w:spacing w:lineRule="auto" w:line="240"/>
        <w:ind w:firstLine="567"/>
        <w:rPr/>
      </w:pPr>
      <w:r>
        <w:rPr/>
      </w:r>
    </w:p>
    <w:p>
      <w:pPr>
        <w:pStyle w:val="Normal"/>
        <w:tabs>
          <w:tab w:val="clear" w:pos="397"/>
          <w:tab w:val="left" w:pos="426" w:leader="none"/>
        </w:tabs>
        <w:suppressAutoHyphens w:val="false"/>
        <w:spacing w:lineRule="auto" w:line="240"/>
        <w:ind w:hanging="0"/>
        <w:jc w:val="center"/>
        <w:rPr>
          <w:b/>
          <w:b/>
          <w:color w:val="000000"/>
        </w:rPr>
      </w:pPr>
      <w:r>
        <w:rPr>
          <w:b/>
          <w:color w:val="000000"/>
        </w:rPr>
        <w:t>XIII. SUTARTIES PAKEITIMAS</w:t>
      </w:r>
    </w:p>
    <w:p>
      <w:pPr>
        <w:pStyle w:val="Normal"/>
        <w:spacing w:lineRule="auto" w:line="240"/>
        <w:jc w:val="center"/>
        <w:rPr>
          <w:b/>
          <w:b/>
          <w:color w:val="000000"/>
        </w:rPr>
      </w:pPr>
      <w:r>
        <w:rPr>
          <w:b/>
          <w:color w:val="000000"/>
        </w:rPr>
      </w:r>
    </w:p>
    <w:p>
      <w:pPr>
        <w:pStyle w:val="Normal"/>
        <w:spacing w:lineRule="auto" w:line="240"/>
        <w:ind w:firstLine="567"/>
        <w:rPr/>
      </w:pPr>
      <w:r>
        <w:rPr/>
        <w:t>13.1.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pPr>
        <w:pStyle w:val="Normal"/>
        <w:spacing w:lineRule="auto" w:line="240"/>
        <w:ind w:firstLine="567"/>
        <w:rPr>
          <w:spacing w:val="1"/>
        </w:rPr>
      </w:pPr>
      <w:r>
        <w:rPr>
          <w:spacing w:val="1"/>
        </w:rPr>
        <w:t xml:space="preserve">13.2. Užsakovas, esant būtinybei, gali įsigyti papildomų darbų vadovaudamasis Metodika. </w:t>
      </w:r>
    </w:p>
    <w:p>
      <w:pPr>
        <w:pStyle w:val="Normal"/>
        <w:spacing w:lineRule="auto" w:line="240"/>
        <w:ind w:firstLine="567"/>
        <w:rPr/>
      </w:pPr>
      <w:r>
        <w:rPr>
          <w:spacing w:val="1"/>
        </w:rPr>
        <w:t>13.3.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Metodikoje</w:t>
      </w:r>
      <w:r>
        <w:rPr/>
        <w:t xml:space="preserve"> nustatyta tvarka.</w:t>
      </w:r>
    </w:p>
    <w:p>
      <w:pPr>
        <w:pStyle w:val="Normal"/>
        <w:tabs>
          <w:tab w:val="clear" w:pos="397"/>
          <w:tab w:val="left" w:pos="142" w:leader="none"/>
        </w:tabs>
        <w:spacing w:lineRule="auto" w:line="240"/>
        <w:ind w:firstLine="567"/>
        <w:rPr/>
      </w:pPr>
      <w:r>
        <w:rPr/>
        <w:t>13.4. Sutarties Šalys gali bet kurio atskiro Darbo atsisakyti arba Darbo apimtį sumažinti vadovaujantis tokia tvarka:</w:t>
      </w:r>
    </w:p>
    <w:p>
      <w:pPr>
        <w:pStyle w:val="Normal"/>
        <w:tabs>
          <w:tab w:val="clear" w:pos="397"/>
          <w:tab w:val="left" w:pos="142" w:leader="none"/>
        </w:tabs>
        <w:spacing w:lineRule="auto" w:line="240"/>
        <w:ind w:firstLine="567"/>
        <w:rPr/>
      </w:pPr>
      <w:r>
        <w:rPr/>
        <w:t>13.4.1. jei būtina / tikslinga atsisakyti</w:t>
      </w:r>
      <w:r>
        <w:rPr>
          <w:b/>
        </w:rPr>
        <w:t xml:space="preserve"> </w:t>
      </w:r>
      <w:r>
        <w:rPr/>
        <w:t>atskiro Darbo ar būtina / tikslinga mažinti Darbų apimtis, Rangovas pateikia nevykdytinų Darbų lokalinę sąmatą, kurioje nurodo nevykdytinų Darbų kainas, apskaičiuotas pagal Sutarties 2.7.1 papunktyje nurodytus Darbų kainų nustatymo būdus, ir, Užsakovui įvertinus Rangovo siūlymą, koreguojama Sutarties kaina;</w:t>
      </w:r>
    </w:p>
    <w:p>
      <w:pPr>
        <w:pStyle w:val="Normal"/>
        <w:tabs>
          <w:tab w:val="clear" w:pos="397"/>
          <w:tab w:val="left" w:pos="142" w:leader="none"/>
        </w:tabs>
        <w:spacing w:lineRule="auto" w:line="240"/>
        <w:ind w:firstLine="567"/>
        <w:rPr/>
      </w:pPr>
      <w:r>
        <w:rPr/>
        <w:t>13.4.2. jei Sutartyje numatytą atskirą Darbą (ar jo dalį) būtina / tikslinga keisti kitu Darbu, Rangovas pateikia nevykdytinų Darbų lokalinę sąmatą, kurioje nurodo nevykdytinų Darbų kainas, apskaičiuotas pagal Sutarties 2.7.1 papunktyje nurodytus Darbų kainų nustatymo būdus, bei siūlymą dėl keistinų Darbų, t. y. vietoje nevykdomų Darbų siūlomų atlikti Darbų lokalinę sąmatą, sudarytą pagal 2.7.1. papunktyje nurodytus Darbų kainų nustatymo būdus, ir, Užsakovui įvertinus Rangovo siūlymą, koreguojama Sutarties kaina (jei reikia).</w:t>
      </w:r>
    </w:p>
    <w:p>
      <w:pPr>
        <w:pStyle w:val="Normal"/>
        <w:tabs>
          <w:tab w:val="clear" w:pos="397"/>
          <w:tab w:val="left" w:pos="142" w:leader="none"/>
        </w:tabs>
        <w:spacing w:lineRule="auto" w:line="240"/>
        <w:ind w:firstLine="567"/>
        <w:rPr/>
      </w:pPr>
      <w:r>
        <w:rPr/>
        <w:t xml:space="preserve">13.5. Pakeitimas įforminamas susitarimu ar protokolu dėl darbų pakeitimo, nurodant darbų pavadinimus, vienetus, kiekius, techninius sprendinius (pvz.: brėžinius ir kita), įkainių / kainų nustatymo pagrindimą ir skaičiavimą (vadovaujantis Sutarties 2.7.1 papunkčiu). Toks susitarimas ar protokolas turi būti patvirtintas ir pasirašytas Šalių ir laikomas sudėtine Sutarties dalimi. </w:t>
      </w:r>
    </w:p>
    <w:p>
      <w:pPr>
        <w:pStyle w:val="Normal"/>
        <w:numPr>
          <w:ilvl w:val="0"/>
          <w:numId w:val="0"/>
        </w:numPr>
        <w:spacing w:lineRule="auto" w:line="240"/>
        <w:ind w:firstLine="697"/>
        <w:outlineLvl w:val="0"/>
        <w:rPr>
          <w:b/>
          <w:b/>
        </w:rPr>
      </w:pPr>
      <w:r>
        <w:rPr>
          <w:b/>
        </w:rPr>
      </w:r>
    </w:p>
    <w:p>
      <w:pPr>
        <w:pStyle w:val="Normal"/>
        <w:tabs>
          <w:tab w:val="clear" w:pos="397"/>
          <w:tab w:val="left" w:pos="284" w:leader="none"/>
        </w:tabs>
        <w:spacing w:lineRule="auto" w:line="240"/>
        <w:ind w:hanging="0"/>
        <w:jc w:val="center"/>
        <w:rPr>
          <w:b/>
          <w:b/>
        </w:rPr>
      </w:pPr>
      <w:r>
        <w:rPr/>
        <w:t xml:space="preserve"> </w:t>
      </w:r>
      <w:r>
        <w:rPr>
          <w:b/>
        </w:rPr>
        <w:t>XIV. SUTARTIES ESMINIS PAŽEIDIMAS IR NUTRAUKIMAS</w:t>
      </w:r>
    </w:p>
    <w:p>
      <w:pPr>
        <w:pStyle w:val="Normal"/>
        <w:spacing w:lineRule="auto" w:line="240"/>
        <w:ind w:right="-1" w:firstLine="697"/>
        <w:rPr>
          <w:b/>
          <w:b/>
          <w:bCs/>
        </w:rPr>
      </w:pPr>
      <w:r>
        <w:rPr>
          <w:b/>
          <w:bCs/>
        </w:rPr>
      </w:r>
    </w:p>
    <w:p>
      <w:pPr>
        <w:pStyle w:val="Normal"/>
        <w:tabs>
          <w:tab w:val="clear" w:pos="397"/>
          <w:tab w:val="left" w:pos="1134" w:leader="none"/>
        </w:tabs>
        <w:spacing w:lineRule="auto" w:line="240"/>
        <w:ind w:firstLine="567"/>
        <w:rPr/>
      </w:pPr>
      <w:r>
        <w:rPr/>
        <w:t>14.1. Užsakovas privalo bet kuriuo šiame punkte išvardintu atveju, prieš 15 dienų apie tai pranešęs Rangovui, nutraukti Sutartį dėl šių esminių Sutarties pažeidimų:</w:t>
      </w:r>
    </w:p>
    <w:p>
      <w:pPr>
        <w:pStyle w:val="Normal"/>
        <w:spacing w:lineRule="auto" w:line="240"/>
        <w:ind w:firstLine="567"/>
        <w:rPr/>
      </w:pPr>
      <w:r>
        <w:rPr/>
        <w:t xml:space="preserve">14.1.1. Rangovas nepradeda laiku vykdyti šios Sutarties arba Darbus atlieka taip lėtai, kad juos baigti iki termino pabaigos pasidaro aiškiai neįmanoma; </w:t>
      </w:r>
    </w:p>
    <w:p>
      <w:pPr>
        <w:pStyle w:val="Normal"/>
        <w:spacing w:lineRule="auto" w:line="240"/>
        <w:ind w:firstLine="567"/>
        <w:rPr/>
      </w:pPr>
      <w:r>
        <w:rPr/>
        <w:t>14.1.2. Darbų atlikimo metu pasidaro aišku, kad jie nebus tinkami atlikti;</w:t>
      </w:r>
    </w:p>
    <w:p>
      <w:pPr>
        <w:pStyle w:val="Normal"/>
        <w:spacing w:lineRule="auto" w:line="240"/>
        <w:ind w:firstLine="567"/>
        <w:rPr/>
      </w:pPr>
      <w:r>
        <w:rPr/>
        <w:t>14.1.3. Rangovas per pagrįstai nustatytą laikotarpį neįvykdo Užsakovo nurodymo ištaisyti netinkamai įvykdytus arba neįvykdytus sutartinius įsipareigojimus;</w:t>
      </w:r>
    </w:p>
    <w:p>
      <w:pPr>
        <w:pStyle w:val="Normal"/>
        <w:spacing w:lineRule="auto" w:line="240"/>
        <w:ind w:firstLine="567"/>
        <w:rPr/>
      </w:pPr>
      <w:r>
        <w:rPr>
          <w:bCs/>
        </w:rPr>
        <w:t>14.1.4.</w:t>
      </w:r>
      <w:r>
        <w:rPr>
          <w:b/>
          <w:bCs/>
        </w:rPr>
        <w:t xml:space="preserve"> </w:t>
      </w:r>
      <w:r>
        <w:rPr/>
        <w:t>Rangovas netenka teisės atlikti šioje Sutartyje nurodytus Darbus, bankrutuoja arba yra likviduojamas, kai sustabdo ūkinę veiklą, arba kai įstatymuose ir kituose teisės aktuose numatyta tvarka susidaro analogiška situacija;</w:t>
      </w:r>
    </w:p>
    <w:p>
      <w:pPr>
        <w:pStyle w:val="Normal"/>
        <w:spacing w:lineRule="auto" w:line="240"/>
        <w:ind w:firstLine="567"/>
        <w:rPr/>
      </w:pPr>
      <w:r>
        <w:rPr/>
        <w:t xml:space="preserve">14.1.5. po raštiško Užsakovo įspėjimo Rangovas neužtikrina Darbų kokybės ar nevykdo kitų šios Sutarties sąlygų arba raštiškai perspėtas dar kartą jas pažeidžia; </w:t>
      </w:r>
    </w:p>
    <w:p>
      <w:pPr>
        <w:pStyle w:val="Normal"/>
        <w:spacing w:lineRule="auto" w:line="240"/>
        <w:ind w:firstLine="567"/>
        <w:rPr/>
      </w:pPr>
      <w:r>
        <w:rPr/>
        <w:t>14.1.6. Užsakovui pasinaudojus Sutarties įvykdymo užtikrinimu ar pasibaigus jo galiojimo terminui Rangovas laiku nepateikia tinkamo Sutarties įvykdymo užtikrinimo.</w:t>
      </w:r>
    </w:p>
    <w:p>
      <w:pPr>
        <w:pStyle w:val="Normal"/>
        <w:spacing w:lineRule="auto" w:line="240"/>
        <w:ind w:firstLine="567"/>
        <w:rPr/>
      </w:pPr>
      <w:r>
        <w:rPr>
          <w:bCs/>
        </w:rPr>
        <w:t>14.2.</w:t>
      </w:r>
      <w:r>
        <w:rPr>
          <w:b/>
          <w:bCs/>
        </w:rPr>
        <w:t xml:space="preserve"> </w:t>
      </w:r>
      <w:r>
        <w:rPr/>
        <w:t>Užsakovui vienašališkai nutraukus Sutartį Rangovas</w:t>
      </w:r>
      <w:r>
        <w:rPr>
          <w:caps/>
        </w:rPr>
        <w:t xml:space="preserve"> </w:t>
      </w:r>
      <w:r>
        <w:rPr/>
        <w:t xml:space="preserve">privalo perduoti iki Sutarties nutraukimo datos atliktus Darbus, Šalims pasirašant priėmimo–perdavimo aktą. </w:t>
      </w:r>
    </w:p>
    <w:p>
      <w:pPr>
        <w:pStyle w:val="Normal"/>
        <w:spacing w:lineRule="auto" w:line="240"/>
        <w:ind w:firstLine="567"/>
        <w:rPr/>
      </w:pPr>
      <w:r>
        <w:rPr/>
        <w:t>14.3. Rangovas gali bet kuriuo šiame punkte išvardintu atveju arba aplinkybėms prieš 15 dienų apie tai raštu pranešęs Užsakovui, nutraukti Sutartį dėl šių esminių sutarties pažeidimų:</w:t>
      </w:r>
    </w:p>
    <w:p>
      <w:pPr>
        <w:pStyle w:val="Normal"/>
        <w:tabs>
          <w:tab w:val="clear" w:pos="397"/>
          <w:tab w:val="left" w:pos="1134" w:leader="none"/>
        </w:tabs>
        <w:spacing w:lineRule="auto" w:line="240"/>
        <w:ind w:firstLine="567"/>
        <w:rPr/>
      </w:pPr>
      <w:r>
        <w:rPr/>
        <w:t>14.3.1. Užsakovas visiškai nevykdo savo įsipareigojimų pagal Sutartį.</w:t>
      </w:r>
    </w:p>
    <w:p>
      <w:pPr>
        <w:pStyle w:val="Normal"/>
        <w:tabs>
          <w:tab w:val="clear" w:pos="397"/>
          <w:tab w:val="left" w:pos="1134" w:leader="none"/>
        </w:tabs>
        <w:spacing w:lineRule="auto" w:line="240"/>
        <w:ind w:firstLine="567"/>
        <w:rPr/>
      </w:pPr>
      <w:r>
        <w:rPr/>
        <w:t>14.4. Rangovo pasirinkimas nutraukti Sutartį neturi pažeisti kurių nors kitų iš Sutarties arba kitaip kylančių Rangovo teisių.</w:t>
      </w:r>
    </w:p>
    <w:p>
      <w:pPr>
        <w:pStyle w:val="Normal"/>
        <w:tabs>
          <w:tab w:val="clear" w:pos="397"/>
          <w:tab w:val="left" w:pos="1134" w:leader="none"/>
        </w:tabs>
        <w:spacing w:lineRule="auto" w:line="240"/>
        <w:ind w:firstLine="567"/>
        <w:rPr/>
      </w:pPr>
      <w:r>
        <w:rPr/>
        <w:t>14.5. Užsakovas turi teisę Lietuvos Respublikos viešųjų pirkimų įstatymo 90 straipsnyje nurodytais atvejais ir tvarka vienašališkai nutraukti Sutartį apie tai Rangovui pranešdamas raštu.</w:t>
      </w:r>
    </w:p>
    <w:p>
      <w:pPr>
        <w:pStyle w:val="Normal"/>
        <w:tabs>
          <w:tab w:val="clear" w:pos="397"/>
          <w:tab w:val="left" w:pos="1134" w:leader="none"/>
        </w:tabs>
        <w:spacing w:lineRule="auto" w:line="240"/>
        <w:ind w:firstLine="567"/>
        <w:rPr/>
      </w:pPr>
      <w:r>
        <w:rPr/>
        <w:t>14.6. Sutartis gali būti nutraukta bendru Šalių sutarimu.</w:t>
      </w:r>
    </w:p>
    <w:p>
      <w:pPr>
        <w:pStyle w:val="Normal"/>
        <w:tabs>
          <w:tab w:val="clear" w:pos="397"/>
          <w:tab w:val="left" w:pos="1134" w:leader="none"/>
        </w:tabs>
        <w:spacing w:lineRule="auto" w:line="240"/>
        <w:ind w:firstLine="567"/>
        <w:rPr/>
      </w:pPr>
      <w:r>
        <w:rPr/>
        <w:t xml:space="preserve">14.7. </w:t>
      </w:r>
      <w:r>
        <w:rPr>
          <w:rStyle w:val="T474"/>
        </w:rPr>
        <w:t>Nutraukus Sutart</w:t>
      </w:r>
      <w:r>
        <w:rPr/>
        <w:t>į ar jai pasibaigus lieka galioti Sutarties nuostatos, susijusios su atsakomybe bei atsiskaitymais tarp Šalių </w:t>
      </w:r>
      <w:r>
        <w:rPr>
          <w:rStyle w:val="T475"/>
        </w:rPr>
        <w:t>pagal Sutart</w:t>
      </w:r>
      <w:r>
        <w:rPr/>
        <w:t xml:space="preserve">į, taip pat visos kitos Sutarties nuostatos, kurios, kaip aiškiai nurodyta, išlieka galioti po Sutarties nutraukimo arba turi išlikti galioti pagal jų pobūdį. </w:t>
      </w:r>
    </w:p>
    <w:p>
      <w:pPr>
        <w:pStyle w:val="Normal"/>
        <w:tabs>
          <w:tab w:val="clear" w:pos="397"/>
          <w:tab w:val="left" w:pos="1134" w:leader="none"/>
        </w:tabs>
        <w:spacing w:lineRule="auto" w:line="240"/>
        <w:rPr/>
      </w:pPr>
      <w:r>
        <w:rPr/>
      </w:r>
    </w:p>
    <w:p>
      <w:pPr>
        <w:pStyle w:val="Stilius1"/>
        <w:spacing w:lineRule="auto" w:line="240"/>
        <w:ind w:hanging="0"/>
        <w:rPr>
          <w:rFonts w:ascii="Calibri" w:hAnsi="Calibri" w:asciiTheme="minorHAnsi" w:hAnsiTheme="minorHAnsi"/>
          <w:szCs w:val="21"/>
        </w:rPr>
      </w:pPr>
      <w:r>
        <w:rPr>
          <w:rFonts w:ascii="Calibri" w:hAnsi="Calibri" w:asciiTheme="minorHAnsi" w:hAnsiTheme="minorHAnsi"/>
          <w:szCs w:val="21"/>
        </w:rPr>
        <w:t>XV. SUBRANGOVAI IR SUBRANGOVŲ KEITIMO TVARKA</w:t>
      </w:r>
    </w:p>
    <w:p>
      <w:pPr>
        <w:pStyle w:val="Stilius1"/>
        <w:spacing w:lineRule="auto" w:line="240"/>
        <w:rPr>
          <w:rFonts w:ascii="Calibri" w:hAnsi="Calibri" w:asciiTheme="minorHAnsi" w:hAnsiTheme="minorHAnsi"/>
          <w:szCs w:val="21"/>
        </w:rPr>
      </w:pPr>
      <w:r>
        <w:rPr>
          <w:rFonts w:asciiTheme="minorHAnsi" w:hAnsiTheme="minorHAnsi" w:ascii="Calibri" w:hAnsi="Calibri"/>
          <w:szCs w:val="21"/>
        </w:rPr>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sz w:val="21"/>
          <w:szCs w:val="21"/>
        </w:rPr>
      </w:pPr>
      <w:r>
        <w:rPr>
          <w:rFonts w:asciiTheme="minorHAnsi" w:hAnsiTheme="minorHAnsi"/>
          <w:i/>
          <w:sz w:val="21"/>
          <w:szCs w:val="21"/>
        </w:rPr>
        <w:t>Jei Sutartyje numatytų Darbų atlikimui Rangovas</w:t>
      </w:r>
      <w:r>
        <w:rPr>
          <w:rFonts w:asciiTheme="minorHAnsi" w:hAnsiTheme="minorHAnsi"/>
          <w:sz w:val="21"/>
          <w:szCs w:val="21"/>
        </w:rPr>
        <w:t xml:space="preserve"> </w:t>
      </w:r>
      <w:r>
        <w:rPr>
          <w:rFonts w:asciiTheme="minorHAnsi" w:hAnsiTheme="minorHAnsi"/>
          <w:i/>
          <w:sz w:val="21"/>
          <w:szCs w:val="21"/>
        </w:rPr>
        <w:t>pasitelks subrangovą, 15.1–15.3 punkte nurodo:</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sz w:val="21"/>
          <w:szCs w:val="21"/>
        </w:rPr>
      </w:pPr>
      <w:r>
        <w:rPr>
          <w:rFonts w:asciiTheme="minorHAnsi" w:hAnsiTheme="minorHAnsi"/>
          <w:sz w:val="21"/>
          <w:szCs w:val="21"/>
        </w:rPr>
        <w:t>15.1. Rangovas pasitelks šiuos subrangovus (toliau – subrangovai):</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iCs/>
          <w:sz w:val="21"/>
          <w:szCs w:val="21"/>
        </w:rPr>
      </w:pPr>
      <w:r>
        <w:rPr>
          <w:rFonts w:asciiTheme="minorHAnsi" w:hAnsiTheme="minorHAnsi"/>
          <w:bCs/>
          <w:sz w:val="21"/>
          <w:szCs w:val="21"/>
        </w:rPr>
        <w:t>15.1.1. UAB „Metrum LT“</w:t>
      </w:r>
      <w:r>
        <w:rPr>
          <w:rFonts w:asciiTheme="minorHAnsi" w:hAnsiTheme="minorHAnsi"/>
          <w:sz w:val="21"/>
          <w:szCs w:val="21"/>
        </w:rPr>
        <w:t xml:space="preserve">, pagal Lietuvos Respublikos įstatymus įsteigta ir veikianti įmonė, juridinio asmens kodas 303644359, kurios registruota buveinė yra Vytauto g. 34A, LT-68298 Marijampolė, </w:t>
      </w:r>
      <w:r>
        <w:rPr>
          <w:rFonts w:asciiTheme="minorHAnsi" w:hAnsiTheme="minorHAnsi"/>
          <w:bCs/>
          <w:iCs/>
          <w:sz w:val="21"/>
          <w:szCs w:val="21"/>
        </w:rPr>
        <w:t xml:space="preserve">duomenys apie bendrovę kaupiami ir saugomi juridinių asmenų registre, išpildomosios dokumentacijos ir kadastrinės bylos su patikra parengimo </w:t>
      </w:r>
      <w:r>
        <w:rPr>
          <w:rFonts w:asciiTheme="minorHAnsi" w:hAnsiTheme="minorHAnsi"/>
          <w:iCs/>
          <w:sz w:val="21"/>
          <w:szCs w:val="21"/>
        </w:rPr>
        <w:t>darbų atlikimui;</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iCs/>
          <w:sz w:val="21"/>
          <w:szCs w:val="21"/>
        </w:rPr>
      </w:pPr>
      <w:r>
        <w:rPr>
          <w:rFonts w:asciiTheme="minorHAnsi" w:hAnsiTheme="minorHAnsi"/>
          <w:iCs/>
          <w:sz w:val="21"/>
          <w:szCs w:val="21"/>
        </w:rPr>
        <w:t xml:space="preserve">15.1.2. UAB „URBAN LINE“, </w:t>
      </w:r>
      <w:r>
        <w:rPr>
          <w:rFonts w:asciiTheme="minorHAnsi" w:hAnsiTheme="minorHAnsi"/>
          <w:sz w:val="21"/>
          <w:szCs w:val="21"/>
        </w:rPr>
        <w:t xml:space="preserve">pagal Lietuvos Respublikos įstatymus įsteigta ir veikianti įmonė, juridinio asmens kodas 300149157, kurios registruota buveinė yra Liepkalnio g. 85, LT-02120 Vilnius, </w:t>
      </w:r>
      <w:r>
        <w:rPr>
          <w:rFonts w:asciiTheme="minorHAnsi" w:hAnsiTheme="minorHAnsi"/>
          <w:bCs/>
          <w:iCs/>
          <w:sz w:val="21"/>
          <w:szCs w:val="21"/>
        </w:rPr>
        <w:t>duomenys apie bendrovę kaupiami ir saugomi juridinių asmenų registre, darbo projekto parengimui</w:t>
      </w:r>
      <w:r>
        <w:rPr>
          <w:rFonts w:asciiTheme="minorHAnsi" w:hAnsiTheme="minorHAnsi"/>
          <w:iCs/>
          <w:sz w:val="21"/>
          <w:szCs w:val="21"/>
        </w:rPr>
        <w:t>;</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sz w:val="21"/>
          <w:szCs w:val="21"/>
        </w:rPr>
      </w:pPr>
      <w:r>
        <w:rPr>
          <w:rFonts w:asciiTheme="minorHAnsi" w:hAnsiTheme="minorHAnsi"/>
          <w:iCs/>
          <w:sz w:val="21"/>
          <w:szCs w:val="21"/>
        </w:rPr>
        <w:t xml:space="preserve">15.2. </w:t>
      </w:r>
      <w:r>
        <w:rPr>
          <w:rFonts w:asciiTheme="minorHAnsi" w:hAnsiTheme="minorHAnsi"/>
          <w:sz w:val="21"/>
          <w:szCs w:val="21"/>
        </w:rPr>
        <w:t xml:space="preserve">Sutarties vykdymo metu Rangovas raštu kreipęsis į Užsakovą ir gavęs raštišką jo sutikimą, gali keisti subrangovus, nurodytus šios Sutarties 15.1 punkte, tačiau naujų subrangovų kvalifikacija turi atitikti pirkimo sąlygose subrangovams keltus kvalifikacijos reikalavimus tai dienai kai Rangovas kreipėsi į Užsakovą dėl leidimo keisti subrangovą. </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sz w:val="21"/>
          <w:szCs w:val="21"/>
        </w:rPr>
      </w:pPr>
      <w:r>
        <w:rPr>
          <w:rFonts w:asciiTheme="minorHAnsi" w:hAnsiTheme="minorHAnsi"/>
          <w:sz w:val="21"/>
          <w:szCs w:val="21"/>
        </w:rPr>
        <w:t xml:space="preserve">15.3. Subrangovų </w:t>
      </w:r>
      <w:r>
        <w:rPr>
          <w:rFonts w:asciiTheme="minorHAnsi" w:hAnsiTheme="minorHAnsi"/>
          <w:spacing w:val="-3"/>
          <w:sz w:val="21"/>
          <w:szCs w:val="21"/>
        </w:rPr>
        <w:t xml:space="preserve">pakeitimas įforminamas abiejų Šalių papildomu susitarimu prie Sutarties per 10 darbo dienų nuo Užsakovo raštiško sutikimo išsiuntimo </w:t>
      </w:r>
      <w:r>
        <w:rPr>
          <w:rFonts w:asciiTheme="minorHAnsi" w:hAnsiTheme="minorHAnsi"/>
          <w:sz w:val="21"/>
          <w:szCs w:val="21"/>
        </w:rPr>
        <w:t xml:space="preserve">Rangovui </w:t>
      </w:r>
      <w:r>
        <w:rPr>
          <w:rFonts w:asciiTheme="minorHAnsi" w:hAnsiTheme="minorHAnsi"/>
          <w:spacing w:val="-3"/>
          <w:sz w:val="21"/>
          <w:szCs w:val="21"/>
        </w:rPr>
        <w:t>datos.</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bCs/>
          <w:i/>
          <w:i/>
          <w:sz w:val="21"/>
          <w:szCs w:val="21"/>
        </w:rPr>
      </w:pPr>
      <w:r>
        <w:rPr>
          <w:rFonts w:asciiTheme="minorHAnsi" w:hAnsiTheme="minorHAnsi"/>
          <w:bCs/>
          <w:i/>
          <w:sz w:val="21"/>
          <w:szCs w:val="21"/>
        </w:rPr>
        <w:t xml:space="preserve">Jei Sutartyje numatytų Darbų atlikimui </w:t>
      </w:r>
      <w:r>
        <w:rPr>
          <w:rFonts w:asciiTheme="minorHAnsi" w:hAnsiTheme="minorHAnsi"/>
          <w:i/>
          <w:sz w:val="21"/>
          <w:szCs w:val="21"/>
        </w:rPr>
        <w:t>Rangovas</w:t>
      </w:r>
      <w:r>
        <w:rPr>
          <w:rFonts w:asciiTheme="minorHAnsi" w:hAnsiTheme="minorHAnsi"/>
          <w:sz w:val="21"/>
          <w:szCs w:val="21"/>
        </w:rPr>
        <w:t xml:space="preserve"> </w:t>
      </w:r>
      <w:r>
        <w:rPr>
          <w:rFonts w:asciiTheme="minorHAnsi" w:hAnsiTheme="minorHAnsi"/>
          <w:bCs/>
          <w:i/>
          <w:sz w:val="21"/>
          <w:szCs w:val="21"/>
        </w:rPr>
        <w:t xml:space="preserve">nepasitelks subrangovų, 15.1 punkte nurodo, kad </w:t>
      </w:r>
      <w:r>
        <w:rPr>
          <w:rFonts w:asciiTheme="minorHAnsi" w:hAnsiTheme="minorHAnsi"/>
          <w:i/>
          <w:sz w:val="21"/>
          <w:szCs w:val="21"/>
        </w:rPr>
        <w:t>numatytiems darbams Rangovas subrangovų nepasitelks.</w:t>
      </w:r>
    </w:p>
    <w:p>
      <w:pPr>
        <w:pStyle w:val="Stilius3"/>
        <w:widowControl w:val="false"/>
        <w:tabs>
          <w:tab w:val="clear" w:pos="397"/>
          <w:tab w:val="left" w:pos="2072" w:leader="none"/>
        </w:tabs>
        <w:snapToGrid w:val="false"/>
        <w:spacing w:lineRule="auto" w:line="240" w:before="0" w:after="0"/>
        <w:ind w:firstLine="540"/>
        <w:rPr>
          <w:rFonts w:ascii="Calibri" w:hAnsi="Calibri" w:asciiTheme="minorHAnsi" w:hAnsiTheme="minorHAnsi"/>
          <w:bCs/>
          <w:i/>
          <w:i/>
          <w:sz w:val="21"/>
          <w:szCs w:val="21"/>
        </w:rPr>
      </w:pPr>
      <w:r>
        <w:rPr>
          <w:rFonts w:asciiTheme="minorHAnsi" w:hAnsiTheme="minorHAnsi"/>
          <w:sz w:val="21"/>
          <w:szCs w:val="21"/>
        </w:rPr>
        <w:t>15.4. Sutarties vykdymo metu subrangovai negalės būti įtraukiami, jei jie nebuvo pasitelkti teikiant pasiūlymą.</w:t>
      </w:r>
    </w:p>
    <w:p>
      <w:pPr>
        <w:pStyle w:val="Normal"/>
        <w:numPr>
          <w:ilvl w:val="0"/>
          <w:numId w:val="0"/>
        </w:numPr>
        <w:spacing w:lineRule="auto" w:line="240"/>
        <w:ind w:firstLine="697"/>
        <w:outlineLvl w:val="0"/>
        <w:rPr/>
      </w:pPr>
      <w:r>
        <w:rPr/>
      </w:r>
    </w:p>
    <w:p>
      <w:pPr>
        <w:pStyle w:val="Normal"/>
        <w:tabs>
          <w:tab w:val="clear" w:pos="397"/>
          <w:tab w:val="left" w:pos="284" w:leader="none"/>
        </w:tabs>
        <w:spacing w:lineRule="auto" w:line="240"/>
        <w:ind w:hanging="0"/>
        <w:jc w:val="center"/>
        <w:rPr>
          <w:b/>
          <w:b/>
        </w:rPr>
      </w:pPr>
      <w:r>
        <w:rPr>
          <w:b/>
        </w:rPr>
        <w:t>XVI. GINČŲ SPRENDIMAS</w:t>
      </w:r>
    </w:p>
    <w:p>
      <w:pPr>
        <w:pStyle w:val="Normal"/>
        <w:spacing w:lineRule="auto" w:line="240"/>
        <w:jc w:val="center"/>
        <w:rPr/>
      </w:pPr>
      <w:r>
        <w:rPr/>
      </w:r>
    </w:p>
    <w:p>
      <w:pPr>
        <w:pStyle w:val="Normal"/>
        <w:spacing w:lineRule="auto" w:line="240"/>
        <w:ind w:firstLine="567"/>
        <w:rPr/>
      </w:pPr>
      <w:r>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pPr>
        <w:pStyle w:val="Normal"/>
        <w:spacing w:lineRule="auto" w:line="240"/>
        <w:rPr/>
      </w:pPr>
      <w:r>
        <w:rPr/>
        <w:t xml:space="preserve">        </w:t>
      </w:r>
    </w:p>
    <w:p>
      <w:pPr>
        <w:pStyle w:val="Normal"/>
        <w:numPr>
          <w:ilvl w:val="0"/>
          <w:numId w:val="0"/>
        </w:numPr>
        <w:spacing w:lineRule="auto" w:line="240"/>
        <w:ind w:hanging="0"/>
        <w:jc w:val="center"/>
        <w:outlineLvl w:val="0"/>
        <w:rPr>
          <w:b/>
          <w:b/>
        </w:rPr>
      </w:pPr>
      <w:r>
        <w:rPr>
          <w:b/>
        </w:rPr>
        <w:t>XVII. KITOS SUTARTIES SĄLYGOS</w:t>
      </w:r>
    </w:p>
    <w:p>
      <w:pPr>
        <w:pStyle w:val="Normal"/>
        <w:numPr>
          <w:ilvl w:val="0"/>
          <w:numId w:val="0"/>
        </w:numPr>
        <w:spacing w:lineRule="auto" w:line="240"/>
        <w:ind w:firstLine="360"/>
        <w:outlineLvl w:val="0"/>
        <w:rPr>
          <w:b/>
          <w:b/>
        </w:rPr>
      </w:pPr>
      <w:r>
        <w:rPr>
          <w:b/>
        </w:rPr>
      </w:r>
    </w:p>
    <w:p>
      <w:pPr>
        <w:pStyle w:val="Normal"/>
        <w:spacing w:lineRule="auto" w:line="240"/>
        <w:ind w:firstLine="567"/>
        <w:rPr/>
      </w:pPr>
      <w:r>
        <w:rPr/>
        <w:t>17.1. Vykdydamos Sutartį, Šalys vadovaujasi Lietuvos Respublikos civiliniu kodeksu, įstatymais bei kitais teisės aktais. Sutartyje neaptarti klausimai sprendžiami aukščiau nurodytų teisės aktų nustatyta tvarka.</w:t>
      </w:r>
    </w:p>
    <w:p>
      <w:pPr>
        <w:pStyle w:val="Normal"/>
        <w:spacing w:lineRule="auto" w:line="240"/>
        <w:ind w:firstLine="567"/>
        <w:rPr/>
      </w:pPr>
      <w:r>
        <w:rPr/>
        <w:t>17.2. Šalys įsipareigoja apie rekvizitų pasikeitimus nedelsiant raštu pranešti kitai šaliai.</w:t>
      </w:r>
    </w:p>
    <w:p>
      <w:pPr>
        <w:pStyle w:val="Normal"/>
        <w:spacing w:lineRule="auto" w:line="240"/>
        <w:ind w:firstLine="567"/>
        <w:rPr/>
      </w:pPr>
      <w:r>
        <w:rPr/>
        <w:t xml:space="preserve">17.3. Asmenys, atsakingi už Sutarties vykdymą: </w:t>
      </w:r>
    </w:p>
    <w:p>
      <w:pPr>
        <w:pStyle w:val="Normal"/>
        <w:spacing w:lineRule="auto" w:line="240"/>
        <w:ind w:firstLine="567"/>
        <w:rPr/>
      </w:pPr>
      <w:r>
        <w:rPr/>
        <w:t xml:space="preserve">17.3.1. Užsakovo: Alytaus filialo direktorius Ernestas Anušauskas, tel. +370 698 43029, el. p. </w:t>
      </w:r>
      <w:hyperlink r:id="rId2">
        <w:r>
          <w:rPr>
            <w:rStyle w:val="Internetosaitas"/>
          </w:rPr>
          <w:t>ernestas@alytausparama.lt</w:t>
        </w:r>
      </w:hyperlink>
      <w:r>
        <w:rPr/>
        <w:t xml:space="preserve">; </w:t>
      </w:r>
    </w:p>
    <w:p>
      <w:pPr>
        <w:pStyle w:val="Normal"/>
        <w:spacing w:lineRule="auto" w:line="240"/>
        <w:ind w:firstLine="567"/>
        <w:rPr/>
      </w:pPr>
      <w:r>
        <w:rPr/>
        <w:t xml:space="preserve">17.3.2. Rangovo: Statybos ir ekonominės plėtros skyriaus vyriausioji specialistė Raminta Baranauskienė, tel. +370 319 61124, el. p. </w:t>
      </w:r>
      <w:hyperlink r:id="rId3">
        <w:r>
          <w:rPr>
            <w:rStyle w:val="Internetosaitas"/>
          </w:rPr>
          <w:t>raminta.baranauskiene@prienai.lt</w:t>
        </w:r>
      </w:hyperlink>
      <w:r>
        <w:rPr/>
        <w:t xml:space="preserve">. </w:t>
      </w:r>
    </w:p>
    <w:p>
      <w:pPr>
        <w:pStyle w:val="Normal"/>
        <w:spacing w:lineRule="auto" w:line="240"/>
        <w:ind w:firstLine="567"/>
        <w:rPr/>
      </w:pPr>
      <w:r>
        <w:rPr/>
        <w:t>17.4. Visi Sutarties papildymai ir pakeitimai galioja, jei yra sudaryti ir patvirtinti abiejų Šalių. Visi susitarimai dėl Sutarties pakeitimo yra laikytini neatskiriama Sutarties dalimi.</w:t>
      </w:r>
    </w:p>
    <w:p>
      <w:pPr>
        <w:pStyle w:val="Normal"/>
        <w:spacing w:lineRule="auto" w:line="240"/>
        <w:ind w:firstLine="567"/>
        <w:rPr/>
      </w:pPr>
      <w:r>
        <w:rPr/>
        <w:t>17.5. Sutartis sudaroma lietuvių kalba. Šalys Sutartį pasirašo kvalifikuotais elektroniniais parašais, pasirašomas 1 (vienas) elektroninis Sutarties egzempliorius, kuriuo Šalys pasidalina elektroninių ryšių priemonėmis.</w:t>
      </w:r>
    </w:p>
    <w:p>
      <w:pPr>
        <w:pStyle w:val="Normal"/>
        <w:spacing w:lineRule="auto" w:line="240"/>
        <w:ind w:firstLine="567"/>
        <w:rPr/>
      </w:pPr>
      <w:r>
        <w:rPr/>
        <w:t>17.6. Sutarties priedai:</w:t>
      </w:r>
    </w:p>
    <w:p>
      <w:pPr>
        <w:pStyle w:val="Normal"/>
        <w:widowControl w:val="false"/>
        <w:spacing w:lineRule="auto" w:line="240"/>
        <w:ind w:firstLine="567"/>
        <w:rPr/>
      </w:pPr>
      <w:r>
        <w:rPr>
          <w:bCs/>
        </w:rPr>
        <w:t>17.6.1. Pasiūlymas ir techninė specifikacija.</w:t>
      </w:r>
    </w:p>
    <w:p>
      <w:pPr>
        <w:pStyle w:val="Normal"/>
        <w:spacing w:lineRule="auto" w:line="240"/>
        <w:ind w:firstLine="567"/>
        <w:rPr>
          <w:bCs/>
        </w:rPr>
      </w:pPr>
      <w:r>
        <w:rPr>
          <w:bCs/>
        </w:rPr>
      </w:r>
    </w:p>
    <w:p>
      <w:pPr>
        <w:pStyle w:val="Normal"/>
        <w:spacing w:lineRule="auto" w:line="240"/>
        <w:ind w:hanging="0"/>
        <w:jc w:val="center"/>
        <w:rPr>
          <w:b/>
          <w:b/>
          <w:bCs/>
        </w:rPr>
      </w:pPr>
      <w:r>
        <w:rPr>
          <w:b/>
          <w:bCs/>
        </w:rPr>
        <w:t>XIX. ŠALIŲ REKVIZITAI IR PARAŠAI</w:t>
      </w:r>
    </w:p>
    <w:p>
      <w:pPr>
        <w:pStyle w:val="Normal"/>
        <w:spacing w:lineRule="auto" w:line="240"/>
        <w:rPr>
          <w:b/>
          <w:b/>
        </w:rPr>
      </w:pPr>
      <w:r>
        <w:rPr>
          <w:b/>
        </w:rPr>
      </w:r>
    </w:p>
    <w:tbl>
      <w:tblPr>
        <w:tblW w:w="9854" w:type="dxa"/>
        <w:jc w:val="left"/>
        <w:tblInd w:w="0" w:type="dxa"/>
        <w:tblLayout w:type="fixed"/>
        <w:tblCellMar>
          <w:top w:w="0" w:type="dxa"/>
          <w:left w:w="108" w:type="dxa"/>
          <w:bottom w:w="0" w:type="dxa"/>
          <w:right w:w="108" w:type="dxa"/>
        </w:tblCellMar>
        <w:tblLook w:val="04a0"/>
      </w:tblPr>
      <w:tblGrid>
        <w:gridCol w:w="4927"/>
        <w:gridCol w:w="4926"/>
      </w:tblGrid>
      <w:tr>
        <w:trPr/>
        <w:tc>
          <w:tcPr>
            <w:tcW w:w="4927" w:type="dxa"/>
            <w:tcBorders/>
          </w:tcPr>
          <w:p>
            <w:pPr>
              <w:pStyle w:val="Normal"/>
              <w:widowControl w:val="false"/>
              <w:tabs>
                <w:tab w:val="clear" w:pos="397"/>
                <w:tab w:val="left" w:pos="426" w:leader="none"/>
              </w:tabs>
              <w:spacing w:lineRule="auto" w:line="240"/>
              <w:ind w:hanging="0"/>
              <w:rPr>
                <w:rFonts w:ascii="Calibri" w:hAnsi="Calibri"/>
                <w:b/>
                <w:b/>
              </w:rPr>
            </w:pPr>
            <w:r>
              <w:rPr>
                <w:b/>
              </w:rPr>
              <w:t>Užsakovas</w:t>
            </w:r>
          </w:p>
        </w:tc>
        <w:tc>
          <w:tcPr>
            <w:tcW w:w="4926" w:type="dxa"/>
            <w:tcBorders/>
          </w:tcPr>
          <w:p>
            <w:pPr>
              <w:pStyle w:val="Normal"/>
              <w:widowControl w:val="false"/>
              <w:tabs>
                <w:tab w:val="clear" w:pos="397"/>
                <w:tab w:val="left" w:pos="426" w:leader="none"/>
              </w:tabs>
              <w:spacing w:lineRule="auto" w:line="240"/>
              <w:ind w:hanging="0"/>
              <w:rPr>
                <w:rFonts w:ascii="Calibri" w:hAnsi="Calibri"/>
                <w:b/>
                <w:b/>
              </w:rPr>
            </w:pPr>
            <w:r>
              <w:rPr>
                <w:b/>
              </w:rPr>
              <w:t>Rangovas</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Prienų rajono savivaldybės administracija</w:t>
            </w:r>
          </w:p>
        </w:tc>
        <w:tc>
          <w:tcPr>
            <w:tcW w:w="4926" w:type="dxa"/>
            <w:tcBorders/>
          </w:tcPr>
          <w:p>
            <w:pPr>
              <w:pStyle w:val="Normal"/>
              <w:widowControl w:val="false"/>
              <w:tabs>
                <w:tab w:val="clear" w:pos="397"/>
                <w:tab w:val="left" w:pos="426" w:leader="none"/>
              </w:tabs>
              <w:spacing w:lineRule="auto" w:line="240"/>
              <w:ind w:hanging="0"/>
              <w:rPr/>
            </w:pPr>
            <w:r>
              <w:rPr/>
              <w:t xml:space="preserve">UAB „Parama“ </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Laisvės a. 12, 59126 Prienai</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Gardino g. 30, LT-62154 Alytus</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Juridinio asmens kodas 288742590</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Juridinio asmens kodas 165108836</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Ne PVM mokėtojas</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PVM mokėtojo kodas LT651088314</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A. s. LT087300010076935559</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Banko sąskaitos Nr. LT207181200003467712</w:t>
            </w:r>
          </w:p>
        </w:tc>
      </w:tr>
      <w:tr>
        <w:trPr>
          <w:trHeight w:val="140" w:hRule="atLeast"/>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AB bankas „Swedbank“</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 xml:space="preserve">AB „Šiaulių bankas“ </w:t>
            </w:r>
          </w:p>
        </w:tc>
      </w:tr>
      <w:tr>
        <w:trPr/>
        <w:tc>
          <w:tcPr>
            <w:tcW w:w="4927" w:type="dxa"/>
            <w:tcBorders/>
          </w:tcPr>
          <w:p>
            <w:pPr>
              <w:pStyle w:val="Normal"/>
              <w:widowControl w:val="false"/>
              <w:spacing w:lineRule="auto" w:line="240"/>
              <w:ind w:hanging="0"/>
              <w:rPr>
                <w:rFonts w:ascii="Calibri" w:hAnsi="Calibri"/>
                <w:color w:val="000000"/>
              </w:rPr>
            </w:pPr>
            <w:r>
              <w:rPr>
                <w:color w:val="000000"/>
              </w:rPr>
              <w:t>Banko kodas 73000</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Banko kodas 71812</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Tel.  +370 319 61 105</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Tel. +370 315 74640</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El. p. administracija@prienai.lt</w:t>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t>El. p. info@alytausparama.lt</w:t>
            </w:r>
          </w:p>
        </w:tc>
      </w:tr>
      <w:tr>
        <w:trPr>
          <w:trHeight w:val="149" w:hRule="atLeast"/>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r>
          </w:p>
        </w:tc>
        <w:tc>
          <w:tcPr>
            <w:tcW w:w="4926" w:type="dxa"/>
            <w:tcBorders/>
          </w:tcPr>
          <w:p>
            <w:pPr>
              <w:pStyle w:val="Normal"/>
              <w:widowControl w:val="false"/>
              <w:tabs>
                <w:tab w:val="clear" w:pos="397"/>
                <w:tab w:val="left" w:pos="426" w:leader="none"/>
              </w:tabs>
              <w:spacing w:lineRule="auto" w:line="240"/>
              <w:ind w:hanging="0"/>
              <w:rPr>
                <w:rFonts w:ascii="Calibri" w:hAnsi="Calibri"/>
              </w:rPr>
            </w:pPr>
            <w:r>
              <w:rPr/>
            </w:r>
          </w:p>
        </w:tc>
      </w:tr>
      <w:tr>
        <w:trPr/>
        <w:tc>
          <w:tcPr>
            <w:tcW w:w="4927" w:type="dxa"/>
            <w:tcBorders/>
          </w:tcPr>
          <w:p>
            <w:pPr>
              <w:pStyle w:val="Normal"/>
              <w:widowControl w:val="false"/>
              <w:spacing w:lineRule="auto" w:line="240"/>
              <w:ind w:hanging="0"/>
              <w:rPr>
                <w:rFonts w:cs="Calibri" w:cstheme="minorHAnsi"/>
                <w:bCs/>
              </w:rPr>
            </w:pPr>
            <w:r>
              <w:rPr>
                <w:rFonts w:cs="Calibri" w:cstheme="minorHAnsi"/>
                <w:bCs/>
              </w:rPr>
              <w:t xml:space="preserve">Administracijos direktorė  </w:t>
            </w:r>
          </w:p>
          <w:p>
            <w:pPr>
              <w:pStyle w:val="Body2"/>
              <w:widowControl w:val="false"/>
              <w:spacing w:before="0" w:after="0"/>
              <w:ind w:hanging="0"/>
              <w:rPr>
                <w:rFonts w:ascii="Calibri" w:hAnsi="Calibri" w:cs="Calibri" w:asciiTheme="minorHAnsi" w:cstheme="minorHAnsi" w:hAnsiTheme="minorHAnsi"/>
                <w:lang w:val="lt-LT"/>
              </w:rPr>
            </w:pPr>
            <w:r>
              <w:rPr>
                <w:rFonts w:cs="Calibri" w:ascii="Calibri" w:hAnsi="Calibri" w:asciiTheme="minorHAnsi" w:cstheme="minorHAnsi" w:hAnsiTheme="minorHAnsi"/>
                <w:bCs/>
                <w:lang w:val="lt-LT"/>
              </w:rPr>
              <w:t>Jūratė Mickevičienė</w:t>
            </w:r>
          </w:p>
        </w:tc>
        <w:tc>
          <w:tcPr>
            <w:tcW w:w="4926" w:type="dxa"/>
            <w:tcBorders/>
          </w:tcPr>
          <w:p>
            <w:pPr>
              <w:pStyle w:val="Normal"/>
              <w:widowControl w:val="false"/>
              <w:tabs>
                <w:tab w:val="clear" w:pos="397"/>
                <w:tab w:val="left" w:pos="426" w:leader="none"/>
              </w:tabs>
              <w:spacing w:lineRule="auto" w:line="240"/>
              <w:ind w:hanging="0"/>
              <w:rPr>
                <w:rFonts w:cs="Calibri" w:cstheme="minorHAnsi"/>
              </w:rPr>
            </w:pPr>
            <w:r>
              <w:rPr>
                <w:rFonts w:cs="Calibri" w:cstheme="minorHAnsi"/>
              </w:rPr>
              <w:t xml:space="preserve">Generalinis direktorius </w:t>
            </w:r>
          </w:p>
          <w:p>
            <w:pPr>
              <w:pStyle w:val="Normal"/>
              <w:widowControl w:val="false"/>
              <w:tabs>
                <w:tab w:val="clear" w:pos="397"/>
                <w:tab w:val="left" w:pos="426" w:leader="none"/>
              </w:tabs>
              <w:spacing w:lineRule="auto" w:line="240"/>
              <w:ind w:hanging="0"/>
              <w:rPr>
                <w:rFonts w:cs="Calibri" w:cstheme="minorHAnsi"/>
              </w:rPr>
            </w:pPr>
            <w:r>
              <w:rPr>
                <w:rFonts w:cs="Calibri" w:cstheme="minorHAnsi"/>
              </w:rPr>
              <w:t>Kastytis Nauckūnas</w:t>
            </w:r>
          </w:p>
        </w:tc>
      </w:tr>
    </w:tbl>
    <w:p>
      <w:pPr>
        <w:pStyle w:val="Normal"/>
        <w:spacing w:lineRule="auto" w:line="240"/>
        <w:rPr>
          <w:b/>
          <w:b/>
        </w:rPr>
      </w:pPr>
      <w:r>
        <w:rPr>
          <w:b/>
        </w:rPr>
      </w:r>
    </w:p>
    <w:p>
      <w:pPr>
        <w:pStyle w:val="Normal"/>
        <w:spacing w:lineRule="auto" w:line="240"/>
        <w:rPr>
          <w:b/>
          <w:b/>
        </w:rPr>
      </w:pPr>
      <w:r>
        <w:rPr>
          <w:b/>
        </w:rPr>
      </w:r>
    </w:p>
    <w:p>
      <w:pPr>
        <w:pStyle w:val="Normal"/>
        <w:spacing w:lineRule="auto" w:line="240"/>
        <w:rPr>
          <w:b/>
          <w:b/>
        </w:rPr>
      </w:pPr>
      <w:r>
        <w:rPr>
          <w:b/>
        </w:rPr>
      </w:r>
    </w:p>
    <w:p>
      <w:pPr>
        <w:pStyle w:val="Normal"/>
        <w:spacing w:lineRule="auto" w:line="240"/>
        <w:rPr>
          <w:b/>
          <w:b/>
        </w:rPr>
      </w:pPr>
      <w:r>
        <w:rPr>
          <w:b/>
        </w:rPr>
      </w:r>
    </w:p>
    <w:p>
      <w:pPr>
        <w:pStyle w:val="Normal"/>
        <w:spacing w:before="0" w:after="120"/>
        <w:ind w:left="567" w:hanging="0"/>
        <w:contextualSpacing/>
        <w:rPr>
          <w:rFonts w:ascii="Arial" w:hAnsi="Arial" w:cs="Arial"/>
        </w:rPr>
      </w:pPr>
      <w:r>
        <w:rPr/>
      </w:r>
    </w:p>
    <w:sectPr>
      <w:type w:val="nextPage"/>
      <w:pgSz w:w="12240" w:h="15840"/>
      <w:pgMar w:left="1701" w:right="567" w:gutter="0" w:header="0" w:top="1134" w:footer="0" w:bottom="1134"/>
      <w:pgNumType w:start="0" w:fmt="decimal"/>
      <w:formProt w:val="false"/>
      <w:titlePg/>
      <w:textDirection w:val="lrTb"/>
      <w:docGrid w:type="default" w:linePitch="360" w:charSpace="2949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OpenSymbol">
    <w:altName w:val="Arial Unicode MS"/>
    <w:charset w:val="ba"/>
    <w:family w:val="roman"/>
    <w:pitch w:val="variable"/>
  </w:font>
  <w:font w:name="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val="false"/>
        <w:bCs w:val="false"/>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1069" w:hanging="360"/>
      </w:pPr>
      <w:rPr/>
    </w:lvl>
    <w:lvl w:ilvl="1">
      <w:start w:val="1"/>
      <w:numFmt w:val="decimal"/>
      <w:lvlText w:val="%1.%2."/>
      <w:lvlJc w:val="left"/>
      <w:pPr>
        <w:tabs>
          <w:tab w:val="num" w:pos="0"/>
        </w:tabs>
        <w:ind w:left="1778" w:hanging="360"/>
      </w:pPr>
      <w:rPr>
        <w:b w:val="false"/>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429" w:hanging="720"/>
      </w:pPr>
      <w:rPr/>
    </w:lvl>
    <w:lvl w:ilvl="4">
      <w:start w:val="1"/>
      <w:numFmt w:val="decimal"/>
      <w:lvlText w:val="%1.%2.%3.%4.%5."/>
      <w:lvlJc w:val="left"/>
      <w:pPr>
        <w:tabs>
          <w:tab w:val="num" w:pos="0"/>
        </w:tabs>
        <w:ind w:left="1789" w:hanging="1080"/>
      </w:pPr>
      <w:rPr/>
    </w:lvl>
    <w:lvl w:ilvl="5">
      <w:start w:val="1"/>
      <w:numFmt w:val="decimal"/>
      <w:lvlText w:val="%1.%2.%3.%4.%5.%6."/>
      <w:lvlJc w:val="left"/>
      <w:pPr>
        <w:tabs>
          <w:tab w:val="num" w:pos="0"/>
        </w:tabs>
        <w:ind w:left="1789" w:hanging="1080"/>
      </w:pPr>
      <w:rPr/>
    </w:lvl>
    <w:lvl w:ilvl="6">
      <w:start w:val="1"/>
      <w:numFmt w:val="decimal"/>
      <w:lvlText w:val="%1.%2.%3.%4.%5.%6.%7."/>
      <w:lvlJc w:val="left"/>
      <w:pPr>
        <w:tabs>
          <w:tab w:val="num" w:pos="0"/>
        </w:tabs>
        <w:ind w:left="2149" w:hanging="1440"/>
      </w:pPr>
      <w:rPr/>
    </w:lvl>
    <w:lvl w:ilvl="7">
      <w:start w:val="1"/>
      <w:numFmt w:val="decimal"/>
      <w:lvlText w:val="%1.%2.%3.%4.%5.%6.%7.%8."/>
      <w:lvlJc w:val="left"/>
      <w:pPr>
        <w:tabs>
          <w:tab w:val="num" w:pos="0"/>
        </w:tabs>
        <w:ind w:left="2149" w:hanging="1440"/>
      </w:pPr>
      <w:rPr/>
    </w:lvl>
    <w:lvl w:ilvl="8">
      <w:start w:val="1"/>
      <w:numFmt w:val="decimal"/>
      <w:lvlText w:val="%1.%2.%3.%4.%5.%6.%7.%8.%9."/>
      <w:lvlJc w:val="left"/>
      <w:pPr>
        <w:tabs>
          <w:tab w:val="num" w:pos="0"/>
        </w:tabs>
        <w:ind w:left="2509" w:hanging="1800"/>
      </w:pPr>
      <w:rPr/>
    </w:lvl>
  </w:abstractNum>
  <w:abstractNum w:abstractNumId="3">
    <w:lvl w:ilvl="0">
      <w:start w:val="1"/>
      <w:numFmt w:val="lowerLetter"/>
      <w:lvlText w:val="%1)"/>
      <w:lvlJc w:val="left"/>
      <w:pPr>
        <w:tabs>
          <w:tab w:val="num" w:pos="0"/>
        </w:tabs>
        <w:ind w:left="2052" w:hanging="360"/>
      </w:pPr>
      <w:rPr/>
    </w:lvl>
    <w:lvl w:ilvl="1">
      <w:start w:val="1"/>
      <w:numFmt w:val="bullet"/>
      <w:lvlText w:val=""/>
      <w:lvlJc w:val="left"/>
      <w:pPr>
        <w:tabs>
          <w:tab w:val="num" w:pos="0"/>
        </w:tabs>
        <w:ind w:left="2772" w:hanging="360"/>
      </w:pPr>
      <w:rPr>
        <w:rFonts w:ascii="Symbol" w:hAnsi="Symbol" w:cs="Symbol" w:hint="default"/>
      </w:rPr>
    </w:lvl>
    <w:lvl w:ilvl="2">
      <w:start w:val="12"/>
      <w:numFmt w:val="decimal"/>
      <w:lvlText w:val="%3"/>
      <w:lvlJc w:val="left"/>
      <w:pPr>
        <w:tabs>
          <w:tab w:val="num" w:pos="0"/>
        </w:tabs>
        <w:ind w:left="3672" w:hanging="360"/>
      </w:pPr>
      <w:rPr/>
    </w:lvl>
    <w:lvl w:ilvl="3">
      <w:start w:val="12"/>
      <w:numFmt w:val="decimal"/>
      <w:lvlText w:val="%4."/>
      <w:lvlJc w:val="left"/>
      <w:pPr>
        <w:tabs>
          <w:tab w:val="num" w:pos="0"/>
        </w:tabs>
        <w:ind w:left="4212" w:hanging="360"/>
      </w:pPr>
      <w:rPr/>
    </w:lvl>
    <w:lvl w:ilvl="4">
      <w:start w:val="1"/>
      <w:numFmt w:val="lowerLetter"/>
      <w:lvlText w:val="%5."/>
      <w:lvlJc w:val="left"/>
      <w:pPr>
        <w:tabs>
          <w:tab w:val="num" w:pos="0"/>
        </w:tabs>
        <w:ind w:left="4932" w:hanging="360"/>
      </w:pPr>
      <w:rPr/>
    </w:lvl>
    <w:lvl w:ilvl="5">
      <w:start w:val="1"/>
      <w:numFmt w:val="lowerRoman"/>
      <w:lvlText w:val="%6."/>
      <w:lvlJc w:val="right"/>
      <w:pPr>
        <w:tabs>
          <w:tab w:val="num" w:pos="0"/>
        </w:tabs>
        <w:ind w:left="5652" w:hanging="180"/>
      </w:pPr>
      <w:rPr/>
    </w:lvl>
    <w:lvl w:ilvl="6">
      <w:start w:val="1"/>
      <w:numFmt w:val="decimal"/>
      <w:lvlText w:val="%7."/>
      <w:lvlJc w:val="left"/>
      <w:pPr>
        <w:tabs>
          <w:tab w:val="num" w:pos="0"/>
        </w:tabs>
        <w:ind w:left="6372" w:hanging="360"/>
      </w:pPr>
      <w:rPr/>
    </w:lvl>
    <w:lvl w:ilvl="7">
      <w:start w:val="1"/>
      <w:numFmt w:val="lowerLetter"/>
      <w:lvlText w:val="%8."/>
      <w:lvlJc w:val="left"/>
      <w:pPr>
        <w:tabs>
          <w:tab w:val="num" w:pos="0"/>
        </w:tabs>
        <w:ind w:left="7092" w:hanging="360"/>
      </w:pPr>
      <w:rPr/>
    </w:lvl>
    <w:lvl w:ilvl="8">
      <w:start w:val="1"/>
      <w:numFmt w:val="lowerRoman"/>
      <w:lvlText w:val="%9."/>
      <w:lvlJc w:val="right"/>
      <w:pPr>
        <w:tabs>
          <w:tab w:val="num" w:pos="0"/>
        </w:tabs>
        <w:ind w:left="7812" w:hanging="180"/>
      </w:pPr>
      <w:rPr/>
    </w:lvl>
  </w:abstractNum>
  <w:abstractNum w:abstractNumId="4">
    <w:lvl w:ilvl="0">
      <w:start w:val="2"/>
      <w:numFmt w:val="decimal"/>
      <w:lvlText w:val="%1."/>
      <w:lvlJc w:val="left"/>
      <w:pPr>
        <w:tabs>
          <w:tab w:val="num" w:pos="0"/>
        </w:tabs>
        <w:ind w:left="720" w:hanging="720"/>
      </w:pPr>
      <w:rPr/>
    </w:lvl>
    <w:lvl w:ilvl="1">
      <w:start w:val="7"/>
      <w:numFmt w:val="decimal"/>
      <w:lvlText w:val="%1.%2."/>
      <w:lvlJc w:val="left"/>
      <w:pPr>
        <w:tabs>
          <w:tab w:val="num" w:pos="0"/>
        </w:tabs>
        <w:ind w:left="909" w:hanging="720"/>
      </w:pPr>
      <w:rPr/>
    </w:lvl>
    <w:lvl w:ilvl="2">
      <w:start w:val="1"/>
      <w:numFmt w:val="decimal"/>
      <w:lvlText w:val="%1.%2.%3."/>
      <w:lvlJc w:val="left"/>
      <w:pPr>
        <w:tabs>
          <w:tab w:val="num" w:pos="0"/>
        </w:tabs>
        <w:ind w:left="1098" w:hanging="720"/>
      </w:pPr>
      <w:rPr/>
    </w:lvl>
    <w:lvl w:ilvl="3">
      <w:start w:val="2"/>
      <w:numFmt w:val="decimal"/>
      <w:lvlText w:val="%1.%2.%3.%4."/>
      <w:lvlJc w:val="left"/>
      <w:pPr>
        <w:tabs>
          <w:tab w:val="num" w:pos="0"/>
        </w:tabs>
        <w:ind w:left="1287" w:hanging="72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025" w:hanging="1080"/>
      </w:pPr>
      <w:rPr/>
    </w:lvl>
    <w:lvl w:ilvl="6">
      <w:start w:val="1"/>
      <w:numFmt w:val="decimal"/>
      <w:lvlText w:val="%1.%2.%3.%4.%5.%6.%7."/>
      <w:lvlJc w:val="left"/>
      <w:pPr>
        <w:tabs>
          <w:tab w:val="num" w:pos="0"/>
        </w:tabs>
        <w:ind w:left="2574" w:hanging="1440"/>
      </w:pPr>
      <w:rPr/>
    </w:lvl>
    <w:lvl w:ilvl="7">
      <w:start w:val="1"/>
      <w:numFmt w:val="decimal"/>
      <w:lvlText w:val="%1.%2.%3.%4.%5.%6.%7.%8."/>
      <w:lvlJc w:val="left"/>
      <w:pPr>
        <w:tabs>
          <w:tab w:val="num" w:pos="0"/>
        </w:tabs>
        <w:ind w:left="2763" w:hanging="1440"/>
      </w:pPr>
      <w:rPr/>
    </w:lvl>
    <w:lvl w:ilvl="8">
      <w:start w:val="1"/>
      <w:numFmt w:val="decimal"/>
      <w:lvlText w:val="%1.%2.%3.%4.%5.%6.%7.%8.%9."/>
      <w:lvlJc w:val="left"/>
      <w:pPr>
        <w:tabs>
          <w:tab w:val="num" w:pos="0"/>
        </w:tabs>
        <w:ind w:left="3312" w:hanging="180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397"/>
  <w:autoHyphenation w:val="true"/>
  <w:hyphenationZone w:val="396"/>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1735"/>
    <w:pPr>
      <w:widowControl/>
      <w:suppressAutoHyphens w:val="true"/>
      <w:bidi w:val="0"/>
      <w:spacing w:lineRule="auto" w:line="30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Heading1Char"/>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Heading2Char"/>
    <w:uiPriority w:val="9"/>
    <w:unhideWhenUsed/>
    <w:qFormat/>
    <w:rsid w:val="00281735"/>
    <w:pPr>
      <w:keepNext w:val="true"/>
      <w:keepLines/>
      <w:spacing w:lineRule="auto" w:line="240" w:before="120" w:after="0"/>
      <w:outlineLvl w:val="1"/>
    </w:pPr>
    <w:rPr>
      <w:rFonts w:ascii="Calibri Light" w:hAnsi="Calibri Light" w:eastAsia="" w:cs="" w:asciiTheme="majorHAnsi" w:cstheme="majorBidi" w:eastAsiaTheme="majorEastAsia" w:hAnsiTheme="majorHAnsi"/>
      <w:color w:val="ED7D31" w:themeColor="accent2"/>
      <w:sz w:val="36"/>
      <w:szCs w:val="36"/>
    </w:rPr>
  </w:style>
  <w:style w:type="paragraph" w:styleId="Antrat3">
    <w:name w:val="Heading 3"/>
    <w:basedOn w:val="Normal"/>
    <w:next w:val="Normal"/>
    <w:link w:val="Heading3Char"/>
    <w:uiPriority w:val="9"/>
    <w:semiHidden/>
    <w:unhideWhenUsed/>
    <w:qFormat/>
    <w:rsid w:val="00281735"/>
    <w:pPr>
      <w:keepNext w:val="true"/>
      <w:keepLines/>
      <w:spacing w:lineRule="auto" w:line="240" w:before="80" w:after="0"/>
      <w:outlineLvl w:val="2"/>
    </w:pPr>
    <w:rPr>
      <w:rFonts w:ascii="Calibri Light" w:hAnsi="Calibri Light" w:eastAsia="" w:cs=""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Heading4Char"/>
    <w:uiPriority w:val="9"/>
    <w:semiHidden/>
    <w:unhideWhenUsed/>
    <w:qFormat/>
    <w:rsid w:val="00281735"/>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Heading5Char"/>
    <w:uiPriority w:val="9"/>
    <w:semiHidden/>
    <w:unhideWhenUsed/>
    <w:qFormat/>
    <w:rsid w:val="00281735"/>
    <w:pPr>
      <w:keepNext w:val="true"/>
      <w:keepLines/>
      <w:spacing w:lineRule="auto" w:line="240" w:before="80" w:after="0"/>
      <w:outlineLvl w:val="4"/>
    </w:pPr>
    <w:rPr>
      <w:rFonts w:ascii="Calibri Light" w:hAnsi="Calibri Light" w:eastAsia="" w:cs=""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Heading6Char"/>
    <w:uiPriority w:val="9"/>
    <w:semiHidden/>
    <w:unhideWhenUsed/>
    <w:qFormat/>
    <w:rsid w:val="00281735"/>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Heading7Char"/>
    <w:uiPriority w:val="9"/>
    <w:semiHidden/>
    <w:unhideWhenUsed/>
    <w:qFormat/>
    <w:rsid w:val="00281735"/>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Heading8Char"/>
    <w:uiPriority w:val="9"/>
    <w:semiHidden/>
    <w:unhideWhenUsed/>
    <w:qFormat/>
    <w:rsid w:val="00281735"/>
    <w:pPr>
      <w:keepNext w:val="true"/>
      <w:keepLines/>
      <w:spacing w:lineRule="auto" w:line="240" w:before="80" w:after="0"/>
      <w:outlineLvl w:val="7"/>
    </w:pPr>
    <w:rPr>
      <w:rFonts w:ascii="Calibri Light" w:hAnsi="Calibri Light" w:eastAsia="" w:cs=""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Heading9Char"/>
    <w:uiPriority w:val="9"/>
    <w:semiHidden/>
    <w:unhideWhenUsed/>
    <w:qFormat/>
    <w:rsid w:val="00281735"/>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281735"/>
    <w:rPr>
      <w:rFonts w:ascii="Calibri Light" w:hAnsi="Calibri Light" w:eastAsia="" w:cs="" w:asciiTheme="majorHAnsi" w:cstheme="majorBidi" w:eastAsiaTheme="majorEastAsia" w:hAnsiTheme="majorHAnsi"/>
      <w:color w:val="262626" w:themeColor="text1" w:themeTint="d9"/>
      <w:sz w:val="40"/>
      <w:szCs w:val="40"/>
    </w:rPr>
  </w:style>
  <w:style w:type="character" w:styleId="Internetosaitas">
    <w:name w:val="Hyperlink"/>
    <w:basedOn w:val="DefaultParagraphFont"/>
    <w:uiPriority w:val="99"/>
    <w:unhideWhenUsed/>
    <w:rsid w:val="003d64a6"/>
    <w:rPr>
      <w:color w:val="0563C1" w:themeColor="hyperlink"/>
      <w:u w:val="single"/>
    </w:rPr>
  </w:style>
  <w:style w:type="character" w:styleId="FootnoteTextChar" w:customStyle="1">
    <w:name w:val="Footnote Text Char"/>
    <w:basedOn w:val="DefaultParagraphFon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Annotation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uiPriority w:val="11"/>
    <w:qFormat/>
    <w:rsid w:val="00281735"/>
    <w:rPr>
      <w:caps/>
      <w:color w:val="404040" w:themeColor="text1" w:themeTint="bf"/>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Inaosramenys">
    <w:name w:val="Išnašos rašmenys"/>
    <w:qFormat/>
    <w:rsid w:val="002b63fe"/>
    <w:rPr>
      <w:vertAlign w:val="superscript"/>
    </w:rPr>
  </w:style>
  <w:style w:type="character" w:styleId="Inaosprieraias">
    <w:name w:val="Footnote Reference"/>
    <w:rPr>
      <w:vertAlign w:val="superscript"/>
    </w:rPr>
  </w:style>
  <w:style w:type="character" w:styleId="FootnoteCharacters" w:customStyle="1">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qFormat/>
    <w:rsid w:val="00fa144d"/>
    <w:rPr>
      <w:rFonts w:ascii="Times New Roman" w:hAnsi="Times New Roman"/>
      <w:sz w:val="24"/>
      <w:szCs w:val="20"/>
      <w:lang w:eastAsia="en-US"/>
    </w:rPr>
  </w:style>
  <w:style w:type="character" w:styleId="HeaderChar" w:customStyle="1">
    <w:name w:val="Header Char"/>
    <w:basedOn w:val="DefaultParagraphFont"/>
    <w:uiPriority w:val="99"/>
    <w:qFormat/>
    <w:rsid w:val="00f560b4"/>
    <w:rPr>
      <w:rFonts w:ascii="Times New Roman" w:hAnsi="Times New Roman"/>
      <w:sz w:val="24"/>
      <w:szCs w:val="24"/>
      <w:lang w:eastAsia="en-US"/>
    </w:rPr>
  </w:style>
  <w:style w:type="character" w:styleId="FooterChar" w:customStyle="1">
    <w:name w:val="Footer Char"/>
    <w:basedOn w:val="DefaultParagraphFont"/>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uiPriority w:val="9"/>
    <w:qFormat/>
    <w:rsid w:val="00281735"/>
    <w:rPr>
      <w:rFonts w:ascii="Calibri Light" w:hAnsi="Calibri Light" w:eastAsia="" w:cs=""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uiPriority w:val="9"/>
    <w:semiHidden/>
    <w:qFormat/>
    <w:rsid w:val="00281735"/>
    <w:rPr>
      <w:rFonts w:ascii="Calibri Light" w:hAnsi="Calibri Light" w:eastAsia="" w:cs=""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uiPriority w:val="9"/>
    <w:semiHidden/>
    <w:qFormat/>
    <w:rsid w:val="00281735"/>
    <w:rPr>
      <w:rFonts w:ascii="Calibri Light" w:hAnsi="Calibri Light" w:eastAsia="" w:cs=""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uiPriority w:val="9"/>
    <w:semiHidden/>
    <w:qFormat/>
    <w:rsid w:val="00281735"/>
    <w:rPr>
      <w:rFonts w:ascii="Calibri Light" w:hAnsi="Calibri Light" w:eastAsia="" w:cs=""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uiPriority w:val="9"/>
    <w:semiHidden/>
    <w:qFormat/>
    <w:rsid w:val="00281735"/>
    <w:rPr>
      <w:rFonts w:ascii="Calibri Light" w:hAnsi="Calibri Light" w:eastAsia="" w:cs=""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uiPriority w:val="10"/>
    <w:qFormat/>
    <w:rsid w:val="00281735"/>
    <w:rPr>
      <w:rFonts w:ascii="Calibri Light" w:hAnsi="Calibri Light" w:eastAsia="" w:cs=""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1" w:customStyle="1">
    <w:name w:val="Emphasis1"/>
    <w:basedOn w:val="DefaultParagraphFont"/>
    <w:uiPriority w:val="20"/>
    <w:qFormat/>
    <w:rsid w:val="00281735"/>
    <w:rPr>
      <w:i/>
      <w:iCs/>
      <w:color w:val="000000" w:themeColor="text1"/>
    </w:rPr>
  </w:style>
  <w:style w:type="character" w:styleId="QuoteChar" w:customStyle="1">
    <w:name w:val="Quote Char"/>
    <w:basedOn w:val="DefaultParagraphFont"/>
    <w:link w:val="Quote"/>
    <w:uiPriority w:val="29"/>
    <w:qFormat/>
    <w:rsid w:val="00281735"/>
    <w:rPr>
      <w:rFonts w:ascii="Calibri Light" w:hAnsi="Calibri Light" w:eastAsia="" w:cs=""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281735"/>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name w:val="FollowedHyperlink"/>
    <w:basedOn w:val="DefaultParagraphFont"/>
    <w:uiPriority w:val="99"/>
    <w:semiHidden/>
    <w:unhideWhenUsed/>
    <w:rsid w:val="00e57401"/>
    <w:rPr>
      <w:color w:val="954F72" w:themeColor="followedHyperlink"/>
      <w:u w:val="single"/>
    </w:rPr>
  </w:style>
  <w:style w:type="character" w:styleId="EndnoteTextChar" w:customStyle="1">
    <w:name w:val="Endnote Text Char"/>
    <w:basedOn w:val="DefaultParagraphFont"/>
    <w:uiPriority w:val="99"/>
    <w:semiHidden/>
    <w:qFormat/>
    <w:rsid w:val="00482bc0"/>
    <w:rPr>
      <w:sz w:val="20"/>
      <w:szCs w:val="20"/>
    </w:rPr>
  </w:style>
  <w:style w:type="character" w:styleId="Galinsinaosramenys">
    <w:name w:val="Galinės išnašos rašmenys"/>
    <w:qFormat/>
    <w:rsid w:val="002b63fe"/>
    <w:rPr>
      <w:vertAlign w:val="superscript"/>
    </w:rPr>
  </w:style>
  <w:style w:type="character" w:styleId="Galinsinaosprieraias">
    <w:name w:val="Endnote Reference"/>
    <w:rPr>
      <w:vertAlign w:val="superscript"/>
    </w:rPr>
  </w:style>
  <w:style w:type="character" w:styleId="EndnoteCharacters" w:customStyle="1">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qFormat/>
    <w:rsid w:val="004d2fb8"/>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Rodyklssaitas" w:customStyle="1">
    <w:name w:val="Rodyklės saitas"/>
    <w:qFormat/>
    <w:rsid w:val="009a715c"/>
    <w:rPr/>
  </w:style>
  <w:style w:type="character" w:styleId="Numeravimosimboliai" w:customStyle="1">
    <w:name w:val="Numeravimo simboliai"/>
    <w:qFormat/>
    <w:rsid w:val="009a715c"/>
    <w:rPr>
      <w:b w:val="false"/>
      <w:bCs w:val="false"/>
    </w:rPr>
  </w:style>
  <w:style w:type="character" w:styleId="T474" w:customStyle="1">
    <w:name w:val="t474"/>
    <w:qFormat/>
    <w:rsid w:val="009a715c"/>
    <w:rPr/>
  </w:style>
  <w:style w:type="character" w:styleId="T475" w:customStyle="1">
    <w:name w:val="t475"/>
    <w:qFormat/>
    <w:rsid w:val="009a715c"/>
    <w:rPr/>
  </w:style>
  <w:style w:type="character" w:styleId="Bullets" w:customStyle="1">
    <w:name w:val="Bullets"/>
    <w:qFormat/>
    <w:rsid w:val="009a715c"/>
    <w:rPr>
      <w:rFonts w:ascii="OpenSymbol" w:hAnsi="OpenSymbol" w:eastAsia="OpenSymbol" w:cs="OpenSymbol"/>
    </w:rPr>
  </w:style>
  <w:style w:type="character" w:styleId="Stilius1Diagrama" w:customStyle="1">
    <w:name w:val="Stilius1 Diagrama"/>
    <w:link w:val="Stilius1"/>
    <w:uiPriority w:val="99"/>
    <w:qFormat/>
    <w:locked/>
    <w:rsid w:val="00285d40"/>
    <w:rPr>
      <w:rFonts w:ascii="Times New Roman" w:hAnsi="Times New Roman" w:eastAsia="Calibri"/>
      <w:b/>
      <w:szCs w:val="24"/>
      <w:lang w:eastAsia="en-US"/>
    </w:rPr>
  </w:style>
  <w:style w:type="character" w:styleId="Stilius3Diagrama" w:customStyle="1">
    <w:name w:val="Stilius3 Diagrama"/>
    <w:link w:val="Stilius3"/>
    <w:uiPriority w:val="99"/>
    <w:qFormat/>
    <w:locked/>
    <w:rsid w:val="00285d40"/>
    <w:rPr>
      <w:rFonts w:ascii="Calibri" w:hAnsi="Calibri" w:eastAsia="Calibri"/>
      <w:sz w:val="22"/>
      <w:szCs w:val="22"/>
      <w:lang w:eastAsia="en-US"/>
    </w:rPr>
  </w:style>
  <w:style w:type="paragraph" w:styleId="Antrat" w:customStyle="1">
    <w:name w:val="Antraštė"/>
    <w:next w:val="Body2"/>
    <w:qFormat/>
    <w:rsid w:val="00072fe6"/>
    <w:pPr>
      <w:widowControl/>
      <w:suppressAutoHyphens w:val="true"/>
      <w:bidi w:val="0"/>
      <w:spacing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BodyTextChar"/>
    <w:rsid w:val="00fa144d"/>
    <w:pPr>
      <w:ind w:firstLine="567"/>
    </w:pPr>
    <w:rPr>
      <w:szCs w:val="20"/>
    </w:rPr>
  </w:style>
  <w:style w:type="paragraph" w:styleId="Sraas">
    <w:name w:val="List"/>
    <w:basedOn w:val="Pagrindinistekstas"/>
    <w:rsid w:val="009a715c"/>
    <w:pPr/>
    <w:rPr>
      <w:rFonts w:cs="Arial Unicode MS"/>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rsid w:val="009a715c"/>
    <w:pPr>
      <w:suppressLineNumbers/>
    </w:pPr>
    <w:rPr>
      <w:rFonts w:cs="Arial Unicode MS"/>
    </w:rPr>
  </w:style>
  <w:style w:type="paragraph" w:styleId="Caption">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Inaa">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Dokumentopaantrat">
    <w:name w:val="Subtitle"/>
    <w:basedOn w:val="Normal"/>
    <w:next w:val="Normal"/>
    <w:link w:val="SubtitleChar"/>
    <w:uiPriority w:val="11"/>
    <w:qFormat/>
    <w:rsid w:val="00281735"/>
    <w:pPr>
      <w:spacing w:before="0"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spacing w:before="0" w:after="0"/>
      <w:ind w:left="720" w:firstLine="697"/>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Puslapinantratirporat" w:customStyle="1">
    <w:name w:val="Puslapinė antraštė ir poraštė"/>
    <w:basedOn w:val="Normal"/>
    <w:qFormat/>
    <w:rsid w:val="009a715c"/>
    <w:pPr/>
    <w:rPr/>
  </w:style>
  <w:style w:type="paragraph" w:styleId="Puslapinantrat">
    <w:name w:val="Header"/>
    <w:basedOn w:val="Normal"/>
    <w:link w:val="HeaderChar"/>
    <w:uiPriority w:val="99"/>
    <w:unhideWhenUsed/>
    <w:rsid w:val="00f560b4"/>
    <w:pPr>
      <w:tabs>
        <w:tab w:val="clear" w:pos="397"/>
        <w:tab w:val="center" w:pos="4513" w:leader="none"/>
        <w:tab w:val="right" w:pos="9026" w:leader="none"/>
      </w:tabs>
    </w:pPr>
    <w:rPr/>
  </w:style>
  <w:style w:type="paragraph" w:styleId="Puslapinporat">
    <w:name w:val="Footer"/>
    <w:basedOn w:val="Normal"/>
    <w:link w:val="FooterChar"/>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ind w:firstLine="697"/>
      <w:jc w:val="both"/>
    </w:pPr>
    <w:rPr>
      <w:rFonts w:ascii="Times New Roman" w:hAnsi="Times New Roman" w:eastAsia="" w:cs="" w:cstheme="minorBidi" w:eastAsiaTheme="minorEastAsia"/>
      <w:color w:val="auto"/>
      <w:kern w:val="0"/>
      <w:sz w:val="24"/>
      <w:szCs w:val="24"/>
      <w:lang w:eastAsia="en-US" w:val="lt-LT" w:bidi="ar-SA"/>
    </w:rPr>
  </w:style>
  <w:style w:type="paragraph" w:styleId="Dokumentopavadinimas">
    <w:name w:val="Title"/>
    <w:basedOn w:val="Normal"/>
    <w:next w:val="Normal"/>
    <w:link w:val="TitleChar"/>
    <w:uiPriority w:val="10"/>
    <w:qFormat/>
    <w:rsid w:val="00281735"/>
    <w:pPr>
      <w:spacing w:lineRule="auto" w:line="240" w:before="0" w:after="0"/>
      <w:contextualSpacing/>
    </w:pPr>
    <w:rPr>
      <w:rFonts w:ascii="Calibri Light" w:hAnsi="Calibri Light" w:eastAsia="" w:cs="" w:asciiTheme="majorHAnsi" w:cstheme="majorBidi" w:eastAsiaTheme="majorEastAsia" w:hAnsiTheme="majorHAnsi"/>
      <w:color w:val="262626" w:themeColor="text1" w:themeTint="d9"/>
      <w:sz w:val="96"/>
      <w:szCs w:val="96"/>
    </w:rPr>
  </w:style>
  <w:style w:type="paragraph" w:styleId="NoSpacing">
    <w:name w:val="No Spacing"/>
    <w:link w:val="NoSpacingChar"/>
    <w:uiPriority w:val="1"/>
    <w:qFormat/>
    <w:rsid w:val="00281735"/>
    <w:pPr>
      <w:widowControl/>
      <w:suppressAutoHyphens w:val="true"/>
      <w:bidi w:val="0"/>
      <w:spacing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281735"/>
    <w:pPr>
      <w:spacing w:before="160" w:after="0"/>
      <w:ind w:left="720" w:right="720" w:firstLine="697"/>
      <w:jc w:val="center"/>
    </w:pPr>
    <w:rPr>
      <w:rFonts w:ascii="Calibri Light" w:hAnsi="Calibri Light" w:eastAsia="" w:cs=""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lineRule="auto" w:line="240" w:before="240" w:after="240"/>
      <w:ind w:left="936" w:right="936" w:firstLine="697"/>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Antrat"/>
    <w:qFormat/>
    <w:rsid w:val="002b63fe"/>
    <w:pPr/>
    <w:rPr/>
  </w:style>
  <w:style w:type="paragraph" w:styleId="Rodyklsantrat">
    <w:name w:val="Index Heading"/>
    <w:basedOn w:val="Antrat"/>
    <w:pPr/>
    <w:rPr/>
  </w:style>
  <w:style w:type="paragraph" w:styleId="Turinioantrat">
    <w:name w:val="TOC Heading"/>
    <w:basedOn w:val="Antrat1"/>
    <w:next w:val="Normal"/>
    <w:uiPriority w:val="39"/>
    <w:unhideWhenUsed/>
    <w:qFormat/>
    <w:rsid w:val="00281735"/>
    <w:pPr/>
    <w:rPr/>
  </w:style>
  <w:style w:type="paragraph" w:styleId="Turinys1">
    <w:name w:val="TOC 1"/>
    <w:basedOn w:val="Normal"/>
    <w:next w:val="Normal"/>
    <w:autoRedefine/>
    <w:uiPriority w:val="39"/>
    <w:unhideWhenUsed/>
    <w:rsid w:val="00e2712c"/>
    <w:pPr>
      <w:tabs>
        <w:tab w:val="clear" w:pos="397"/>
        <w:tab w:val="left" w:pos="426" w:leader="none"/>
        <w:tab w:val="left" w:pos="1100" w:leader="none"/>
        <w:tab w:val="right" w:pos="9962" w:leader="dot"/>
      </w:tabs>
      <w:ind w:left="426" w:right="877" w:hanging="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ed735b"/>
    <w:pPr>
      <w:tabs>
        <w:tab w:val="clear" w:pos="397"/>
        <w:tab w:val="right" w:pos="9962" w:leader="dot"/>
      </w:tabs>
      <w:ind w:left="220" w:firstLine="697"/>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tabs>
        <w:tab w:val="clear" w:pos="397"/>
        <w:tab w:val="left" w:pos="709" w:leader="none"/>
      </w:tabs>
      <w:spacing w:lineRule="auto" w:line="240" w:before="120" w:after="120"/>
      <w:ind w:left="709" w:hanging="709"/>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EndnoteTextChar"/>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firstLine="697"/>
    </w:pPr>
    <w:rPr/>
  </w:style>
  <w:style w:type="paragraph" w:styleId="Paragrafesrasas2lygis" w:customStyle="1">
    <w:name w:val="_paragrafe sąrasas 2 lygis"/>
    <w:basedOn w:val="BodyTextIndent2"/>
    <w:qFormat/>
    <w:rsid w:val="004d2fb8"/>
    <w:pPr>
      <w:spacing w:lineRule="auto" w:line="276"/>
      <w:ind w:left="0" w:hanging="0"/>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lineRule="auto" w:line="480" w:before="0" w:after="120"/>
      <w:ind w:left="283" w:firstLine="697"/>
    </w:pPr>
    <w:rPr/>
  </w:style>
  <w:style w:type="paragraph" w:styleId="Pantraste" w:customStyle="1">
    <w:name w:val="P.antraste"/>
    <w:basedOn w:val="Normal"/>
    <w:qFormat/>
    <w:rsid w:val="008f7cc2"/>
    <w:pPr>
      <w:spacing w:lineRule="auto" w:line="240"/>
      <w:ind w:left="-142" w:hanging="0"/>
      <w:jc w:val="center"/>
    </w:pPr>
    <w:rPr>
      <w:rFonts w:ascii="Times New Roman" w:hAnsi="Times New Roman" w:eastAsia="Times New Roman" w:cs="Times New Roman"/>
      <w:b/>
      <w:sz w:val="24"/>
      <w:szCs w:val="24"/>
      <w:lang w:eastAsia="en-US"/>
    </w:rPr>
  </w:style>
  <w:style w:type="paragraph" w:styleId="Lentelsturinys" w:customStyle="1">
    <w:name w:val="Lentelės turinys"/>
    <w:basedOn w:val="Normal"/>
    <w:qFormat/>
    <w:rsid w:val="009a715c"/>
    <w:pPr>
      <w:widowControl w:val="false"/>
      <w:suppressLineNumbers/>
    </w:pPr>
    <w:rPr/>
  </w:style>
  <w:style w:type="paragraph" w:styleId="Lentelsantrat" w:customStyle="1">
    <w:name w:val="Lentelės antraštė"/>
    <w:basedOn w:val="Lentelsturinys"/>
    <w:qFormat/>
    <w:rsid w:val="009a715c"/>
    <w:pPr>
      <w:jc w:val="center"/>
    </w:pPr>
    <w:rPr>
      <w:b/>
      <w:bCs/>
    </w:rPr>
  </w:style>
  <w:style w:type="paragraph" w:styleId="Default" w:customStyle="1">
    <w:name w:val="Default"/>
    <w:qFormat/>
    <w:rsid w:val="009a715c"/>
    <w:pPr>
      <w:widowControl/>
      <w:suppressAutoHyphens w:val="true"/>
      <w:bidi w:val="0"/>
      <w:spacing w:before="0" w:after="0"/>
      <w:jc w:val="left"/>
    </w:pPr>
    <w:rPr>
      <w:rFonts w:ascii="Times New Roman" w:hAnsi="Times New Roman" w:eastAsia="Calibri" w:cs="Times New Roman"/>
      <w:color w:val="000000"/>
      <w:kern w:val="0"/>
      <w:sz w:val="24"/>
      <w:szCs w:val="24"/>
      <w:lang w:eastAsia="en-US" w:val="lt-LT" w:bidi="ar-SA"/>
    </w:rPr>
  </w:style>
  <w:style w:type="paragraph" w:styleId="Prastasis10punktai" w:customStyle="1">
    <w:name w:val="Įprastasis + 10 punktai"/>
    <w:basedOn w:val="Normal"/>
    <w:qFormat/>
    <w:rsid w:val="009a715c"/>
    <w:pPr>
      <w:suppressAutoHyphens w:val="false"/>
      <w:ind w:right="-1" w:hanging="0"/>
      <w:jc w:val="center"/>
    </w:pPr>
    <w:rPr>
      <w:rFonts w:ascii="Times New Roman" w:hAnsi="Times New Roman"/>
      <w:b/>
      <w:bCs/>
      <w:sz w:val="20"/>
      <w:lang w:eastAsia="en-US"/>
    </w:rPr>
  </w:style>
  <w:style w:type="paragraph" w:styleId="PrastasisParykintasis" w:customStyle="1">
    <w:name w:val="Įprastasis + Paryškintasis"/>
    <w:basedOn w:val="Normal"/>
    <w:qFormat/>
    <w:rsid w:val="009a715c"/>
    <w:pPr>
      <w:suppressAutoHyphens w:val="false"/>
      <w:ind w:right="566" w:hanging="0"/>
      <w:jc w:val="center"/>
    </w:pPr>
    <w:rPr>
      <w:rFonts w:ascii="Times New Roman" w:hAnsi="Times New Roman"/>
      <w:b/>
      <w:bCs/>
      <w:szCs w:val="24"/>
      <w:lang w:eastAsia="en-US"/>
    </w:rPr>
  </w:style>
  <w:style w:type="paragraph" w:styleId="Stilius1" w:customStyle="1">
    <w:name w:val="Stilius1"/>
    <w:basedOn w:val="Normal"/>
    <w:link w:val="Stilius1Diagrama"/>
    <w:uiPriority w:val="99"/>
    <w:qFormat/>
    <w:rsid w:val="009a715c"/>
    <w:pPr>
      <w:tabs>
        <w:tab w:val="clear" w:pos="397"/>
        <w:tab w:val="left" w:pos="284" w:leader="none"/>
      </w:tabs>
      <w:suppressAutoHyphens w:val="false"/>
      <w:jc w:val="center"/>
    </w:pPr>
    <w:rPr>
      <w:rFonts w:ascii="Times New Roman" w:hAnsi="Times New Roman" w:eastAsia="Calibri"/>
      <w:b/>
      <w:szCs w:val="24"/>
      <w:lang w:eastAsia="en-US"/>
    </w:rPr>
  </w:style>
  <w:style w:type="paragraph" w:styleId="Stilius3" w:customStyle="1">
    <w:name w:val="Stilius3"/>
    <w:basedOn w:val="Normal"/>
    <w:link w:val="Stilius3Diagrama"/>
    <w:uiPriority w:val="99"/>
    <w:qFormat/>
    <w:rsid w:val="009a715c"/>
    <w:pPr>
      <w:suppressAutoHyphens w:val="false"/>
      <w:spacing w:before="200" w:after="0"/>
    </w:pPr>
    <w:rPr>
      <w:rFonts w:ascii="Calibri" w:hAnsi="Calibri" w:eastAsia="Calibri"/>
      <w:sz w:val="22"/>
      <w:szCs w:val="22"/>
      <w:lang w:eastAsia="en-US"/>
    </w:rPr>
  </w:style>
  <w:style w:type="paragraph" w:styleId="Toaheading">
    <w:name w:val="toa heading"/>
    <w:basedOn w:val="Indexheading"/>
    <w:qFormat/>
    <w:rsid w:val="009a715c"/>
    <w:pPr/>
    <w:rPr/>
  </w:style>
  <w:style w:type="paragraph" w:styleId="Pagrindiniotekstotrauka">
    <w:name w:val="Body Text Indent"/>
    <w:basedOn w:val="Normal"/>
    <w:rsid w:val="009a715c"/>
    <w:pPr>
      <w:spacing w:before="0" w:after="120"/>
      <w:ind w:left="283" w:hanging="0"/>
    </w:pPr>
    <w:rPr/>
  </w:style>
  <w:style w:type="paragraph" w:styleId="Western" w:customStyle="1">
    <w:name w:val="western"/>
    <w:basedOn w:val="Normal"/>
    <w:qFormat/>
    <w:rsid w:val="002b63fe"/>
    <w:pPr>
      <w:spacing w:beforeAutospacing="1" w:after="159"/>
      <w:ind w:firstLine="567"/>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2">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3">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
    <w:name w:val="3"/>
    <w:basedOn w:val="TableNormal"/>
    <w:rsid w:val="00112f92"/>
    <w:rPr>
      <w:lang w:eastAsia="en-US"/>
      <w:sz w:val="20"/>
      <w:szCs w:val="20"/>
    </w:rPr>
    <w:tblPr>
      <w:tblStyleRowBandSize w:val="1"/>
      <w:tblStyleColBandSize w:val="1"/>
      <w:tblCellMar>
        <w:top w:w="0" w:type="dxa"/>
        <w:left w:w="108" w:type="dxa"/>
        <w:bottom w:w="0" w:type="dxa"/>
        <w:right w:w="108" w:type="dxa"/>
      </w:tblCellMar>
    </w:tblPr>
  </w:style>
  <w:style w:type="table" w:customStyle="1" w:styleId="2">
    <w:name w:val="2"/>
    <w:basedOn w:val="TableNormal"/>
    <w:rsid w:val="00112f92"/>
    <w:rPr>
      <w:lang w:eastAsia="en-US"/>
      <w:sz w:val="20"/>
      <w:szCs w:val="20"/>
    </w:rPr>
    <w:tblPr>
      <w:tblStyleRowBandSize w:val="1"/>
      <w:tblStyleColBandSize w:val="1"/>
      <w:tblCellMar>
        <w:top w:w="0" w:type="dxa"/>
        <w:left w:w="115" w:type="dxa"/>
        <w:bottom w:w="0" w:type="dxa"/>
        <w:right w:w="115" w:type="dxa"/>
      </w:tblCellMar>
    </w:tblPr>
  </w:style>
  <w:style w:type="table" w:customStyle="1" w:styleId="1">
    <w:name w:val="1"/>
    <w:basedOn w:val="TableNormal"/>
    <w:rsid w:val="00112f92"/>
    <w:rPr>
      <w:lang w:eastAsia="en-US"/>
      <w:sz w:val="20"/>
      <w:szCs w:val="20"/>
    </w:rPr>
    <w:tblPr>
      <w:tblStyleRowBandSize w:val="1"/>
      <w:tblStyleColBandSize w:val="1"/>
      <w:tblCellMar>
        <w:top w:w="0" w:type="dxa"/>
        <w:left w:w="115" w:type="dxa"/>
        <w:bottom w:w="0" w:type="dxa"/>
        <w:right w:w="115" w:type="dxa"/>
      </w:tblCellMar>
    </w:tblPr>
  </w:style>
  <w:style w:type="table" w:customStyle="1" w:styleId="TableGrid1">
    <w:name w:val="Table Grid1"/>
    <w:basedOn w:val="TableNormal"/>
    <w:uiPriority w:val="99"/>
    <w:rsid w:val="00a76eaf"/>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nestas@alytausparama.lt" TargetMode="External"/><Relationship Id="rId3" Type="http://schemas.openxmlformats.org/officeDocument/2006/relationships/hyperlink" Target="mailto:raminta.baranauskiene@prienai.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A492DC0-14D9-40A9-A94C-6341E1B5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Application>LibreOffice/7.4.7.2$Windows_X86_64 LibreOffice_project/723314e595e8007d3cf785c16538505a1c878ca5</Application>
  <AppVersion>15.0000</AppVersion>
  <Pages>8</Pages>
  <Words>4186</Words>
  <Characters>29136</Characters>
  <CharactersWithSpaces>33196</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2023-06-20T05:39:00Z</dcterms:created>
  <dc:creator>Arūnė Andrulionienė</dc:creator>
  <dc:description/>
  <dc:language>lt-LT</dc:language>
  <cp:lastModifiedBy/>
  <cp:lastPrinted>2024-04-30T11:23:00Z</cp:lastPrinted>
  <dcterms:modified xsi:type="dcterms:W3CDTF">2024-07-26T13:32:57Z</dcterms:modified>
  <cp:revision>174</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