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58050A80" w:rsidR="00A53E87" w:rsidRPr="00E040E8" w:rsidRDefault="00A53E87" w:rsidP="00A53E87">
      <w:pPr>
        <w:ind w:left="2880" w:firstLine="720"/>
        <w:jc w:val="both"/>
      </w:pPr>
      <w:r w:rsidRPr="00E040E8">
        <w:t>20</w:t>
      </w:r>
      <w:r>
        <w:t>24</w:t>
      </w:r>
      <w:r w:rsidR="00185C9A">
        <w:t xml:space="preserve"> m. sausio 23 d.</w:t>
      </w:r>
      <w:r>
        <w:t xml:space="preserve"> Nr.</w:t>
      </w:r>
      <w:r w:rsidR="00185C9A">
        <w:t xml:space="preserve"> DPS-69</w:t>
      </w:r>
    </w:p>
    <w:p w14:paraId="603A9DAE" w14:textId="5470C6BC" w:rsidR="00A53E87" w:rsidRPr="00E040E8" w:rsidRDefault="00A53E87" w:rsidP="00A53E87">
      <w:pPr>
        <w:ind w:left="3600"/>
        <w:jc w:val="both"/>
        <w:rPr>
          <w:i/>
          <w:sz w:val="20"/>
          <w:szCs w:val="20"/>
        </w:rPr>
      </w:pPr>
      <w:r>
        <w:rPr>
          <w:sz w:val="22"/>
          <w:szCs w:val="22"/>
        </w:rPr>
        <w:t xml:space="preserve">         </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77777777"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Sigito </w:t>
      </w:r>
      <w:proofErr w:type="spellStart"/>
      <w:r>
        <w:t>Dzekunsko</w:t>
      </w:r>
      <w:proofErr w:type="spellEnd"/>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71F359FD" w:rsidR="00A53E87" w:rsidRDefault="00673DB7" w:rsidP="00A53E87">
      <w:pPr>
        <w:ind w:firstLine="720"/>
        <w:jc w:val="both"/>
      </w:pPr>
      <w:r w:rsidRPr="00283EE4">
        <w:rPr>
          <w:b/>
        </w:rPr>
        <w:t>AB ,,</w:t>
      </w:r>
      <w:r>
        <w:rPr>
          <w:b/>
        </w:rPr>
        <w:t>Žemaitijos pienas</w:t>
      </w:r>
      <w:r w:rsidRPr="00283EE4">
        <w:rPr>
          <w:b/>
        </w:rPr>
        <w:t>“</w:t>
      </w:r>
      <w:r w:rsidRPr="00283EE4">
        <w:t xml:space="preserve">, atstovaujama </w:t>
      </w:r>
      <w:r w:rsidR="00F13A6C">
        <w:t>_________________</w:t>
      </w:r>
      <w:r w:rsidRPr="0061415A">
        <w:rPr>
          <w:color w:val="000000"/>
        </w:rPr>
        <w:t xml:space="preserve">(toliau – </w:t>
      </w:r>
      <w:r w:rsidRPr="0061415A">
        <w:rPr>
          <w:b/>
          <w:color w:val="000000"/>
        </w:rPr>
        <w:t>Pardavėjas</w:t>
      </w:r>
      <w:r w:rsidRPr="0061415A">
        <w:rPr>
          <w:color w:val="000000"/>
        </w:rPr>
        <w:t>)</w:t>
      </w:r>
      <w:r w:rsidR="00A53E87" w:rsidRPr="0028680C">
        <w:t>,</w:t>
      </w:r>
      <w:r w:rsidR="00A53E87">
        <w:t xml:space="preserve"> </w:t>
      </w:r>
      <w:r w:rsidR="00A53E87" w:rsidRPr="0028680C">
        <w:t xml:space="preserve">toliau kartu šioje prekių </w:t>
      </w:r>
      <w:r w:rsidR="00A53E87">
        <w:t xml:space="preserve">viešojo </w:t>
      </w:r>
      <w:r w:rsidR="00A53E87" w:rsidRPr="0028680C">
        <w:t xml:space="preserve">pirkimo-pardavimo sutartyje vadinami „Šalimis“, o kiekvienas atskirai – „Šalimi“, vadovaudamosi </w:t>
      </w:r>
      <w:r w:rsidR="00A53E87" w:rsidRPr="0028680C">
        <w:rPr>
          <w:i/>
        </w:rPr>
        <w:t xml:space="preserve">Lietuvos Respublikos viešųjų pirkimų įstatymu </w:t>
      </w:r>
      <w:r w:rsidR="00A53E87" w:rsidRPr="00351DA0">
        <w:t>(toliau – V</w:t>
      </w:r>
      <w:r w:rsidR="00A53E87">
        <w:t>iešųjų pirkimų įstatymas</w:t>
      </w:r>
      <w:r w:rsidR="00A53E87" w:rsidRPr="00351DA0">
        <w:t>)</w:t>
      </w:r>
      <w:r w:rsidR="00A53E87">
        <w:rPr>
          <w:i/>
        </w:rPr>
        <w:t xml:space="preserve"> </w:t>
      </w:r>
      <w:r w:rsidR="00A53E87">
        <w:t xml:space="preserve">ir atsižvelgdamos į tai, kad </w:t>
      </w:r>
      <w:r w:rsidR="00A53E87">
        <w:rPr>
          <w:b/>
        </w:rPr>
        <w:t xml:space="preserve">Pirkėjui </w:t>
      </w:r>
      <w:r w:rsidR="00A53E8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53E87" w:rsidRPr="00A53E87">
        <w:t>, 2023 m. rugpjūčio mėn. 18 d. Centrinėje viešųjų pirkimų informacinėje sistemoje (toliau – CVP IS) paskelbtomis viešojo pirkimo „</w:t>
      </w:r>
      <w:r w:rsidR="00A53E87" w:rsidRPr="00A53E87">
        <w:rPr>
          <w:rFonts w:eastAsia="Arial Unicode MS"/>
          <w:bdr w:val="nil"/>
        </w:rPr>
        <w:t xml:space="preserve">Pieno produktai“ </w:t>
      </w:r>
      <w:r w:rsidR="00A53E87" w:rsidRPr="00A53E87">
        <w:t>(pirkimo Nr. 683821) sąlygomis</w:t>
      </w:r>
      <w:r w:rsidR="00A53E87">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5F1D7BE" w:rsidR="0051758C" w:rsidRPr="00EB4422" w:rsidRDefault="0051758C">
            <w:pPr>
              <w:jc w:val="both"/>
            </w:pPr>
            <w:r w:rsidRPr="00EB4422">
              <w:t xml:space="preserve">1.1. </w:t>
            </w:r>
            <w:r w:rsidRPr="00F07D92">
              <w:rPr>
                <w:b/>
              </w:rPr>
              <w:t>Pardavėjas</w:t>
            </w:r>
            <w:r w:rsidRPr="00EB4422">
              <w:t xml:space="preserve"> įsipareig</w:t>
            </w:r>
            <w:r w:rsidR="008B451E">
              <w:t>oja parduoti ir pristatyti</w:t>
            </w:r>
            <w:r w:rsidR="00673DB7" w:rsidRPr="00673DB7">
              <w:rPr>
                <w:rFonts w:eastAsia="Arial Unicode MS"/>
                <w:b/>
                <w:color w:val="000000"/>
                <w:sz w:val="22"/>
                <w:szCs w:val="22"/>
                <w:bdr w:val="nil"/>
                <w:lang w:eastAsia="en-US"/>
              </w:rPr>
              <w:t xml:space="preserve"> </w:t>
            </w:r>
            <w:r w:rsidR="005E28DC">
              <w:rPr>
                <w:b/>
              </w:rPr>
              <w:t>s</w:t>
            </w:r>
            <w:r w:rsidR="00673DB7" w:rsidRPr="00673DB7">
              <w:rPr>
                <w:b/>
              </w:rPr>
              <w:t>ūr</w:t>
            </w:r>
            <w:r w:rsidR="00673DB7">
              <w:rPr>
                <w:b/>
              </w:rPr>
              <w:t>į</w:t>
            </w:r>
            <w:r w:rsidR="00673DB7" w:rsidRPr="00673DB7">
              <w:rPr>
                <w:b/>
              </w:rPr>
              <w:t xml:space="preserve"> picoms, užtepėlėms (</w:t>
            </w:r>
            <w:proofErr w:type="spellStart"/>
            <w:r w:rsidR="00673DB7" w:rsidRPr="00673DB7">
              <w:rPr>
                <w:b/>
              </w:rPr>
              <w:t>picarela</w:t>
            </w:r>
            <w:proofErr w:type="spellEnd"/>
            <w:r w:rsidR="00673DB7" w:rsidRPr="00673DB7">
              <w:rPr>
                <w:b/>
              </w:rPr>
              <w:t xml:space="preserve">, </w:t>
            </w:r>
            <w:proofErr w:type="spellStart"/>
            <w:r w:rsidR="00673DB7" w:rsidRPr="00673DB7">
              <w:rPr>
                <w:b/>
              </w:rPr>
              <w:t>pizzarela</w:t>
            </w:r>
            <w:proofErr w:type="spellEnd"/>
            <w:r w:rsidR="00673DB7" w:rsidRPr="00673DB7">
              <w:rPr>
                <w:b/>
              </w:rPr>
              <w:t>)</w:t>
            </w:r>
            <w:r w:rsidR="005E28DC">
              <w:rPr>
                <w:b/>
              </w:rPr>
              <w:t>/ j</w:t>
            </w:r>
            <w:r w:rsidR="005E28DC" w:rsidRPr="009700E0">
              <w:rPr>
                <w:b/>
              </w:rPr>
              <w:t>ogurt</w:t>
            </w:r>
            <w:r w:rsidR="005E28DC">
              <w:rPr>
                <w:b/>
              </w:rPr>
              <w:t>ą</w:t>
            </w:r>
            <w:r w:rsidR="005E28DC" w:rsidRPr="009700E0">
              <w:rPr>
                <w:b/>
              </w:rPr>
              <w:t xml:space="preserve"> 3-3,5 proc., su priedais</w:t>
            </w:r>
            <w:r w:rsidR="005E28DC">
              <w:rPr>
                <w:b/>
              </w:rPr>
              <w:t>/</w:t>
            </w:r>
            <w:r w:rsidR="005E28DC" w:rsidRPr="009700E0">
              <w:rPr>
                <w:b/>
              </w:rPr>
              <w:t xml:space="preserve"> </w:t>
            </w:r>
            <w:r w:rsidR="005E28DC">
              <w:rPr>
                <w:b/>
              </w:rPr>
              <w:t>n</w:t>
            </w:r>
            <w:r w:rsidR="005E28DC" w:rsidRPr="009700E0">
              <w:rPr>
                <w:b/>
              </w:rPr>
              <w:t>atūral</w:t>
            </w:r>
            <w:r w:rsidR="005E28DC">
              <w:rPr>
                <w:b/>
              </w:rPr>
              <w:t>ų</w:t>
            </w:r>
            <w:r w:rsidR="005E28DC" w:rsidRPr="009700E0">
              <w:rPr>
                <w:b/>
              </w:rPr>
              <w:t xml:space="preserve"> jogurt</w:t>
            </w:r>
            <w:r w:rsidR="005E28DC">
              <w:rPr>
                <w:b/>
              </w:rPr>
              <w:t>ą</w:t>
            </w:r>
            <w:r w:rsidR="005E28DC" w:rsidRPr="009700E0">
              <w:rPr>
                <w:b/>
              </w:rPr>
              <w:t xml:space="preserve"> ne mažiau 3 proc</w:t>
            </w:r>
            <w:r w:rsidR="005E28DC">
              <w:rPr>
                <w:b/>
              </w:rPr>
              <w:t>./</w:t>
            </w:r>
            <w:r w:rsidR="005E28DC" w:rsidRPr="009700E0">
              <w:rPr>
                <w:b/>
              </w:rPr>
              <w:t xml:space="preserve"> </w:t>
            </w:r>
            <w:r w:rsidR="005E28DC">
              <w:rPr>
                <w:b/>
              </w:rPr>
              <w:t>s</w:t>
            </w:r>
            <w:r w:rsidR="005E28DC" w:rsidRPr="009700E0">
              <w:rPr>
                <w:b/>
              </w:rPr>
              <w:t>ūrio užkand</w:t>
            </w:r>
            <w:r w:rsidR="005E28DC">
              <w:rPr>
                <w:b/>
              </w:rPr>
              <w:t>į</w:t>
            </w:r>
            <w:r w:rsidR="008B451E">
              <w:t xml:space="preserve"> </w:t>
            </w:r>
            <w:r w:rsidR="00673DB7">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02F3EA23" w:rsidR="00723E58" w:rsidRDefault="004D7B17" w:rsidP="003F5B7D">
            <w:pPr>
              <w:shd w:val="clear" w:color="auto" w:fill="FFFFFF"/>
              <w:jc w:val="both"/>
            </w:pPr>
            <w:r w:rsidRPr="004D7B17">
              <w:t xml:space="preserve"> </w:t>
            </w:r>
            <w:r w:rsidR="005E28DC">
              <w:rPr>
                <w:b/>
              </w:rPr>
              <w:t>697 194,32</w:t>
            </w:r>
            <w:r w:rsidR="003F5B7D" w:rsidRPr="00723E58">
              <w:rPr>
                <w:b/>
              </w:rPr>
              <w:t xml:space="preserve"> </w:t>
            </w:r>
            <w:proofErr w:type="spellStart"/>
            <w:r w:rsidR="003F5B7D" w:rsidRPr="00723E58">
              <w:rPr>
                <w:b/>
              </w:rPr>
              <w:t>Eur</w:t>
            </w:r>
            <w:proofErr w:type="spellEnd"/>
            <w:r w:rsidR="003F5B7D" w:rsidRPr="00723E58">
              <w:t xml:space="preserve"> </w:t>
            </w:r>
            <w:r w:rsidR="003F5B7D" w:rsidRPr="00723E58">
              <w:rPr>
                <w:i/>
              </w:rPr>
              <w:t>(</w:t>
            </w:r>
            <w:r w:rsidR="005E28DC">
              <w:rPr>
                <w:i/>
              </w:rPr>
              <w:t>šeši</w:t>
            </w:r>
            <w:r w:rsidR="003F5B7D" w:rsidRPr="00723E58">
              <w:rPr>
                <w:i/>
              </w:rPr>
              <w:t xml:space="preserve"> šimta</w:t>
            </w:r>
            <w:r w:rsidR="005E28DC">
              <w:rPr>
                <w:i/>
              </w:rPr>
              <w:t>i</w:t>
            </w:r>
            <w:r w:rsidR="003F5B7D" w:rsidRPr="00723E58">
              <w:rPr>
                <w:i/>
              </w:rPr>
              <w:t xml:space="preserve"> </w:t>
            </w:r>
            <w:r w:rsidR="005E28DC">
              <w:rPr>
                <w:i/>
              </w:rPr>
              <w:t>devyniasdešimt septyni</w:t>
            </w:r>
            <w:r w:rsidR="003F5B7D" w:rsidRPr="00723E58">
              <w:rPr>
                <w:i/>
              </w:rPr>
              <w:t xml:space="preserve"> tūkstanči</w:t>
            </w:r>
            <w:r w:rsidR="005E28DC">
              <w:rPr>
                <w:i/>
              </w:rPr>
              <w:t>ai</w:t>
            </w:r>
            <w:r w:rsidR="003F5B7D" w:rsidRPr="00723E58">
              <w:rPr>
                <w:i/>
              </w:rPr>
              <w:t xml:space="preserve"> </w:t>
            </w:r>
            <w:r w:rsidR="005E28DC">
              <w:rPr>
                <w:i/>
              </w:rPr>
              <w:t xml:space="preserve">vienas </w:t>
            </w:r>
            <w:r w:rsidR="003F5B7D" w:rsidRPr="00723E58">
              <w:rPr>
                <w:i/>
              </w:rPr>
              <w:t>šimta</w:t>
            </w:r>
            <w:r w:rsidR="005E28DC">
              <w:rPr>
                <w:i/>
              </w:rPr>
              <w:t>s devynia</w:t>
            </w:r>
            <w:r w:rsidR="003F5B7D" w:rsidRPr="00723E58">
              <w:rPr>
                <w:i/>
              </w:rPr>
              <w:t>sdešimt</w:t>
            </w:r>
            <w:r w:rsidR="00723E58">
              <w:rPr>
                <w:i/>
              </w:rPr>
              <w:t xml:space="preserve"> </w:t>
            </w:r>
            <w:r w:rsidR="005E28DC">
              <w:rPr>
                <w:i/>
              </w:rPr>
              <w:t>keturi</w:t>
            </w:r>
            <w:r w:rsidR="003F5B7D" w:rsidRPr="00723E58">
              <w:rPr>
                <w:i/>
              </w:rPr>
              <w:t xml:space="preserve"> eur</w:t>
            </w:r>
            <w:r w:rsidR="00723E58">
              <w:rPr>
                <w:i/>
              </w:rPr>
              <w:t>ai</w:t>
            </w:r>
            <w:r w:rsidR="003F5B7D" w:rsidRPr="00723E58">
              <w:rPr>
                <w:i/>
              </w:rPr>
              <w:t xml:space="preserve"> </w:t>
            </w:r>
            <w:r w:rsidR="008129D4">
              <w:rPr>
                <w:i/>
              </w:rPr>
              <w:t>32</w:t>
            </w:r>
            <w:r w:rsidR="003F5B7D" w:rsidRPr="00723E58">
              <w:rPr>
                <w:i/>
              </w:rPr>
              <w:t xml:space="preserve"> ct)</w:t>
            </w:r>
            <w:r w:rsidR="003F5B7D" w:rsidRPr="00723E58">
              <w:t xml:space="preserve"> </w:t>
            </w:r>
            <w:r w:rsidR="003F5B7D" w:rsidRPr="00841422">
              <w:rPr>
                <w:b/>
              </w:rPr>
              <w:t>be</w:t>
            </w:r>
            <w:r w:rsidR="003F5B7D" w:rsidRPr="00723E58">
              <w:t xml:space="preserve"> pridėtinės ver</w:t>
            </w:r>
            <w:r w:rsidR="00841422">
              <w:t>tės mokesčio  (toliau – PVM) ir</w:t>
            </w:r>
          </w:p>
          <w:p w14:paraId="45D85897" w14:textId="59256BEC" w:rsidR="003F5B7D" w:rsidRPr="004D7B17" w:rsidRDefault="005E28DC" w:rsidP="003F5B7D">
            <w:pPr>
              <w:shd w:val="clear" w:color="auto" w:fill="FFFFFF"/>
              <w:jc w:val="both"/>
              <w:rPr>
                <w:i/>
              </w:rPr>
            </w:pPr>
            <w:r>
              <w:rPr>
                <w:b/>
              </w:rPr>
              <w:t xml:space="preserve"> 843 605,13</w:t>
            </w:r>
            <w:r w:rsidR="003F5B7D" w:rsidRPr="00723E58">
              <w:rPr>
                <w:b/>
              </w:rPr>
              <w:t xml:space="preserve"> </w:t>
            </w:r>
            <w:proofErr w:type="spellStart"/>
            <w:r w:rsidR="003F5B7D" w:rsidRPr="00723E58">
              <w:rPr>
                <w:b/>
              </w:rPr>
              <w:t>Eur</w:t>
            </w:r>
            <w:proofErr w:type="spellEnd"/>
            <w:r w:rsidR="003F5B7D" w:rsidRPr="00723E58">
              <w:t xml:space="preserve"> </w:t>
            </w:r>
            <w:r w:rsidR="00723E58" w:rsidRPr="00723E58">
              <w:rPr>
                <w:b/>
              </w:rPr>
              <w:t>su PVM</w:t>
            </w:r>
            <w:r w:rsidR="00723E58" w:rsidRPr="00723E58">
              <w:t xml:space="preserve"> </w:t>
            </w:r>
            <w:r w:rsidR="003F5B7D" w:rsidRPr="00723E58">
              <w:t>(</w:t>
            </w:r>
            <w:r>
              <w:rPr>
                <w:i/>
              </w:rPr>
              <w:t xml:space="preserve">aštuoni </w:t>
            </w:r>
            <w:r w:rsidR="003F5B7D" w:rsidRPr="00723E58">
              <w:rPr>
                <w:i/>
              </w:rPr>
              <w:t>šimta</w:t>
            </w:r>
            <w:r>
              <w:rPr>
                <w:i/>
              </w:rPr>
              <w:t>i</w:t>
            </w:r>
            <w:r w:rsidR="003F5B7D" w:rsidRPr="00723E58">
              <w:rPr>
                <w:i/>
              </w:rPr>
              <w:t xml:space="preserve"> </w:t>
            </w:r>
            <w:r w:rsidR="00723E58">
              <w:rPr>
                <w:i/>
              </w:rPr>
              <w:t xml:space="preserve">keturiasdešimt trys </w:t>
            </w:r>
            <w:r w:rsidR="003F5B7D" w:rsidRPr="00723E58">
              <w:rPr>
                <w:i/>
              </w:rPr>
              <w:t xml:space="preserve">tūkstančiai </w:t>
            </w:r>
            <w:r>
              <w:rPr>
                <w:i/>
              </w:rPr>
              <w:t>šeši</w:t>
            </w:r>
            <w:r w:rsidR="003F5B7D" w:rsidRPr="00723E58">
              <w:rPr>
                <w:i/>
              </w:rPr>
              <w:t xml:space="preserve"> šimt</w:t>
            </w:r>
            <w:r w:rsidR="00723E58">
              <w:rPr>
                <w:i/>
              </w:rPr>
              <w:t>a</w:t>
            </w:r>
            <w:r>
              <w:rPr>
                <w:i/>
              </w:rPr>
              <w:t>i</w:t>
            </w:r>
            <w:r w:rsidR="003F5B7D" w:rsidRPr="00723E58">
              <w:rPr>
                <w:i/>
              </w:rPr>
              <w:t xml:space="preserve"> </w:t>
            </w:r>
            <w:r>
              <w:rPr>
                <w:i/>
              </w:rPr>
              <w:t>penki</w:t>
            </w:r>
            <w:r w:rsidR="003F5B7D" w:rsidRPr="00723E58">
              <w:rPr>
                <w:i/>
              </w:rPr>
              <w:t xml:space="preserve"> eur</w:t>
            </w:r>
            <w:r>
              <w:rPr>
                <w:i/>
              </w:rPr>
              <w:t>ai</w:t>
            </w:r>
            <w:r w:rsidR="003F5B7D" w:rsidRPr="00723E58">
              <w:rPr>
                <w:i/>
              </w:rPr>
              <w:t xml:space="preserve"> </w:t>
            </w:r>
            <w:r>
              <w:rPr>
                <w:i/>
              </w:rPr>
              <w:t>1</w:t>
            </w:r>
            <w:r w:rsidR="00723E58">
              <w:rPr>
                <w:i/>
              </w:rPr>
              <w:t>3</w:t>
            </w:r>
            <w:r w:rsidR="003F5B7D" w:rsidRPr="00723E58">
              <w:rPr>
                <w:i/>
              </w:rPr>
              <w:t xml:space="preserve"> ct</w:t>
            </w:r>
            <w:r w:rsidR="003F5B7D" w:rsidRPr="00723E58">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lastRenderedPageBreak/>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26349C72"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r w:rsidR="00501973" w:rsidRPr="00501973">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 xml:space="preserve">kad </w:t>
            </w:r>
            <w:r>
              <w:rPr>
                <w:noProof/>
              </w:rPr>
              <w:lastRenderedPageBreak/>
              <w:t>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5683BB2A" w:rsidR="00B22732" w:rsidRPr="004E6853" w:rsidRDefault="00C646F4" w:rsidP="00AA28BC">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AA28BC">
              <w:rPr>
                <w:b/>
              </w:rPr>
              <w:t>48 803,60</w:t>
            </w:r>
            <w:r w:rsidR="004E6853" w:rsidRPr="00723E58">
              <w:rPr>
                <w:b/>
              </w:rPr>
              <w:t xml:space="preserve"> </w:t>
            </w:r>
            <w:proofErr w:type="spellStart"/>
            <w:r w:rsidR="004E6853" w:rsidRPr="00723E58">
              <w:rPr>
                <w:b/>
              </w:rPr>
              <w:t>Eur</w:t>
            </w:r>
            <w:proofErr w:type="spellEnd"/>
            <w:r w:rsidR="00723E58">
              <w:t xml:space="preserve"> (</w:t>
            </w:r>
            <w:r w:rsidR="00AA28BC">
              <w:t xml:space="preserve">keturiasdešimt </w:t>
            </w:r>
            <w:r w:rsidR="00723E58">
              <w:t xml:space="preserve">aštuoni tūkstančiai </w:t>
            </w:r>
            <w:r w:rsidR="00AA28BC">
              <w:t>aštuoni</w:t>
            </w:r>
            <w:r w:rsidR="00723E58">
              <w:t xml:space="preserve"> šimtai </w:t>
            </w:r>
            <w:r w:rsidR="00AA28BC">
              <w:t>trys</w:t>
            </w:r>
            <w:r w:rsidR="00723E58">
              <w:t xml:space="preserve"> eurai, </w:t>
            </w:r>
            <w:r w:rsidR="00AA28BC">
              <w:t>60</w:t>
            </w:r>
            <w:r w:rsidR="00723E58">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03A83E18"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AA28BC">
              <w:rPr>
                <w:b/>
              </w:rPr>
              <w:t>48 803,60</w:t>
            </w:r>
            <w:r w:rsidR="00AA28BC" w:rsidRPr="00723E58">
              <w:rPr>
                <w:b/>
              </w:rPr>
              <w:t xml:space="preserve"> </w:t>
            </w:r>
            <w:proofErr w:type="spellStart"/>
            <w:r w:rsidR="00AA28BC" w:rsidRPr="00723E58">
              <w:rPr>
                <w:b/>
              </w:rPr>
              <w:t>Eur</w:t>
            </w:r>
            <w:proofErr w:type="spellEnd"/>
            <w:r w:rsidR="00AA28BC">
              <w:t xml:space="preserve"> (keturiasdešimt aštuoni tūkstančiai aštuoni šimtai trys eurai, 60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43594C23"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AA28BC">
              <w:t>104 579,15</w:t>
            </w:r>
            <w:r w:rsidR="004E6853">
              <w:t xml:space="preserve"> </w:t>
            </w:r>
            <w:r w:rsidR="00841422">
              <w:t>(</w:t>
            </w:r>
            <w:r w:rsidR="00AA28BC">
              <w:t xml:space="preserve">vienas šimtas keturi </w:t>
            </w:r>
            <w:r w:rsidR="00841422">
              <w:t>tūkstanči</w:t>
            </w:r>
            <w:r w:rsidR="00AA28BC">
              <w:t>ai penki</w:t>
            </w:r>
            <w:r w:rsidR="00841422">
              <w:t xml:space="preserve"> šimtai </w:t>
            </w:r>
            <w:r w:rsidR="00AA28BC">
              <w:t>septynia</w:t>
            </w:r>
            <w:r w:rsidR="00841422">
              <w:t>sdešimt</w:t>
            </w:r>
            <w:r w:rsidR="00AA28BC">
              <w:t xml:space="preserve"> devyni</w:t>
            </w:r>
            <w:r w:rsidR="00841422">
              <w:t xml:space="preserve"> eur</w:t>
            </w:r>
            <w:r w:rsidR="00AA28BC">
              <w:t>ai 1</w:t>
            </w:r>
            <w:r w:rsidR="00841422">
              <w:t>5 ct</w:t>
            </w:r>
            <w:r w:rsidR="008129D4">
              <w:t xml:space="preserve">)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6F5CE35C" w14:textId="1FD03260" w:rsidR="004706D3" w:rsidRDefault="000A7308" w:rsidP="004706D3">
            <w:pPr>
              <w:jc w:val="both"/>
              <w:rPr>
                <w:shd w:val="clear" w:color="auto" w:fill="FFFFFF"/>
              </w:rPr>
            </w:pPr>
            <w:r w:rsidRPr="002A740D">
              <w:t xml:space="preserve">9.7. </w:t>
            </w:r>
            <w:r w:rsidR="00673DB7" w:rsidRPr="00CE34AB">
              <w:rPr>
                <w:b/>
              </w:rPr>
              <w:t>Pardavėjo</w:t>
            </w:r>
            <w:r w:rsidR="00673DB7" w:rsidRPr="00CE34AB">
              <w:t xml:space="preserve"> atstovas (-ai): </w:t>
            </w:r>
            <w:r w:rsidR="004706D3" w:rsidRPr="00CE34AB">
              <w:t xml:space="preserve">už Sutarties vykdymą bei koordinavimą, tiekiamų Prekių kokybę atsakinga </w:t>
            </w:r>
          </w:p>
          <w:p w14:paraId="2ED6D180" w14:textId="11296345"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p>
          <w:p w14:paraId="6C911148" w14:textId="450D4696"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lastRenderedPageBreak/>
              <w:t>9.11.3. 3 priedas „Gavėjų adresai“</w:t>
            </w:r>
            <w:r w:rsidRPr="002B2BAD">
              <w:rPr>
                <w:rFonts w:eastAsia="Calibri"/>
                <w:lang w:eastAsia="en-US"/>
              </w:rPr>
              <w:t>, 2 lapai.</w:t>
            </w:r>
          </w:p>
          <w:p w14:paraId="1C09BD6E" w14:textId="2B550CB8" w:rsidR="00B22732" w:rsidRPr="00B22732" w:rsidRDefault="00D4028D" w:rsidP="00AA28BC">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AA28BC">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7E491A0B" w14:textId="77777777" w:rsidR="00673DB7" w:rsidRDefault="00673DB7" w:rsidP="00673DB7">
            <w:pPr>
              <w:rPr>
                <w:b/>
              </w:rPr>
            </w:pPr>
            <w:r w:rsidRPr="002402AF">
              <w:rPr>
                <w:b/>
              </w:rPr>
              <w:t>AB ,,</w:t>
            </w:r>
            <w:r>
              <w:rPr>
                <w:b/>
              </w:rPr>
              <w:t>Žemaitijos pienas</w:t>
            </w:r>
            <w:r w:rsidRPr="002402AF">
              <w:rPr>
                <w:b/>
              </w:rPr>
              <w:t>“</w:t>
            </w:r>
          </w:p>
          <w:p w14:paraId="557914D3" w14:textId="77777777" w:rsidR="00673DB7" w:rsidRPr="004F054F" w:rsidRDefault="00673DB7" w:rsidP="00673DB7">
            <w:r w:rsidRPr="004F054F">
              <w:t>Kodas 180240752</w:t>
            </w:r>
          </w:p>
          <w:p w14:paraId="2120D42C" w14:textId="77777777" w:rsidR="00673DB7" w:rsidRDefault="00673DB7" w:rsidP="00673DB7">
            <w:r>
              <w:t>PVM mokėtojo kodas LT802407515</w:t>
            </w:r>
          </w:p>
          <w:p w14:paraId="03785695" w14:textId="77777777" w:rsidR="00673DB7" w:rsidRDefault="00673DB7" w:rsidP="00673DB7">
            <w:r>
              <w:t>Sedos g. 35, Telšiai</w:t>
            </w:r>
          </w:p>
          <w:p w14:paraId="3A9E4741" w14:textId="77777777" w:rsidR="00673DB7" w:rsidRDefault="00673DB7" w:rsidP="00673DB7">
            <w:r w:rsidRPr="004F054F">
              <w:t>LT764010042800060281</w:t>
            </w:r>
          </w:p>
          <w:p w14:paraId="6DC53F43" w14:textId="65205A22" w:rsidR="00477117" w:rsidRPr="002606B2" w:rsidRDefault="00673DB7" w:rsidP="00673DB7">
            <w:pPr>
              <w:rPr>
                <w:rFonts w:eastAsia="Calibri"/>
                <w:lang w:eastAsia="en-US"/>
              </w:rPr>
            </w:pPr>
            <w:proofErr w:type="spellStart"/>
            <w:r w:rsidRPr="004F054F">
              <w:rPr>
                <w:rFonts w:eastAsia="Calibri"/>
                <w:lang w:eastAsia="en-US"/>
              </w:rPr>
              <w:t>Luminor</w:t>
            </w:r>
            <w:proofErr w:type="spellEnd"/>
            <w:r w:rsidRPr="004F054F">
              <w:rPr>
                <w:rFonts w:eastAsia="Calibri"/>
                <w:lang w:eastAsia="en-US"/>
              </w:rPr>
              <w:t xml:space="preserve"> Bank AB</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6BF695EB" w14:textId="2306222A" w:rsidR="0049440F" w:rsidRDefault="0049440F" w:rsidP="0049440F">
      <w:r>
        <w:tab/>
      </w:r>
    </w:p>
    <w:tbl>
      <w:tblPr>
        <w:tblW w:w="5351" w:type="pct"/>
        <w:tblInd w:w="-252" w:type="dxa"/>
        <w:tblLook w:val="04A0" w:firstRow="1" w:lastRow="0" w:firstColumn="1" w:lastColumn="0" w:noHBand="0" w:noVBand="1"/>
      </w:tblPr>
      <w:tblGrid>
        <w:gridCol w:w="252"/>
        <w:gridCol w:w="3771"/>
        <w:gridCol w:w="191"/>
        <w:gridCol w:w="953"/>
        <w:gridCol w:w="1361"/>
        <w:gridCol w:w="2929"/>
        <w:gridCol w:w="404"/>
      </w:tblGrid>
      <w:tr w:rsidR="00673DB7" w:rsidRPr="0094717F" w14:paraId="193B20D6" w14:textId="77777777" w:rsidTr="00673DB7">
        <w:trPr>
          <w:gridAfter w:val="1"/>
          <w:wAfter w:w="204" w:type="pct"/>
        </w:trPr>
        <w:tc>
          <w:tcPr>
            <w:tcW w:w="2137" w:type="pct"/>
            <w:gridSpan w:val="3"/>
            <w:shd w:val="clear" w:color="auto" w:fill="auto"/>
          </w:tcPr>
          <w:p w14:paraId="7F01433A" w14:textId="77777777" w:rsidR="00673DB7" w:rsidRPr="0094717F" w:rsidRDefault="00673DB7" w:rsidP="00205D30">
            <w:pPr>
              <w:suppressAutoHyphens/>
              <w:jc w:val="both"/>
              <w:rPr>
                <w:b/>
                <w:lang w:eastAsia="en-US"/>
              </w:rPr>
            </w:pPr>
            <w:r w:rsidRPr="0094717F">
              <w:rPr>
                <w:b/>
                <w:lang w:eastAsia="en-US"/>
              </w:rPr>
              <w:t>PIRKĖJAS</w:t>
            </w:r>
          </w:p>
        </w:tc>
        <w:tc>
          <w:tcPr>
            <w:tcW w:w="483" w:type="pct"/>
            <w:shd w:val="clear" w:color="auto" w:fill="auto"/>
          </w:tcPr>
          <w:p w14:paraId="6E7CF2FE" w14:textId="77777777" w:rsidR="00673DB7" w:rsidRPr="0094717F" w:rsidRDefault="00673DB7" w:rsidP="00205D30">
            <w:pPr>
              <w:suppressAutoHyphens/>
              <w:jc w:val="both"/>
              <w:rPr>
                <w:b/>
                <w:lang w:eastAsia="en-US"/>
              </w:rPr>
            </w:pPr>
          </w:p>
        </w:tc>
        <w:tc>
          <w:tcPr>
            <w:tcW w:w="2175" w:type="pct"/>
            <w:gridSpan w:val="2"/>
            <w:shd w:val="clear" w:color="auto" w:fill="auto"/>
          </w:tcPr>
          <w:p w14:paraId="4A82DBE8" w14:textId="77777777" w:rsidR="00673DB7" w:rsidRPr="0094717F" w:rsidRDefault="00673DB7" w:rsidP="00205D30">
            <w:pPr>
              <w:suppressAutoHyphens/>
              <w:jc w:val="both"/>
              <w:rPr>
                <w:b/>
                <w:lang w:eastAsia="en-US"/>
              </w:rPr>
            </w:pPr>
            <w:r w:rsidRPr="002402AF">
              <w:rPr>
                <w:b/>
              </w:rPr>
              <w:t>PARDAVĖJAS</w:t>
            </w:r>
          </w:p>
        </w:tc>
      </w:tr>
      <w:tr w:rsidR="00673DB7" w:rsidRPr="002402AF" w14:paraId="56D6A20C" w14:textId="77777777" w:rsidTr="00673DB7">
        <w:trPr>
          <w:gridAfter w:val="1"/>
          <w:wAfter w:w="204" w:type="pct"/>
        </w:trPr>
        <w:tc>
          <w:tcPr>
            <w:tcW w:w="2137" w:type="pct"/>
            <w:gridSpan w:val="3"/>
            <w:shd w:val="clear" w:color="auto" w:fill="auto"/>
          </w:tcPr>
          <w:p w14:paraId="0C676525" w14:textId="77777777" w:rsidR="00673DB7" w:rsidRPr="0094717F" w:rsidRDefault="00673DB7" w:rsidP="00205D30">
            <w:pPr>
              <w:suppressAutoHyphens/>
              <w:jc w:val="both"/>
              <w:rPr>
                <w:rFonts w:eastAsia="Arial"/>
                <w:b/>
                <w:lang w:val="en-GB" w:eastAsia="ar-SA"/>
              </w:rPr>
            </w:pPr>
          </w:p>
          <w:p w14:paraId="75A00724" w14:textId="77777777" w:rsidR="00673DB7" w:rsidRPr="0094717F" w:rsidRDefault="00673DB7" w:rsidP="00205D30">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83" w:type="pct"/>
            <w:shd w:val="clear" w:color="auto" w:fill="auto"/>
          </w:tcPr>
          <w:p w14:paraId="173EF3F4" w14:textId="77777777" w:rsidR="00673DB7" w:rsidRPr="0094717F" w:rsidRDefault="00673DB7" w:rsidP="00205D30">
            <w:pPr>
              <w:suppressAutoHyphens/>
              <w:jc w:val="both"/>
              <w:rPr>
                <w:b/>
                <w:lang w:eastAsia="en-US"/>
              </w:rPr>
            </w:pPr>
          </w:p>
        </w:tc>
        <w:tc>
          <w:tcPr>
            <w:tcW w:w="2175" w:type="pct"/>
            <w:gridSpan w:val="2"/>
            <w:shd w:val="clear" w:color="auto" w:fill="auto"/>
          </w:tcPr>
          <w:p w14:paraId="6521A57D" w14:textId="77777777" w:rsidR="00673DB7" w:rsidRPr="002402AF" w:rsidRDefault="00673DB7" w:rsidP="00205D30">
            <w:pPr>
              <w:suppressAutoHyphens/>
              <w:jc w:val="both"/>
              <w:rPr>
                <w:b/>
              </w:rPr>
            </w:pPr>
          </w:p>
        </w:tc>
      </w:tr>
      <w:tr w:rsidR="00673DB7" w:rsidRPr="002402AF" w14:paraId="3BB2ACD7" w14:textId="77777777" w:rsidTr="00673DB7">
        <w:trPr>
          <w:gridAfter w:val="1"/>
          <w:wAfter w:w="204" w:type="pct"/>
        </w:trPr>
        <w:tc>
          <w:tcPr>
            <w:tcW w:w="2137" w:type="pct"/>
            <w:gridSpan w:val="3"/>
            <w:shd w:val="clear" w:color="auto" w:fill="auto"/>
          </w:tcPr>
          <w:p w14:paraId="031386F2" w14:textId="77777777" w:rsidR="00673DB7" w:rsidRPr="0094717F" w:rsidRDefault="00673DB7" w:rsidP="00205D30">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83" w:type="pct"/>
            <w:shd w:val="clear" w:color="auto" w:fill="auto"/>
          </w:tcPr>
          <w:p w14:paraId="1F2CAA90" w14:textId="77777777" w:rsidR="00673DB7" w:rsidRPr="0094717F" w:rsidRDefault="00673DB7" w:rsidP="00205D30">
            <w:pPr>
              <w:suppressAutoHyphens/>
              <w:jc w:val="both"/>
              <w:rPr>
                <w:b/>
                <w:lang w:eastAsia="en-US"/>
              </w:rPr>
            </w:pPr>
          </w:p>
        </w:tc>
        <w:tc>
          <w:tcPr>
            <w:tcW w:w="2175" w:type="pct"/>
            <w:gridSpan w:val="2"/>
            <w:shd w:val="clear" w:color="auto" w:fill="auto"/>
          </w:tcPr>
          <w:p w14:paraId="0F981615" w14:textId="77777777" w:rsidR="00673DB7" w:rsidRPr="002402AF" w:rsidRDefault="00673DB7" w:rsidP="00205D30">
            <w:pPr>
              <w:rPr>
                <w:b/>
              </w:rPr>
            </w:pPr>
            <w:r w:rsidRPr="002402AF">
              <w:rPr>
                <w:b/>
              </w:rPr>
              <w:t>AB ,,</w:t>
            </w:r>
            <w:r>
              <w:rPr>
                <w:b/>
              </w:rPr>
              <w:t>Žemaitijos pienas</w:t>
            </w:r>
            <w:r w:rsidRPr="002402AF">
              <w:rPr>
                <w:b/>
              </w:rPr>
              <w:t>“</w:t>
            </w:r>
          </w:p>
          <w:p w14:paraId="5893DDD9" w14:textId="77777777" w:rsidR="00673DB7" w:rsidRPr="002402AF" w:rsidRDefault="00673DB7" w:rsidP="00205D30">
            <w:pPr>
              <w:rPr>
                <w:b/>
              </w:rPr>
            </w:pPr>
          </w:p>
        </w:tc>
      </w:tr>
      <w:tr w:rsidR="00673DB7" w:rsidRPr="00557283" w14:paraId="737F7294" w14:textId="77777777" w:rsidTr="00673DB7">
        <w:trPr>
          <w:gridAfter w:val="1"/>
          <w:wAfter w:w="204" w:type="pct"/>
        </w:trPr>
        <w:tc>
          <w:tcPr>
            <w:tcW w:w="2137" w:type="pct"/>
            <w:gridSpan w:val="3"/>
            <w:shd w:val="clear" w:color="auto" w:fill="auto"/>
          </w:tcPr>
          <w:p w14:paraId="509D9A3B" w14:textId="77777777" w:rsidR="00673DB7" w:rsidRPr="0094717F" w:rsidRDefault="00673DB7" w:rsidP="00205D30">
            <w:pPr>
              <w:suppressAutoHyphens/>
              <w:jc w:val="both"/>
              <w:rPr>
                <w:lang w:eastAsia="en-US"/>
              </w:rPr>
            </w:pPr>
            <w:proofErr w:type="spellStart"/>
            <w:r w:rsidRPr="0094717F">
              <w:rPr>
                <w:rFonts w:eastAsia="Arial"/>
                <w:lang w:val="en-GB" w:eastAsia="ar-SA"/>
              </w:rPr>
              <w:t>Direktorius</w:t>
            </w:r>
            <w:proofErr w:type="spellEnd"/>
          </w:p>
        </w:tc>
        <w:tc>
          <w:tcPr>
            <w:tcW w:w="483" w:type="pct"/>
            <w:shd w:val="clear" w:color="auto" w:fill="auto"/>
          </w:tcPr>
          <w:p w14:paraId="4932B960" w14:textId="77777777" w:rsidR="00673DB7" w:rsidRPr="0094717F" w:rsidRDefault="00673DB7" w:rsidP="00205D30">
            <w:pPr>
              <w:suppressAutoHyphens/>
              <w:jc w:val="both"/>
              <w:rPr>
                <w:lang w:eastAsia="en-US"/>
              </w:rPr>
            </w:pPr>
          </w:p>
        </w:tc>
        <w:tc>
          <w:tcPr>
            <w:tcW w:w="2175" w:type="pct"/>
            <w:gridSpan w:val="2"/>
            <w:shd w:val="clear" w:color="auto" w:fill="auto"/>
          </w:tcPr>
          <w:p w14:paraId="39FE7FF3" w14:textId="74F0F7FE" w:rsidR="00673DB7" w:rsidRPr="00557283" w:rsidRDefault="00673DB7" w:rsidP="00205D30">
            <w:pPr>
              <w:suppressAutoHyphens/>
              <w:jc w:val="both"/>
            </w:pPr>
          </w:p>
        </w:tc>
      </w:tr>
      <w:tr w:rsidR="00673DB7" w:rsidRPr="002402AF" w14:paraId="54FE9168" w14:textId="77777777" w:rsidTr="00673DB7">
        <w:trPr>
          <w:gridAfter w:val="1"/>
          <w:wAfter w:w="204" w:type="pct"/>
        </w:trPr>
        <w:tc>
          <w:tcPr>
            <w:tcW w:w="2137" w:type="pct"/>
            <w:gridSpan w:val="3"/>
            <w:shd w:val="clear" w:color="auto" w:fill="auto"/>
          </w:tcPr>
          <w:p w14:paraId="7B5B87C8" w14:textId="77777777" w:rsidR="00673DB7" w:rsidRPr="0094717F" w:rsidRDefault="00673DB7" w:rsidP="00205D30">
            <w:pPr>
              <w:suppressAutoHyphens/>
              <w:jc w:val="both"/>
              <w:rPr>
                <w:lang w:eastAsia="en-US"/>
              </w:rPr>
            </w:pPr>
          </w:p>
        </w:tc>
        <w:tc>
          <w:tcPr>
            <w:tcW w:w="483" w:type="pct"/>
            <w:shd w:val="clear" w:color="auto" w:fill="auto"/>
          </w:tcPr>
          <w:p w14:paraId="0174F2C7" w14:textId="77777777" w:rsidR="00673DB7" w:rsidRPr="0094717F" w:rsidRDefault="00673DB7" w:rsidP="00205D30">
            <w:pPr>
              <w:suppressAutoHyphens/>
              <w:jc w:val="both"/>
              <w:rPr>
                <w:lang w:eastAsia="en-US"/>
              </w:rPr>
            </w:pPr>
          </w:p>
        </w:tc>
        <w:tc>
          <w:tcPr>
            <w:tcW w:w="2175" w:type="pct"/>
            <w:gridSpan w:val="2"/>
            <w:shd w:val="clear" w:color="auto" w:fill="auto"/>
          </w:tcPr>
          <w:p w14:paraId="7E927E27" w14:textId="77777777" w:rsidR="00673DB7" w:rsidRPr="002402AF" w:rsidRDefault="00673DB7" w:rsidP="00205D30">
            <w:pPr>
              <w:suppressAutoHyphens/>
              <w:jc w:val="both"/>
            </w:pPr>
          </w:p>
        </w:tc>
      </w:tr>
      <w:tr w:rsidR="00673DB7" w:rsidRPr="002402AF" w14:paraId="5A8287A5" w14:textId="77777777" w:rsidTr="00673DB7">
        <w:trPr>
          <w:gridAfter w:val="1"/>
          <w:wAfter w:w="204" w:type="pct"/>
        </w:trPr>
        <w:tc>
          <w:tcPr>
            <w:tcW w:w="2137" w:type="pct"/>
            <w:gridSpan w:val="3"/>
            <w:shd w:val="clear" w:color="auto" w:fill="auto"/>
          </w:tcPr>
          <w:p w14:paraId="451D3619" w14:textId="77777777" w:rsidR="00673DB7" w:rsidRPr="0094717F" w:rsidRDefault="00673DB7" w:rsidP="00205D30">
            <w:pPr>
              <w:suppressAutoHyphens/>
              <w:jc w:val="both"/>
              <w:rPr>
                <w:lang w:eastAsia="en-US"/>
              </w:rPr>
            </w:pPr>
          </w:p>
        </w:tc>
        <w:tc>
          <w:tcPr>
            <w:tcW w:w="483" w:type="pct"/>
            <w:shd w:val="clear" w:color="auto" w:fill="auto"/>
          </w:tcPr>
          <w:p w14:paraId="0CB12577" w14:textId="77777777" w:rsidR="00673DB7" w:rsidRPr="0094717F" w:rsidRDefault="00673DB7" w:rsidP="00205D30">
            <w:pPr>
              <w:suppressAutoHyphens/>
              <w:jc w:val="both"/>
              <w:rPr>
                <w:lang w:eastAsia="en-US"/>
              </w:rPr>
            </w:pPr>
          </w:p>
        </w:tc>
        <w:tc>
          <w:tcPr>
            <w:tcW w:w="2175" w:type="pct"/>
            <w:gridSpan w:val="2"/>
            <w:shd w:val="clear" w:color="auto" w:fill="auto"/>
          </w:tcPr>
          <w:p w14:paraId="02F70B8B" w14:textId="77777777" w:rsidR="00673DB7" w:rsidRPr="002402AF" w:rsidRDefault="00673DB7" w:rsidP="00205D30">
            <w:pPr>
              <w:suppressAutoHyphens/>
              <w:jc w:val="both"/>
            </w:pPr>
          </w:p>
        </w:tc>
      </w:tr>
      <w:tr w:rsidR="00673DB7" w:rsidRPr="002402AF" w14:paraId="36EB3DBD" w14:textId="77777777" w:rsidTr="00673DB7">
        <w:trPr>
          <w:gridAfter w:val="1"/>
          <w:wAfter w:w="204" w:type="pct"/>
        </w:trPr>
        <w:tc>
          <w:tcPr>
            <w:tcW w:w="2137" w:type="pct"/>
            <w:gridSpan w:val="3"/>
            <w:shd w:val="clear" w:color="auto" w:fill="auto"/>
          </w:tcPr>
          <w:p w14:paraId="5C9AAEF7" w14:textId="5B66D49E" w:rsidR="00673DB7" w:rsidRPr="0094717F" w:rsidRDefault="00673DB7" w:rsidP="00205D30">
            <w:pPr>
              <w:suppressAutoHyphens/>
              <w:jc w:val="both"/>
              <w:rPr>
                <w:lang w:eastAsia="en-US"/>
              </w:rPr>
            </w:pPr>
          </w:p>
        </w:tc>
        <w:tc>
          <w:tcPr>
            <w:tcW w:w="483" w:type="pct"/>
            <w:shd w:val="clear" w:color="auto" w:fill="auto"/>
          </w:tcPr>
          <w:p w14:paraId="35372B66" w14:textId="77777777" w:rsidR="00673DB7" w:rsidRPr="0094717F" w:rsidRDefault="00673DB7" w:rsidP="00205D30">
            <w:pPr>
              <w:suppressAutoHyphens/>
              <w:jc w:val="both"/>
              <w:rPr>
                <w:lang w:eastAsia="en-US"/>
              </w:rPr>
            </w:pPr>
          </w:p>
        </w:tc>
        <w:tc>
          <w:tcPr>
            <w:tcW w:w="2175" w:type="pct"/>
            <w:gridSpan w:val="2"/>
            <w:shd w:val="clear" w:color="auto" w:fill="auto"/>
          </w:tcPr>
          <w:p w14:paraId="2088B096" w14:textId="2959CBEC" w:rsidR="00673DB7" w:rsidRPr="002402AF" w:rsidRDefault="00673DB7" w:rsidP="00205D30">
            <w:pPr>
              <w:suppressAutoHyphens/>
              <w:jc w:val="both"/>
            </w:pPr>
          </w:p>
        </w:tc>
      </w:tr>
      <w:tr w:rsidR="00673DB7" w:rsidRPr="002402AF" w14:paraId="04BE227F" w14:textId="77777777" w:rsidTr="00673DB7">
        <w:trPr>
          <w:gridAfter w:val="1"/>
          <w:wAfter w:w="204" w:type="pct"/>
        </w:trPr>
        <w:tc>
          <w:tcPr>
            <w:tcW w:w="2137" w:type="pct"/>
            <w:gridSpan w:val="3"/>
            <w:shd w:val="clear" w:color="auto" w:fill="auto"/>
          </w:tcPr>
          <w:p w14:paraId="79AC4DEE" w14:textId="77777777" w:rsidR="00673DB7" w:rsidRPr="0094717F" w:rsidRDefault="00673DB7" w:rsidP="00205D30">
            <w:pPr>
              <w:suppressAutoHyphens/>
              <w:jc w:val="both"/>
              <w:rPr>
                <w:lang w:eastAsia="en-US"/>
              </w:rPr>
            </w:pPr>
          </w:p>
        </w:tc>
        <w:tc>
          <w:tcPr>
            <w:tcW w:w="483" w:type="pct"/>
            <w:shd w:val="clear" w:color="auto" w:fill="auto"/>
          </w:tcPr>
          <w:p w14:paraId="62368E3B" w14:textId="77777777" w:rsidR="00673DB7" w:rsidRPr="0094717F" w:rsidRDefault="00673DB7" w:rsidP="00205D30">
            <w:pPr>
              <w:suppressAutoHyphens/>
              <w:jc w:val="both"/>
              <w:rPr>
                <w:lang w:eastAsia="en-US"/>
              </w:rPr>
            </w:pPr>
          </w:p>
        </w:tc>
        <w:tc>
          <w:tcPr>
            <w:tcW w:w="2175" w:type="pct"/>
            <w:gridSpan w:val="2"/>
            <w:shd w:val="clear" w:color="auto" w:fill="auto"/>
          </w:tcPr>
          <w:p w14:paraId="61FB677D" w14:textId="77777777" w:rsidR="00673DB7" w:rsidRPr="002402AF" w:rsidRDefault="00673DB7" w:rsidP="00205D30">
            <w:pPr>
              <w:suppressAutoHyphens/>
              <w:jc w:val="both"/>
            </w:pPr>
          </w:p>
        </w:tc>
      </w:tr>
      <w:tr w:rsidR="00477117" w:rsidRPr="00BD57A6" w14:paraId="04945E88" w14:textId="77777777" w:rsidTr="00673DB7">
        <w:trPr>
          <w:gridBefore w:val="1"/>
          <w:wBefore w:w="128" w:type="pct"/>
        </w:trPr>
        <w:tc>
          <w:tcPr>
            <w:tcW w:w="1912" w:type="pct"/>
            <w:shd w:val="clear" w:color="auto" w:fill="auto"/>
          </w:tcPr>
          <w:p w14:paraId="6F4FDC17" w14:textId="2B1C7D57" w:rsidR="00477117" w:rsidRPr="00BD57A6" w:rsidRDefault="00477117" w:rsidP="000D179A">
            <w:pPr>
              <w:widowControl w:val="0"/>
              <w:suppressAutoHyphens/>
              <w:jc w:val="both"/>
              <w:rPr>
                <w:rFonts w:eastAsia="Arial Unicode MS"/>
                <w:b/>
                <w:color w:val="000000"/>
                <w:lang w:eastAsia="en-US" w:bidi="lt-LT"/>
              </w:rPr>
            </w:pPr>
          </w:p>
        </w:tc>
        <w:tc>
          <w:tcPr>
            <w:tcW w:w="1270" w:type="pct"/>
            <w:gridSpan w:val="3"/>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691" w:type="pct"/>
            <w:gridSpan w:val="2"/>
            <w:shd w:val="clear" w:color="auto" w:fill="auto"/>
          </w:tcPr>
          <w:p w14:paraId="3A4BAF64" w14:textId="2651CC6F" w:rsidR="00477117" w:rsidRPr="00BD57A6" w:rsidRDefault="00477117" w:rsidP="000D179A">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tbl>
      <w:tblPr>
        <w:tblW w:w="5132" w:type="pct"/>
        <w:tblInd w:w="-252" w:type="dxa"/>
        <w:tblLook w:val="04A0" w:firstRow="1" w:lastRow="0" w:firstColumn="1" w:lastColumn="0" w:noHBand="0" w:noVBand="1"/>
      </w:tblPr>
      <w:tblGrid>
        <w:gridCol w:w="4214"/>
        <w:gridCol w:w="953"/>
        <w:gridCol w:w="4290"/>
      </w:tblGrid>
      <w:tr w:rsidR="00673DB7" w:rsidRPr="0094717F" w14:paraId="36BD3348" w14:textId="77777777" w:rsidTr="00205D30">
        <w:tc>
          <w:tcPr>
            <w:tcW w:w="2152" w:type="pct"/>
            <w:shd w:val="clear" w:color="auto" w:fill="auto"/>
          </w:tcPr>
          <w:p w14:paraId="5BE01528" w14:textId="77777777" w:rsidR="00673DB7" w:rsidRPr="0094717F" w:rsidRDefault="00673DB7" w:rsidP="00205D30">
            <w:pPr>
              <w:suppressAutoHyphens/>
              <w:jc w:val="both"/>
              <w:rPr>
                <w:b/>
                <w:lang w:eastAsia="en-US"/>
              </w:rPr>
            </w:pPr>
            <w:r w:rsidRPr="0094717F">
              <w:rPr>
                <w:b/>
                <w:lang w:eastAsia="en-US"/>
              </w:rPr>
              <w:t>PIRKĖJAS</w:t>
            </w:r>
          </w:p>
        </w:tc>
        <w:tc>
          <w:tcPr>
            <w:tcW w:w="487" w:type="pct"/>
            <w:shd w:val="clear" w:color="auto" w:fill="auto"/>
          </w:tcPr>
          <w:p w14:paraId="3E988476" w14:textId="77777777" w:rsidR="00673DB7" w:rsidRPr="0094717F" w:rsidRDefault="00673DB7" w:rsidP="00205D30">
            <w:pPr>
              <w:suppressAutoHyphens/>
              <w:jc w:val="both"/>
              <w:rPr>
                <w:b/>
                <w:lang w:eastAsia="en-US"/>
              </w:rPr>
            </w:pPr>
          </w:p>
        </w:tc>
        <w:tc>
          <w:tcPr>
            <w:tcW w:w="2190" w:type="pct"/>
            <w:shd w:val="clear" w:color="auto" w:fill="auto"/>
          </w:tcPr>
          <w:p w14:paraId="7C1E700A" w14:textId="77777777" w:rsidR="00673DB7" w:rsidRPr="0094717F" w:rsidRDefault="00673DB7" w:rsidP="00205D30">
            <w:pPr>
              <w:suppressAutoHyphens/>
              <w:jc w:val="both"/>
              <w:rPr>
                <w:b/>
                <w:lang w:eastAsia="en-US"/>
              </w:rPr>
            </w:pPr>
            <w:r w:rsidRPr="002402AF">
              <w:rPr>
                <w:b/>
              </w:rPr>
              <w:t>PARDAVĖJAS</w:t>
            </w:r>
          </w:p>
        </w:tc>
      </w:tr>
      <w:tr w:rsidR="00673DB7" w:rsidRPr="002402AF" w14:paraId="5C174330" w14:textId="77777777" w:rsidTr="00205D30">
        <w:tc>
          <w:tcPr>
            <w:tcW w:w="2152" w:type="pct"/>
            <w:shd w:val="clear" w:color="auto" w:fill="auto"/>
          </w:tcPr>
          <w:p w14:paraId="1365308B" w14:textId="77777777" w:rsidR="00673DB7" w:rsidRPr="0094717F" w:rsidRDefault="00673DB7" w:rsidP="00205D30">
            <w:pPr>
              <w:suppressAutoHyphens/>
              <w:jc w:val="both"/>
              <w:rPr>
                <w:rFonts w:eastAsia="Arial"/>
                <w:b/>
                <w:lang w:val="en-GB" w:eastAsia="ar-SA"/>
              </w:rPr>
            </w:pPr>
          </w:p>
          <w:p w14:paraId="2C0400BD" w14:textId="77777777" w:rsidR="00673DB7" w:rsidRPr="0094717F" w:rsidRDefault="00673DB7" w:rsidP="00205D30">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87" w:type="pct"/>
            <w:shd w:val="clear" w:color="auto" w:fill="auto"/>
          </w:tcPr>
          <w:p w14:paraId="309D2E00" w14:textId="77777777" w:rsidR="00673DB7" w:rsidRPr="0094717F" w:rsidRDefault="00673DB7" w:rsidP="00205D30">
            <w:pPr>
              <w:suppressAutoHyphens/>
              <w:jc w:val="both"/>
              <w:rPr>
                <w:b/>
                <w:lang w:eastAsia="en-US"/>
              </w:rPr>
            </w:pPr>
          </w:p>
        </w:tc>
        <w:tc>
          <w:tcPr>
            <w:tcW w:w="2190" w:type="pct"/>
            <w:shd w:val="clear" w:color="auto" w:fill="auto"/>
          </w:tcPr>
          <w:p w14:paraId="18FA7997" w14:textId="77777777" w:rsidR="00673DB7" w:rsidRPr="002402AF" w:rsidRDefault="00673DB7" w:rsidP="00205D30">
            <w:pPr>
              <w:suppressAutoHyphens/>
              <w:jc w:val="both"/>
              <w:rPr>
                <w:b/>
              </w:rPr>
            </w:pPr>
          </w:p>
        </w:tc>
      </w:tr>
      <w:tr w:rsidR="00673DB7" w:rsidRPr="002402AF" w14:paraId="74C9D65D" w14:textId="77777777" w:rsidTr="00205D30">
        <w:tc>
          <w:tcPr>
            <w:tcW w:w="2152" w:type="pct"/>
            <w:shd w:val="clear" w:color="auto" w:fill="auto"/>
          </w:tcPr>
          <w:p w14:paraId="03795E29" w14:textId="77777777" w:rsidR="00673DB7" w:rsidRPr="0094717F" w:rsidRDefault="00673DB7" w:rsidP="00205D30">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87" w:type="pct"/>
            <w:shd w:val="clear" w:color="auto" w:fill="auto"/>
          </w:tcPr>
          <w:p w14:paraId="621DF693" w14:textId="77777777" w:rsidR="00673DB7" w:rsidRPr="0094717F" w:rsidRDefault="00673DB7" w:rsidP="00205D30">
            <w:pPr>
              <w:suppressAutoHyphens/>
              <w:jc w:val="both"/>
              <w:rPr>
                <w:b/>
                <w:lang w:eastAsia="en-US"/>
              </w:rPr>
            </w:pPr>
          </w:p>
        </w:tc>
        <w:tc>
          <w:tcPr>
            <w:tcW w:w="2190" w:type="pct"/>
            <w:shd w:val="clear" w:color="auto" w:fill="auto"/>
          </w:tcPr>
          <w:p w14:paraId="328961A2" w14:textId="77777777" w:rsidR="00673DB7" w:rsidRPr="002402AF" w:rsidRDefault="00673DB7" w:rsidP="00205D30">
            <w:pPr>
              <w:rPr>
                <w:b/>
              </w:rPr>
            </w:pPr>
            <w:r w:rsidRPr="002402AF">
              <w:rPr>
                <w:b/>
              </w:rPr>
              <w:t>AB ,,</w:t>
            </w:r>
            <w:r>
              <w:rPr>
                <w:b/>
              </w:rPr>
              <w:t>Žemaitijos pienas</w:t>
            </w:r>
            <w:r w:rsidRPr="002402AF">
              <w:rPr>
                <w:b/>
              </w:rPr>
              <w:t>“</w:t>
            </w:r>
          </w:p>
          <w:p w14:paraId="5B7363D5" w14:textId="77777777" w:rsidR="00673DB7" w:rsidRPr="002402AF" w:rsidRDefault="00673DB7" w:rsidP="00205D30">
            <w:pPr>
              <w:rPr>
                <w:b/>
              </w:rPr>
            </w:pPr>
          </w:p>
        </w:tc>
      </w:tr>
      <w:tr w:rsidR="00673DB7" w:rsidRPr="00557283" w14:paraId="7E5065F4" w14:textId="77777777" w:rsidTr="00205D30">
        <w:tc>
          <w:tcPr>
            <w:tcW w:w="2152" w:type="pct"/>
            <w:shd w:val="clear" w:color="auto" w:fill="auto"/>
          </w:tcPr>
          <w:p w14:paraId="7E31B4E1" w14:textId="3D5AB832" w:rsidR="00673DB7" w:rsidRPr="0094717F" w:rsidRDefault="00673DB7" w:rsidP="00205D30">
            <w:pPr>
              <w:suppressAutoHyphens/>
              <w:jc w:val="both"/>
              <w:rPr>
                <w:lang w:eastAsia="en-US"/>
              </w:rPr>
            </w:pPr>
            <w:bookmarkStart w:id="0" w:name="_GoBack"/>
            <w:bookmarkEnd w:id="0"/>
          </w:p>
        </w:tc>
        <w:tc>
          <w:tcPr>
            <w:tcW w:w="487" w:type="pct"/>
            <w:shd w:val="clear" w:color="auto" w:fill="auto"/>
          </w:tcPr>
          <w:p w14:paraId="53F508C2" w14:textId="77777777" w:rsidR="00673DB7" w:rsidRPr="0094717F" w:rsidRDefault="00673DB7" w:rsidP="00205D30">
            <w:pPr>
              <w:suppressAutoHyphens/>
              <w:jc w:val="both"/>
              <w:rPr>
                <w:lang w:eastAsia="en-US"/>
              </w:rPr>
            </w:pPr>
          </w:p>
        </w:tc>
        <w:tc>
          <w:tcPr>
            <w:tcW w:w="2190" w:type="pct"/>
            <w:shd w:val="clear" w:color="auto" w:fill="auto"/>
          </w:tcPr>
          <w:p w14:paraId="7A5DDF67" w14:textId="12F7894B" w:rsidR="00673DB7" w:rsidRPr="00557283" w:rsidRDefault="00673DB7" w:rsidP="00205D30">
            <w:pPr>
              <w:suppressAutoHyphens/>
              <w:jc w:val="both"/>
            </w:pPr>
          </w:p>
        </w:tc>
      </w:tr>
      <w:tr w:rsidR="00673DB7" w:rsidRPr="002402AF" w14:paraId="3E339850" w14:textId="77777777" w:rsidTr="00205D30">
        <w:tc>
          <w:tcPr>
            <w:tcW w:w="2152" w:type="pct"/>
            <w:shd w:val="clear" w:color="auto" w:fill="auto"/>
          </w:tcPr>
          <w:p w14:paraId="6D644570" w14:textId="77777777" w:rsidR="00673DB7" w:rsidRPr="0094717F" w:rsidRDefault="00673DB7" w:rsidP="00205D30">
            <w:pPr>
              <w:suppressAutoHyphens/>
              <w:jc w:val="both"/>
              <w:rPr>
                <w:lang w:eastAsia="en-US"/>
              </w:rPr>
            </w:pPr>
          </w:p>
        </w:tc>
        <w:tc>
          <w:tcPr>
            <w:tcW w:w="487" w:type="pct"/>
            <w:shd w:val="clear" w:color="auto" w:fill="auto"/>
          </w:tcPr>
          <w:p w14:paraId="3AC8C702" w14:textId="77777777" w:rsidR="00673DB7" w:rsidRPr="0094717F" w:rsidRDefault="00673DB7" w:rsidP="00205D30">
            <w:pPr>
              <w:suppressAutoHyphens/>
              <w:jc w:val="both"/>
              <w:rPr>
                <w:lang w:eastAsia="en-US"/>
              </w:rPr>
            </w:pPr>
          </w:p>
        </w:tc>
        <w:tc>
          <w:tcPr>
            <w:tcW w:w="2190" w:type="pct"/>
            <w:shd w:val="clear" w:color="auto" w:fill="auto"/>
          </w:tcPr>
          <w:p w14:paraId="4387722A" w14:textId="77777777" w:rsidR="00673DB7" w:rsidRPr="002402AF" w:rsidRDefault="00673DB7" w:rsidP="00205D30">
            <w:pPr>
              <w:suppressAutoHyphens/>
              <w:jc w:val="both"/>
            </w:pPr>
          </w:p>
        </w:tc>
      </w:tr>
      <w:tr w:rsidR="00673DB7" w:rsidRPr="002402AF" w14:paraId="1DE6AB92" w14:textId="77777777" w:rsidTr="00205D30">
        <w:tc>
          <w:tcPr>
            <w:tcW w:w="2152" w:type="pct"/>
            <w:shd w:val="clear" w:color="auto" w:fill="auto"/>
          </w:tcPr>
          <w:p w14:paraId="5C6713D8" w14:textId="77777777" w:rsidR="00673DB7" w:rsidRPr="0094717F" w:rsidRDefault="00673DB7" w:rsidP="00205D30">
            <w:pPr>
              <w:suppressAutoHyphens/>
              <w:jc w:val="both"/>
              <w:rPr>
                <w:lang w:eastAsia="en-US"/>
              </w:rPr>
            </w:pPr>
          </w:p>
        </w:tc>
        <w:tc>
          <w:tcPr>
            <w:tcW w:w="487" w:type="pct"/>
            <w:shd w:val="clear" w:color="auto" w:fill="auto"/>
          </w:tcPr>
          <w:p w14:paraId="79713D0D" w14:textId="77777777" w:rsidR="00673DB7" w:rsidRPr="0094717F" w:rsidRDefault="00673DB7" w:rsidP="00205D30">
            <w:pPr>
              <w:suppressAutoHyphens/>
              <w:jc w:val="both"/>
              <w:rPr>
                <w:lang w:eastAsia="en-US"/>
              </w:rPr>
            </w:pPr>
          </w:p>
        </w:tc>
        <w:tc>
          <w:tcPr>
            <w:tcW w:w="2190" w:type="pct"/>
            <w:shd w:val="clear" w:color="auto" w:fill="auto"/>
          </w:tcPr>
          <w:p w14:paraId="08401808" w14:textId="77777777" w:rsidR="00673DB7" w:rsidRPr="002402AF" w:rsidRDefault="00673DB7" w:rsidP="00205D30">
            <w:pPr>
              <w:suppressAutoHyphens/>
              <w:jc w:val="both"/>
            </w:pPr>
          </w:p>
        </w:tc>
      </w:tr>
      <w:tr w:rsidR="00673DB7" w:rsidRPr="002402AF" w14:paraId="0F291BA7" w14:textId="77777777" w:rsidTr="00205D30">
        <w:tc>
          <w:tcPr>
            <w:tcW w:w="2152" w:type="pct"/>
            <w:shd w:val="clear" w:color="auto" w:fill="auto"/>
          </w:tcPr>
          <w:p w14:paraId="3550D083" w14:textId="63517685" w:rsidR="00673DB7" w:rsidRPr="0094717F" w:rsidRDefault="00673DB7" w:rsidP="00205D30">
            <w:pPr>
              <w:suppressAutoHyphens/>
              <w:jc w:val="both"/>
              <w:rPr>
                <w:lang w:eastAsia="en-US"/>
              </w:rPr>
            </w:pPr>
          </w:p>
        </w:tc>
        <w:tc>
          <w:tcPr>
            <w:tcW w:w="487" w:type="pct"/>
            <w:shd w:val="clear" w:color="auto" w:fill="auto"/>
          </w:tcPr>
          <w:p w14:paraId="785C0E93" w14:textId="77777777" w:rsidR="00673DB7" w:rsidRPr="0094717F" w:rsidRDefault="00673DB7" w:rsidP="00205D30">
            <w:pPr>
              <w:suppressAutoHyphens/>
              <w:jc w:val="both"/>
              <w:rPr>
                <w:lang w:eastAsia="en-US"/>
              </w:rPr>
            </w:pPr>
          </w:p>
        </w:tc>
        <w:tc>
          <w:tcPr>
            <w:tcW w:w="2190" w:type="pct"/>
            <w:shd w:val="clear" w:color="auto" w:fill="auto"/>
          </w:tcPr>
          <w:p w14:paraId="7EA80733" w14:textId="5C59279C" w:rsidR="00673DB7" w:rsidRPr="002402AF" w:rsidRDefault="00673DB7" w:rsidP="00205D30">
            <w:pPr>
              <w:suppressAutoHyphens/>
              <w:jc w:val="both"/>
            </w:pPr>
          </w:p>
        </w:tc>
      </w:tr>
      <w:tr w:rsidR="00673DB7" w:rsidRPr="002402AF" w14:paraId="02F35CC2" w14:textId="77777777" w:rsidTr="00205D30">
        <w:tc>
          <w:tcPr>
            <w:tcW w:w="2152" w:type="pct"/>
            <w:shd w:val="clear" w:color="auto" w:fill="auto"/>
          </w:tcPr>
          <w:p w14:paraId="37168D57" w14:textId="77777777" w:rsidR="00673DB7" w:rsidRPr="0094717F" w:rsidRDefault="00673DB7" w:rsidP="00205D30">
            <w:pPr>
              <w:suppressAutoHyphens/>
              <w:jc w:val="both"/>
              <w:rPr>
                <w:lang w:eastAsia="en-US"/>
              </w:rPr>
            </w:pPr>
          </w:p>
        </w:tc>
        <w:tc>
          <w:tcPr>
            <w:tcW w:w="487" w:type="pct"/>
            <w:shd w:val="clear" w:color="auto" w:fill="auto"/>
          </w:tcPr>
          <w:p w14:paraId="77391ADE" w14:textId="77777777" w:rsidR="00673DB7" w:rsidRPr="0094717F" w:rsidRDefault="00673DB7" w:rsidP="00205D30">
            <w:pPr>
              <w:suppressAutoHyphens/>
              <w:jc w:val="both"/>
              <w:rPr>
                <w:lang w:eastAsia="en-US"/>
              </w:rPr>
            </w:pPr>
          </w:p>
        </w:tc>
        <w:tc>
          <w:tcPr>
            <w:tcW w:w="2190" w:type="pct"/>
            <w:shd w:val="clear" w:color="auto" w:fill="auto"/>
          </w:tcPr>
          <w:p w14:paraId="64C8B5CD" w14:textId="77777777" w:rsidR="00673DB7" w:rsidRPr="002402AF" w:rsidRDefault="00673DB7" w:rsidP="00205D30">
            <w:pPr>
              <w:suppressAutoHyphens/>
              <w:jc w:val="both"/>
            </w:pPr>
          </w:p>
        </w:tc>
      </w:tr>
    </w:tbl>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6E383F89" w14:textId="737EA07F" w:rsidR="00477117" w:rsidRPr="00BD57A6" w:rsidRDefault="00477117" w:rsidP="000D179A">
            <w:pPr>
              <w:widowControl w:val="0"/>
              <w:suppressAutoHyphens/>
              <w:jc w:val="both"/>
              <w:rPr>
                <w:rFonts w:eastAsia="Arial Unicode MS"/>
                <w:b/>
                <w:color w:val="000000"/>
                <w:lang w:eastAsia="en-US" w:bidi="lt-LT"/>
              </w:rPr>
            </w:pP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069100BE" w14:textId="6EACBA94" w:rsidR="00477117" w:rsidRPr="00BD57A6" w:rsidRDefault="00477117" w:rsidP="000D179A">
            <w:pPr>
              <w:widowControl w:val="0"/>
              <w:suppressAutoHyphens/>
              <w:jc w:val="both"/>
              <w:rPr>
                <w:rFonts w:eastAsia="Arial Unicode MS"/>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220"/>
    <w:rsid w:val="00164ED9"/>
    <w:rsid w:val="00164FA0"/>
    <w:rsid w:val="00170B15"/>
    <w:rsid w:val="00171524"/>
    <w:rsid w:val="001724C1"/>
    <w:rsid w:val="00172F4B"/>
    <w:rsid w:val="00173548"/>
    <w:rsid w:val="00173E6E"/>
    <w:rsid w:val="00174CEB"/>
    <w:rsid w:val="001819A9"/>
    <w:rsid w:val="00185C9A"/>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125"/>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6D3"/>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1973"/>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28DC"/>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3DB7"/>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29D4"/>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8BC"/>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A6C"/>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B832B-72FE-4C62-994A-F998A227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17</Pages>
  <Words>7695</Words>
  <Characters>55063</Characters>
  <Application>Microsoft Office Word</Application>
  <DocSecurity>0</DocSecurity>
  <Lines>458</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62633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27</cp:revision>
  <cp:lastPrinted>2023-08-08T11:41:00Z</cp:lastPrinted>
  <dcterms:created xsi:type="dcterms:W3CDTF">2023-07-24T07:26:00Z</dcterms:created>
  <dcterms:modified xsi:type="dcterms:W3CDTF">2024-08-02T10:06:00Z</dcterms:modified>
</cp:coreProperties>
</file>