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0F4EB13E"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 xml:space="preserve">4 m. </w:t>
      </w:r>
      <w:r w:rsidR="00D10109">
        <w:rPr>
          <w:rFonts w:ascii="Arial" w:hAnsi="Arial" w:cs="Arial"/>
          <w:sz w:val="22"/>
          <w:szCs w:val="22"/>
        </w:rPr>
        <w:t>kovo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4950CB7E"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C20751">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C20751">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C20751">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C20751">
        <w:rPr>
          <w:rFonts w:ascii="Arial" w:eastAsia="Times New Roman" w:hAnsi="Arial" w:cs="Arial"/>
          <w:iCs/>
          <w:color w:val="000000" w:themeColor="text1"/>
          <w:sz w:val="22"/>
          <w:szCs w:val="22"/>
        </w:rPr>
        <w:t xml:space="preserve">(toliau – </w:t>
      </w:r>
      <w:r w:rsidRPr="00C20751">
        <w:rPr>
          <w:rFonts w:ascii="Arial" w:eastAsia="Times New Roman" w:hAnsi="Arial" w:cs="Arial"/>
          <w:b/>
          <w:iCs/>
          <w:color w:val="000000" w:themeColor="text1"/>
          <w:sz w:val="22"/>
          <w:szCs w:val="22"/>
        </w:rPr>
        <w:t>Užsakovas</w:t>
      </w:r>
      <w:r w:rsidRPr="00C20751">
        <w:rPr>
          <w:rFonts w:ascii="Arial" w:eastAsia="Times New Roman" w:hAnsi="Arial" w:cs="Arial"/>
          <w:iCs/>
          <w:color w:val="000000" w:themeColor="text1"/>
          <w:sz w:val="22"/>
          <w:szCs w:val="22"/>
        </w:rPr>
        <w:t xml:space="preserve">), </w:t>
      </w:r>
    </w:p>
    <w:p w14:paraId="0CB4EF39" w14:textId="77777777" w:rsidR="003E75A9" w:rsidRPr="00C20751"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C20751">
        <w:rPr>
          <w:rFonts w:ascii="Arial" w:eastAsia="Times New Roman" w:hAnsi="Arial" w:cs="Arial"/>
          <w:iCs/>
          <w:color w:val="000000" w:themeColor="text1"/>
          <w:sz w:val="22"/>
          <w:szCs w:val="22"/>
        </w:rPr>
        <w:t xml:space="preserve">ir </w:t>
      </w:r>
    </w:p>
    <w:p w14:paraId="144A268A" w14:textId="484650DB" w:rsidR="003E75A9" w:rsidRPr="00A95253" w:rsidRDefault="004F004D" w:rsidP="004F004D">
      <w:pPr>
        <w:shd w:val="clear" w:color="auto" w:fill="FFFFFF" w:themeFill="background1"/>
        <w:jc w:val="both"/>
        <w:rPr>
          <w:rFonts w:ascii="Arial" w:eastAsia="Times New Roman" w:hAnsi="Arial" w:cs="Arial"/>
          <w:sz w:val="22"/>
          <w:szCs w:val="22"/>
        </w:rPr>
      </w:pPr>
      <w:r>
        <w:rPr>
          <w:rFonts w:ascii="Arial" w:eastAsia="Times New Roman" w:hAnsi="Arial" w:cs="Arial"/>
          <w:sz w:val="22"/>
          <w:szCs w:val="22"/>
        </w:rPr>
        <w:t>M</w:t>
      </w:r>
      <w:r w:rsidR="004B2DBA">
        <w:rPr>
          <w:rFonts w:ascii="Arial" w:eastAsia="Times New Roman" w:hAnsi="Arial" w:cs="Arial"/>
          <w:sz w:val="22"/>
          <w:szCs w:val="22"/>
        </w:rPr>
        <w:t>B</w:t>
      </w:r>
      <w:r w:rsidR="003E75A9" w:rsidRPr="00C20751">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004C19F1" w:rsidRPr="00C20751">
        <w:rPr>
          <w:rFonts w:ascii="Arial" w:eastAsia="Times New Roman" w:hAnsi="Arial" w:cs="Arial"/>
          <w:sz w:val="22"/>
          <w:szCs w:val="22"/>
        </w:rPr>
        <w:t xml:space="preserve"> kodas</w:t>
      </w:r>
      <w:r w:rsidR="003E75A9" w:rsidRPr="00C20751">
        <w:rPr>
          <w:rFonts w:ascii="Arial" w:eastAsia="Times New Roman" w:hAnsi="Arial" w:cs="Arial"/>
          <w:sz w:val="22"/>
          <w:szCs w:val="22"/>
        </w:rPr>
        <w:t>,</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004C19F1" w:rsidRPr="00C20751">
        <w:rPr>
          <w:rFonts w:ascii="Arial" w:eastAsia="Times New Roman" w:hAnsi="Arial" w:cs="Arial"/>
          <w:sz w:val="22"/>
          <w:szCs w:val="22"/>
        </w:rPr>
        <w:t>direktor</w:t>
      </w:r>
      <w:r w:rsidR="004F4A60">
        <w:rPr>
          <w:rFonts w:ascii="Arial" w:eastAsia="Times New Roman" w:hAnsi="Arial" w:cs="Arial"/>
          <w:sz w:val="22"/>
          <w:szCs w:val="22"/>
        </w:rPr>
        <w:t>iaus</w:t>
      </w:r>
      <w:r w:rsidR="004C19F1" w:rsidRPr="00C20751">
        <w:rPr>
          <w:rFonts w:ascii="Arial" w:eastAsia="Times New Roman" w:hAnsi="Arial" w:cs="Arial"/>
          <w:sz w:val="22"/>
          <w:szCs w:val="22"/>
        </w:rPr>
        <w:t xml:space="preserve">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r>
        <w:rPr>
          <w:rFonts w:ascii="Arial" w:eastAsia="Times New Roman" w:hAnsi="Arial" w:cs="Arial"/>
          <w:sz w:val="22"/>
          <w:szCs w:val="22"/>
        </w:rPr>
        <w:t>bendrijos</w:t>
      </w:r>
      <w:r w:rsidR="00CA0E8B">
        <w:rPr>
          <w:rFonts w:ascii="Arial" w:eastAsia="Times New Roman" w:hAnsi="Arial" w:cs="Arial"/>
          <w:sz w:val="22"/>
          <w:szCs w:val="22"/>
        </w:rPr>
        <w:t xml:space="preserve"> nuo</w:t>
      </w:r>
      <w:r w:rsidR="00FF2C0B" w:rsidRPr="00C20751">
        <w:rPr>
          <w:rFonts w:ascii="Arial" w:eastAsia="Times New Roman" w:hAnsi="Arial" w:cs="Arial"/>
          <w:sz w:val="22"/>
          <w:szCs w:val="22"/>
        </w:rPr>
        <w:t>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C20751">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2A5A96EB"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3024B376"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w:t>
      </w:r>
      <w:r w:rsidR="008A1E22">
        <w:rPr>
          <w:rFonts w:ascii="Arial" w:hAnsi="Arial" w:cs="Arial"/>
          <w:sz w:val="22"/>
          <w:szCs w:val="22"/>
          <w:lang w:val="lt-LT"/>
        </w:rPr>
        <w:t xml:space="preserve">Nr. </w:t>
      </w:r>
      <w:r w:rsidR="00606896">
        <w:rPr>
          <w:rFonts w:ascii="Arial" w:hAnsi="Arial" w:cs="Arial"/>
          <w:sz w:val="22"/>
          <w:szCs w:val="22"/>
          <w:lang w:val="lt-LT"/>
        </w:rPr>
        <w:t>9</w:t>
      </w:r>
      <w:r w:rsidR="00D06759">
        <w:rPr>
          <w:rFonts w:ascii="Arial" w:hAnsi="Arial" w:cs="Arial"/>
          <w:sz w:val="22"/>
          <w:szCs w:val="22"/>
          <w:lang w:val="lt-LT"/>
        </w:rPr>
        <w:t>1</w:t>
      </w:r>
      <w:r w:rsidR="00D10109"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2EB91046" w14:textId="152AC83E" w:rsidR="00AC5EF4" w:rsidRDefault="009A0F28" w:rsidP="00E0124A">
      <w:pPr>
        <w:pStyle w:val="Antrat2"/>
        <w:numPr>
          <w:ilvl w:val="0"/>
          <w:numId w:val="0"/>
        </w:numPr>
        <w:spacing w:before="0"/>
        <w:ind w:firstLine="567"/>
        <w:rPr>
          <w:rFonts w:ascii="Arial" w:hAnsi="Arial" w:cs="Arial"/>
          <w:b/>
          <w:sz w:val="22"/>
          <w:szCs w:val="22"/>
          <w:lang w:val="lt-LT"/>
        </w:rPr>
      </w:pPr>
      <w:r w:rsidRPr="00C20751">
        <w:rPr>
          <w:rFonts w:ascii="Arial" w:eastAsia="Times New Roman" w:hAnsi="Arial" w:cs="Arial"/>
          <w:b/>
          <w:sz w:val="22"/>
          <w:szCs w:val="22"/>
          <w:lang w:eastAsia="lt-LT"/>
        </w:rPr>
        <w:t>1.1.1.</w:t>
      </w:r>
      <w:r w:rsidR="00010FDA" w:rsidRPr="00C20751">
        <w:rPr>
          <w:rFonts w:ascii="Arial" w:eastAsia="Times New Roman" w:hAnsi="Arial" w:cs="Arial"/>
          <w:b/>
          <w:sz w:val="22"/>
          <w:szCs w:val="22"/>
          <w:lang w:eastAsia="lt-LT"/>
        </w:rPr>
        <w:t> </w:t>
      </w:r>
      <w:r w:rsidR="00567A27" w:rsidRPr="00C20751">
        <w:rPr>
          <w:rFonts w:ascii="Arial" w:hAnsi="Arial" w:cs="Arial"/>
          <w:b/>
          <w:sz w:val="22"/>
          <w:szCs w:val="22"/>
          <w:lang w:val="lt-LT"/>
        </w:rPr>
        <w:t>Miško atkūrimas, įveisimas ir atsodinimas (medžių ir krūmų sodinimas)</w:t>
      </w:r>
      <w:r w:rsidR="00AC5EF4" w:rsidRPr="00C20751">
        <w:rPr>
          <w:rFonts w:ascii="Arial" w:hAnsi="Arial" w:cs="Arial"/>
          <w:b/>
          <w:sz w:val="22"/>
          <w:szCs w:val="22"/>
          <w:lang w:val="lt-LT"/>
        </w:rPr>
        <w:t xml:space="preserve"> </w:t>
      </w:r>
      <w:r w:rsidR="00606896">
        <w:rPr>
          <w:rFonts w:ascii="Arial" w:hAnsi="Arial" w:cs="Arial"/>
          <w:b/>
          <w:sz w:val="22"/>
          <w:szCs w:val="22"/>
          <w:lang w:val="lt-LT"/>
        </w:rPr>
        <w:t>Asvejos</w:t>
      </w:r>
      <w:r w:rsidR="00D10109" w:rsidRPr="00C20751">
        <w:rPr>
          <w:rFonts w:ascii="Arial" w:hAnsi="Arial" w:cs="Arial"/>
          <w:b/>
          <w:sz w:val="22"/>
          <w:szCs w:val="22"/>
          <w:lang w:val="lt-LT"/>
        </w:rPr>
        <w:t xml:space="preserve"> </w:t>
      </w:r>
      <w:r w:rsidR="00AC5EF4" w:rsidRPr="00C20751">
        <w:rPr>
          <w:rFonts w:ascii="Arial" w:hAnsi="Arial" w:cs="Arial"/>
          <w:b/>
          <w:sz w:val="22"/>
          <w:szCs w:val="22"/>
          <w:lang w:val="lt-LT"/>
        </w:rPr>
        <w:t>g-joje</w:t>
      </w:r>
      <w:r w:rsidR="00327917">
        <w:rPr>
          <w:rFonts w:ascii="Arial" w:hAnsi="Arial" w:cs="Arial"/>
          <w:b/>
          <w:sz w:val="22"/>
          <w:szCs w:val="22"/>
          <w:lang w:val="lt-LT"/>
        </w:rPr>
        <w:t>;</w:t>
      </w:r>
    </w:p>
    <w:p w14:paraId="518085A3" w14:textId="0A12CC92" w:rsidR="005150FF" w:rsidRPr="00C20751" w:rsidRDefault="00C2489A" w:rsidP="00E0124A">
      <w:pPr>
        <w:pStyle w:val="Antrat2"/>
        <w:numPr>
          <w:ilvl w:val="0"/>
          <w:numId w:val="0"/>
        </w:numPr>
        <w:spacing w:before="0"/>
        <w:ind w:firstLine="567"/>
        <w:rPr>
          <w:rFonts w:ascii="Arial" w:hAnsi="Arial" w:cs="Arial"/>
          <w:b/>
          <w:sz w:val="22"/>
          <w:szCs w:val="22"/>
          <w:lang w:val="lt-LT"/>
        </w:rPr>
      </w:pPr>
      <w:r>
        <w:rPr>
          <w:rFonts w:ascii="Arial" w:hAnsi="Arial" w:cs="Arial"/>
          <w:b/>
          <w:sz w:val="22"/>
          <w:szCs w:val="22"/>
          <w:lang w:val="lt-LT"/>
        </w:rPr>
        <w:t xml:space="preserve">1.1.2. </w:t>
      </w:r>
      <w:r w:rsidRPr="00C2489A">
        <w:rPr>
          <w:rFonts w:ascii="Arial" w:hAnsi="Arial" w:cs="Arial"/>
          <w:b/>
          <w:sz w:val="22"/>
          <w:szCs w:val="22"/>
          <w:lang w:val="lt-LT"/>
        </w:rPr>
        <w:t xml:space="preserve">Želdinių, </w:t>
      </w:r>
      <w:proofErr w:type="spellStart"/>
      <w:r w:rsidRPr="00C2489A">
        <w:rPr>
          <w:rFonts w:ascii="Arial" w:hAnsi="Arial" w:cs="Arial"/>
          <w:b/>
          <w:sz w:val="22"/>
          <w:szCs w:val="22"/>
          <w:lang w:val="lt-LT"/>
        </w:rPr>
        <w:t>žėlinių</w:t>
      </w:r>
      <w:proofErr w:type="spellEnd"/>
      <w:r w:rsidRPr="00C2489A">
        <w:rPr>
          <w:rFonts w:ascii="Arial" w:hAnsi="Arial" w:cs="Arial"/>
          <w:b/>
          <w:sz w:val="22"/>
          <w:szCs w:val="22"/>
          <w:lang w:val="lt-LT"/>
        </w:rPr>
        <w:t xml:space="preserve"> apsauga nuo kanopinių žvėrių bei vabzdžių daromos žalos</w:t>
      </w:r>
      <w:r>
        <w:rPr>
          <w:rFonts w:ascii="Arial" w:hAnsi="Arial" w:cs="Arial"/>
          <w:b/>
          <w:sz w:val="22"/>
          <w:szCs w:val="22"/>
          <w:lang w:val="lt-LT"/>
        </w:rPr>
        <w:t xml:space="preserve"> </w:t>
      </w:r>
      <w:r w:rsidR="00606896">
        <w:rPr>
          <w:rFonts w:ascii="Arial" w:hAnsi="Arial" w:cs="Arial"/>
          <w:b/>
          <w:sz w:val="22"/>
          <w:szCs w:val="22"/>
          <w:lang w:val="lt-LT"/>
        </w:rPr>
        <w:t>Asvejos</w:t>
      </w:r>
      <w:r>
        <w:rPr>
          <w:rFonts w:ascii="Arial" w:hAnsi="Arial" w:cs="Arial"/>
          <w:b/>
          <w:sz w:val="22"/>
          <w:szCs w:val="22"/>
          <w:lang w:val="lt-LT"/>
        </w:rPr>
        <w:t xml:space="preserve"> g-joje.</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798632CB" w14:textId="66D8D440" w:rsidR="00FC063D" w:rsidRDefault="00654416" w:rsidP="001F7CEB">
      <w:pPr>
        <w:pStyle w:val="Antrat2"/>
        <w:numPr>
          <w:ilvl w:val="0"/>
          <w:numId w:val="0"/>
        </w:numPr>
        <w:spacing w:before="0"/>
        <w:ind w:firstLine="567"/>
        <w:rPr>
          <w:rFonts w:ascii="Arial" w:hAnsi="Arial" w:cs="Arial"/>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sidR="00606896">
        <w:rPr>
          <w:rFonts w:ascii="Arial" w:hAnsi="Arial" w:cs="Arial"/>
          <w:sz w:val="22"/>
          <w:szCs w:val="22"/>
          <w:lang w:val="lt-LT"/>
        </w:rPr>
        <w:t>9</w:t>
      </w:r>
      <w:r w:rsidR="00D06759">
        <w:rPr>
          <w:rFonts w:ascii="Arial" w:hAnsi="Arial" w:cs="Arial"/>
          <w:sz w:val="22"/>
          <w:szCs w:val="22"/>
          <w:lang w:val="lt-LT"/>
        </w:rPr>
        <w:t>1</w:t>
      </w:r>
      <w:r w:rsidR="00FC063D" w:rsidRPr="00431F50">
        <w:rPr>
          <w:rFonts w:ascii="Arial" w:hAnsi="Arial" w:cs="Arial"/>
          <w:sz w:val="22"/>
          <w:szCs w:val="22"/>
        </w:rPr>
        <w:t xml:space="preserve"> – </w:t>
      </w:r>
      <w:r w:rsidR="008B5EB5">
        <w:rPr>
          <w:rFonts w:ascii="Arial" w:hAnsi="Arial" w:cs="Arial"/>
          <w:b/>
          <w:sz w:val="22"/>
          <w:szCs w:val="22"/>
          <w:lang w:val="lt-LT"/>
        </w:rPr>
        <w:t>7</w:t>
      </w:r>
      <w:r w:rsidR="005D4F05">
        <w:rPr>
          <w:rFonts w:ascii="Arial" w:hAnsi="Arial" w:cs="Arial"/>
          <w:b/>
          <w:sz w:val="22"/>
          <w:szCs w:val="22"/>
          <w:lang w:val="lt-LT"/>
        </w:rPr>
        <w:t>4</w:t>
      </w:r>
      <w:r w:rsidR="00FF74F6">
        <w:rPr>
          <w:rFonts w:ascii="Arial" w:hAnsi="Arial" w:cs="Arial"/>
          <w:b/>
          <w:sz w:val="22"/>
          <w:szCs w:val="22"/>
        </w:rPr>
        <w:t xml:space="preserve"> </w:t>
      </w:r>
      <w:r w:rsidR="005D4F05">
        <w:rPr>
          <w:rFonts w:ascii="Arial" w:hAnsi="Arial" w:cs="Arial"/>
          <w:b/>
          <w:sz w:val="22"/>
          <w:szCs w:val="22"/>
          <w:lang w:val="lt-LT"/>
        </w:rPr>
        <w:t>314</w:t>
      </w:r>
      <w:r w:rsidR="00F16A87">
        <w:rPr>
          <w:rFonts w:ascii="Arial" w:hAnsi="Arial" w:cs="Arial"/>
          <w:b/>
          <w:sz w:val="22"/>
          <w:szCs w:val="22"/>
          <w:lang w:val="lt-LT"/>
        </w:rPr>
        <w:t>,</w:t>
      </w:r>
      <w:r w:rsidR="001330F9">
        <w:rPr>
          <w:rFonts w:ascii="Arial" w:hAnsi="Arial" w:cs="Arial"/>
          <w:b/>
          <w:sz w:val="22"/>
          <w:szCs w:val="22"/>
          <w:lang w:val="lt-LT"/>
        </w:rPr>
        <w:t>5</w:t>
      </w:r>
      <w:r w:rsidR="00F16A87">
        <w:rPr>
          <w:rFonts w:ascii="Arial" w:hAnsi="Arial" w:cs="Arial"/>
          <w:b/>
          <w:sz w:val="22"/>
          <w:szCs w:val="22"/>
          <w:lang w:val="lt-LT"/>
        </w:rPr>
        <w:t>0</w:t>
      </w:r>
      <w:r w:rsidR="00D10109">
        <w:rPr>
          <w:rFonts w:ascii="Arial" w:hAnsi="Arial" w:cs="Arial"/>
          <w:b/>
          <w:sz w:val="22"/>
          <w:szCs w:val="22"/>
          <w:lang w:val="lt-LT"/>
        </w:rPr>
        <w:t xml:space="preserve"> </w:t>
      </w:r>
      <w:r w:rsidR="00FC063D" w:rsidRPr="00C20751">
        <w:rPr>
          <w:rFonts w:ascii="Arial" w:hAnsi="Arial" w:cs="Arial"/>
          <w:b/>
          <w:sz w:val="22"/>
          <w:szCs w:val="22"/>
        </w:rPr>
        <w:t>Eur</w:t>
      </w:r>
      <w:r w:rsidR="00FC063D" w:rsidRPr="00431F50">
        <w:rPr>
          <w:rFonts w:ascii="Arial" w:hAnsi="Arial" w:cs="Arial"/>
          <w:sz w:val="22"/>
          <w:szCs w:val="22"/>
        </w:rPr>
        <w:t xml:space="preserve"> (</w:t>
      </w:r>
      <w:r w:rsidR="008B5EB5">
        <w:rPr>
          <w:rFonts w:ascii="Arial" w:hAnsi="Arial" w:cs="Arial"/>
          <w:sz w:val="22"/>
          <w:szCs w:val="22"/>
          <w:lang w:val="lt-LT"/>
        </w:rPr>
        <w:t>septynias</w:t>
      </w:r>
      <w:r w:rsidR="00FB4C36">
        <w:rPr>
          <w:rFonts w:ascii="Arial" w:hAnsi="Arial" w:cs="Arial"/>
          <w:sz w:val="22"/>
          <w:szCs w:val="22"/>
          <w:lang w:val="lt-LT"/>
        </w:rPr>
        <w:t xml:space="preserve">dešimt </w:t>
      </w:r>
      <w:r w:rsidR="00FA32ED">
        <w:rPr>
          <w:rFonts w:ascii="Arial" w:hAnsi="Arial" w:cs="Arial"/>
          <w:sz w:val="22"/>
          <w:szCs w:val="22"/>
          <w:lang w:val="lt-LT"/>
        </w:rPr>
        <w:t>keturi</w:t>
      </w:r>
      <w:r w:rsidR="005D5EC9">
        <w:rPr>
          <w:rFonts w:ascii="Arial" w:hAnsi="Arial" w:cs="Arial"/>
          <w:sz w:val="22"/>
          <w:szCs w:val="22"/>
          <w:lang w:val="lt-LT"/>
        </w:rPr>
        <w:t xml:space="preserve"> </w:t>
      </w:r>
      <w:r w:rsidR="005D5EC9">
        <w:rPr>
          <w:rFonts w:ascii="Arial" w:hAnsi="Arial" w:cs="Arial"/>
          <w:sz w:val="22"/>
          <w:szCs w:val="22"/>
        </w:rPr>
        <w:t>tūkstan</w:t>
      </w:r>
      <w:r w:rsidR="00FA32ED">
        <w:rPr>
          <w:rFonts w:ascii="Arial" w:hAnsi="Arial" w:cs="Arial"/>
          <w:sz w:val="22"/>
          <w:szCs w:val="22"/>
          <w:lang w:val="lt-LT"/>
        </w:rPr>
        <w:t>čiai</w:t>
      </w:r>
      <w:r w:rsidR="005D5EC9" w:rsidRPr="00431F50">
        <w:rPr>
          <w:rFonts w:ascii="Arial" w:hAnsi="Arial" w:cs="Arial"/>
          <w:sz w:val="22"/>
          <w:szCs w:val="22"/>
        </w:rPr>
        <w:t xml:space="preserve"> </w:t>
      </w:r>
      <w:r w:rsidR="00FA32ED">
        <w:rPr>
          <w:rFonts w:ascii="Arial" w:hAnsi="Arial" w:cs="Arial"/>
          <w:sz w:val="22"/>
          <w:szCs w:val="22"/>
          <w:lang w:val="lt-LT"/>
        </w:rPr>
        <w:t>trys</w:t>
      </w:r>
      <w:r w:rsidR="005D5EC9" w:rsidRPr="00431F50">
        <w:rPr>
          <w:rFonts w:ascii="Arial" w:hAnsi="Arial" w:cs="Arial"/>
          <w:sz w:val="22"/>
          <w:szCs w:val="22"/>
        </w:rPr>
        <w:t xml:space="preserve"> </w:t>
      </w:r>
      <w:r w:rsidR="00FC063D" w:rsidRPr="00431F50">
        <w:rPr>
          <w:rFonts w:ascii="Arial" w:hAnsi="Arial" w:cs="Arial"/>
          <w:sz w:val="22"/>
          <w:szCs w:val="22"/>
        </w:rPr>
        <w:t xml:space="preserve">šimtai </w:t>
      </w:r>
      <w:r w:rsidR="00FA32ED">
        <w:rPr>
          <w:rFonts w:ascii="Arial" w:hAnsi="Arial" w:cs="Arial"/>
          <w:sz w:val="22"/>
          <w:szCs w:val="22"/>
        </w:rPr>
        <w:t>keturiolika</w:t>
      </w:r>
      <w:r w:rsidR="00FF74F6">
        <w:rPr>
          <w:rFonts w:ascii="Arial" w:hAnsi="Arial" w:cs="Arial"/>
          <w:sz w:val="22"/>
          <w:szCs w:val="22"/>
          <w:lang w:val="lt-LT"/>
        </w:rPr>
        <w:t xml:space="preserve"> </w:t>
      </w:r>
      <w:r w:rsidR="00FC063D" w:rsidRPr="00431F50">
        <w:rPr>
          <w:rFonts w:ascii="Arial" w:hAnsi="Arial" w:cs="Arial"/>
          <w:sz w:val="22"/>
          <w:szCs w:val="22"/>
        </w:rPr>
        <w:t>Eur</w:t>
      </w:r>
      <w:r w:rsidR="00E53B7F">
        <w:rPr>
          <w:rFonts w:ascii="Arial" w:hAnsi="Arial" w:cs="Arial"/>
          <w:sz w:val="22"/>
          <w:szCs w:val="22"/>
        </w:rPr>
        <w:t xml:space="preserve"> </w:t>
      </w:r>
      <w:r w:rsidR="007810C1">
        <w:rPr>
          <w:rFonts w:ascii="Arial" w:hAnsi="Arial" w:cs="Arial"/>
          <w:sz w:val="22"/>
          <w:szCs w:val="22"/>
        </w:rPr>
        <w:t>5</w:t>
      </w:r>
      <w:r w:rsidR="00E53B7F">
        <w:rPr>
          <w:rFonts w:ascii="Arial" w:hAnsi="Arial" w:cs="Arial"/>
          <w:sz w:val="22"/>
          <w:szCs w:val="22"/>
        </w:rPr>
        <w:t>0 ct</w:t>
      </w:r>
      <w:r w:rsidR="00FC063D" w:rsidRPr="00431F50">
        <w:rPr>
          <w:rFonts w:ascii="Arial" w:hAnsi="Arial" w:cs="Arial"/>
          <w:sz w:val="22"/>
          <w:szCs w:val="22"/>
        </w:rPr>
        <w:t>)</w:t>
      </w:r>
      <w:r w:rsidR="00FC063D" w:rsidRPr="00A601DE">
        <w:rPr>
          <w:rFonts w:ascii="Arial" w:hAnsi="Arial" w:cs="Arial"/>
          <w:i/>
          <w:color w:val="92D050"/>
          <w:sz w:val="22"/>
          <w:szCs w:val="22"/>
        </w:rPr>
        <w:t xml:space="preserve"> </w:t>
      </w:r>
      <w:r w:rsidR="00FC063D" w:rsidRPr="00A601DE">
        <w:rPr>
          <w:rFonts w:ascii="Arial" w:hAnsi="Arial" w:cs="Arial"/>
          <w:sz w:val="22"/>
          <w:szCs w:val="22"/>
        </w:rPr>
        <w:t xml:space="preserve">neįskaitant </w:t>
      </w:r>
      <w:r w:rsidR="00FC063D" w:rsidRPr="00A601DE">
        <w:rPr>
          <w:rFonts w:ascii="Arial" w:hAnsi="Arial" w:cs="Arial"/>
          <w:bCs/>
          <w:sz w:val="22"/>
          <w:szCs w:val="22"/>
        </w:rPr>
        <w:t>PVM</w:t>
      </w:r>
      <w:r w:rsidR="00FC063D" w:rsidRPr="00A601DE">
        <w:rPr>
          <w:rFonts w:ascii="Arial" w:hAnsi="Arial" w:cs="Arial"/>
          <w:sz w:val="22"/>
          <w:szCs w:val="22"/>
        </w:rPr>
        <w:t xml:space="preserve">. </w:t>
      </w:r>
      <w:r w:rsidR="00FC063D" w:rsidRPr="006B02A3">
        <w:rPr>
          <w:rFonts w:ascii="Arial" w:hAnsi="Arial" w:cs="Arial"/>
          <w:sz w:val="22"/>
          <w:szCs w:val="22"/>
        </w:rPr>
        <w:t xml:space="preserve">Sutarčiai taikomas 21 proc. dydžio PVM.  </w:t>
      </w:r>
      <w:proofErr w:type="spellStart"/>
      <w:r w:rsidR="00FC063D" w:rsidRPr="006B02A3">
        <w:rPr>
          <w:rFonts w:ascii="Arial" w:hAnsi="Arial" w:cs="Arial"/>
          <w:sz w:val="22"/>
          <w:szCs w:val="22"/>
        </w:rPr>
        <w:t>P.o.d</w:t>
      </w:r>
      <w:proofErr w:type="spellEnd"/>
      <w:r w:rsidR="00FC063D" w:rsidRPr="006B02A3">
        <w:rPr>
          <w:rFonts w:ascii="Arial" w:hAnsi="Arial" w:cs="Arial"/>
          <w:sz w:val="22"/>
          <w:szCs w:val="22"/>
        </w:rPr>
        <w:t>.</w:t>
      </w:r>
      <w:r w:rsidR="00FC063D" w:rsidRPr="006B02A3">
        <w:rPr>
          <w:rFonts w:ascii="Arial" w:hAnsi="Arial" w:cs="Arial"/>
          <w:sz w:val="22"/>
          <w:szCs w:val="22"/>
          <w:lang w:val="lt-LT"/>
        </w:rPr>
        <w:t xml:space="preserve"> Nr. </w:t>
      </w:r>
      <w:r w:rsidR="00606896">
        <w:rPr>
          <w:rFonts w:ascii="Arial" w:hAnsi="Arial" w:cs="Arial"/>
          <w:sz w:val="22"/>
          <w:szCs w:val="22"/>
          <w:lang w:val="lt-LT"/>
        </w:rPr>
        <w:t>9</w:t>
      </w:r>
      <w:r w:rsidR="00D06759">
        <w:rPr>
          <w:rFonts w:ascii="Arial" w:hAnsi="Arial" w:cs="Arial"/>
          <w:sz w:val="22"/>
          <w:szCs w:val="22"/>
          <w:lang w:val="lt-LT"/>
        </w:rPr>
        <w:t>1</w:t>
      </w:r>
      <w:r w:rsidR="00FC063D" w:rsidRPr="006B02A3">
        <w:rPr>
          <w:rFonts w:ascii="Arial" w:hAnsi="Arial" w:cs="Arial"/>
          <w:sz w:val="22"/>
          <w:szCs w:val="22"/>
        </w:rPr>
        <w:t xml:space="preserve"> Sutarties maksimali kaina, </w:t>
      </w:r>
      <w:r w:rsidR="000305BC" w:rsidRPr="006B02A3">
        <w:rPr>
          <w:rFonts w:ascii="Arial" w:hAnsi="Arial" w:cs="Arial"/>
          <w:b/>
          <w:sz w:val="22"/>
          <w:szCs w:val="22"/>
        </w:rPr>
        <w:t xml:space="preserve">įskaitant PVM – </w:t>
      </w:r>
      <w:r w:rsidR="001F7CEB">
        <w:rPr>
          <w:rFonts w:ascii="Arial" w:hAnsi="Arial" w:cs="Arial"/>
          <w:b/>
          <w:sz w:val="22"/>
          <w:szCs w:val="22"/>
          <w:lang w:val="lt-LT"/>
        </w:rPr>
        <w:t>8</w:t>
      </w:r>
      <w:r w:rsidR="00FA32ED">
        <w:rPr>
          <w:rFonts w:ascii="Arial" w:hAnsi="Arial" w:cs="Arial"/>
          <w:b/>
          <w:sz w:val="22"/>
          <w:szCs w:val="22"/>
          <w:lang w:val="lt-LT"/>
        </w:rPr>
        <w:t>9</w:t>
      </w:r>
      <w:r w:rsidR="005D5EC9" w:rsidRPr="00C20751">
        <w:rPr>
          <w:rFonts w:ascii="Arial" w:hAnsi="Arial" w:cs="Arial"/>
          <w:b/>
          <w:sz w:val="22"/>
          <w:szCs w:val="22"/>
        </w:rPr>
        <w:t xml:space="preserve"> </w:t>
      </w:r>
      <w:r w:rsidR="00FA32ED">
        <w:rPr>
          <w:rFonts w:ascii="Arial" w:hAnsi="Arial" w:cs="Arial"/>
          <w:b/>
          <w:sz w:val="22"/>
          <w:szCs w:val="22"/>
          <w:lang w:val="lt-LT"/>
        </w:rPr>
        <w:t>9</w:t>
      </w:r>
      <w:r w:rsidR="001F7CEB">
        <w:rPr>
          <w:rFonts w:ascii="Arial" w:hAnsi="Arial" w:cs="Arial"/>
          <w:b/>
          <w:sz w:val="22"/>
          <w:szCs w:val="22"/>
          <w:lang w:val="lt-LT"/>
        </w:rPr>
        <w:t>2</w:t>
      </w:r>
      <w:r w:rsidR="00FA32ED">
        <w:rPr>
          <w:rFonts w:ascii="Arial" w:hAnsi="Arial" w:cs="Arial"/>
          <w:b/>
          <w:sz w:val="22"/>
          <w:szCs w:val="22"/>
          <w:lang w:val="lt-LT"/>
        </w:rPr>
        <w:t>0</w:t>
      </w:r>
      <w:r w:rsidR="006B02A3" w:rsidRPr="00C20751">
        <w:rPr>
          <w:rFonts w:ascii="Arial" w:hAnsi="Arial" w:cs="Arial"/>
          <w:b/>
          <w:sz w:val="22"/>
          <w:szCs w:val="22"/>
        </w:rPr>
        <w:t>,</w:t>
      </w:r>
      <w:r w:rsidR="00FA32ED">
        <w:rPr>
          <w:rFonts w:ascii="Arial" w:hAnsi="Arial" w:cs="Arial"/>
          <w:b/>
          <w:sz w:val="22"/>
          <w:szCs w:val="22"/>
          <w:lang w:val="lt-LT"/>
        </w:rPr>
        <w:t>55</w:t>
      </w:r>
      <w:r w:rsidR="00FC063D" w:rsidRPr="00C20751">
        <w:rPr>
          <w:rFonts w:ascii="Arial" w:hAnsi="Arial" w:cs="Arial"/>
          <w:b/>
          <w:sz w:val="22"/>
          <w:szCs w:val="22"/>
        </w:rPr>
        <w:t xml:space="preserve"> Eur</w:t>
      </w:r>
      <w:r w:rsidR="00FC063D" w:rsidRPr="006B02A3">
        <w:rPr>
          <w:rFonts w:ascii="Arial" w:hAnsi="Arial" w:cs="Arial"/>
          <w:sz w:val="22"/>
          <w:szCs w:val="22"/>
        </w:rPr>
        <w:t xml:space="preserve"> </w:t>
      </w:r>
      <w:r w:rsidR="00FC063D" w:rsidRPr="00431F50">
        <w:rPr>
          <w:rFonts w:ascii="Arial" w:hAnsi="Arial" w:cs="Arial"/>
          <w:sz w:val="22"/>
          <w:szCs w:val="22"/>
        </w:rPr>
        <w:t>(</w:t>
      </w:r>
      <w:r w:rsidR="001F7CEB">
        <w:rPr>
          <w:rFonts w:ascii="Arial" w:hAnsi="Arial" w:cs="Arial"/>
          <w:sz w:val="22"/>
          <w:szCs w:val="22"/>
          <w:lang w:val="lt-LT"/>
        </w:rPr>
        <w:t>aštuonias</w:t>
      </w:r>
      <w:r w:rsidR="007C4CA7">
        <w:rPr>
          <w:rFonts w:ascii="Arial" w:hAnsi="Arial" w:cs="Arial"/>
          <w:sz w:val="22"/>
          <w:szCs w:val="22"/>
          <w:lang w:val="lt-LT"/>
        </w:rPr>
        <w:t>dešimt</w:t>
      </w:r>
      <w:r w:rsidR="005D5EC9">
        <w:rPr>
          <w:rFonts w:ascii="Arial" w:hAnsi="Arial" w:cs="Arial"/>
          <w:sz w:val="22"/>
          <w:szCs w:val="22"/>
          <w:lang w:val="lt-LT"/>
        </w:rPr>
        <w:t xml:space="preserve"> </w:t>
      </w:r>
      <w:r w:rsidR="00FA32ED">
        <w:rPr>
          <w:rFonts w:ascii="Arial" w:hAnsi="Arial" w:cs="Arial"/>
          <w:sz w:val="22"/>
          <w:szCs w:val="22"/>
          <w:lang w:val="lt-LT"/>
        </w:rPr>
        <w:t>devyni</w:t>
      </w:r>
      <w:r w:rsidR="00D63CBE">
        <w:rPr>
          <w:rFonts w:ascii="Arial" w:hAnsi="Arial" w:cs="Arial"/>
          <w:sz w:val="22"/>
          <w:szCs w:val="22"/>
          <w:lang w:val="lt-LT"/>
        </w:rPr>
        <w:t xml:space="preserve"> </w:t>
      </w:r>
      <w:r w:rsidR="006B02A3">
        <w:rPr>
          <w:rFonts w:ascii="Arial" w:hAnsi="Arial" w:cs="Arial"/>
          <w:sz w:val="22"/>
          <w:szCs w:val="22"/>
        </w:rPr>
        <w:t>tūkstanči</w:t>
      </w:r>
      <w:r w:rsidR="00D63CBE">
        <w:rPr>
          <w:rFonts w:ascii="Arial" w:hAnsi="Arial" w:cs="Arial"/>
          <w:sz w:val="22"/>
          <w:szCs w:val="22"/>
          <w:lang w:val="lt-LT"/>
        </w:rPr>
        <w:t>ai</w:t>
      </w:r>
      <w:r w:rsidR="00FC063D" w:rsidRPr="00431F50">
        <w:rPr>
          <w:rFonts w:ascii="Arial" w:hAnsi="Arial" w:cs="Arial"/>
          <w:sz w:val="22"/>
          <w:szCs w:val="22"/>
        </w:rPr>
        <w:t xml:space="preserve"> </w:t>
      </w:r>
      <w:proofErr w:type="spellStart"/>
      <w:r w:rsidR="00FA32ED">
        <w:rPr>
          <w:rFonts w:ascii="Arial" w:hAnsi="Arial" w:cs="Arial"/>
          <w:sz w:val="22"/>
          <w:szCs w:val="22"/>
          <w:lang w:val="lt-LT"/>
        </w:rPr>
        <w:t>devyni</w:t>
      </w:r>
      <w:r w:rsidR="007C4CA7">
        <w:rPr>
          <w:rFonts w:ascii="Arial" w:hAnsi="Arial" w:cs="Arial"/>
          <w:sz w:val="22"/>
          <w:szCs w:val="22"/>
          <w:lang w:val="lt-LT"/>
        </w:rPr>
        <w:t>i</w:t>
      </w:r>
      <w:proofErr w:type="spellEnd"/>
      <w:r w:rsidR="005D5EC9">
        <w:rPr>
          <w:rFonts w:ascii="Arial" w:hAnsi="Arial" w:cs="Arial"/>
          <w:sz w:val="22"/>
          <w:szCs w:val="22"/>
          <w:lang w:val="lt-LT"/>
        </w:rPr>
        <w:t xml:space="preserve"> </w:t>
      </w:r>
      <w:r w:rsidR="006B02A3">
        <w:rPr>
          <w:rFonts w:ascii="Arial" w:hAnsi="Arial" w:cs="Arial"/>
          <w:sz w:val="22"/>
          <w:szCs w:val="22"/>
          <w:lang w:val="lt-LT"/>
        </w:rPr>
        <w:t xml:space="preserve">šimtai </w:t>
      </w:r>
      <w:r w:rsidR="001F7CEB">
        <w:rPr>
          <w:rFonts w:ascii="Arial" w:hAnsi="Arial" w:cs="Arial"/>
          <w:sz w:val="22"/>
          <w:szCs w:val="22"/>
          <w:lang w:val="lt-LT"/>
        </w:rPr>
        <w:t>dv</w:t>
      </w:r>
      <w:r w:rsidR="00FA32ED">
        <w:rPr>
          <w:rFonts w:ascii="Arial" w:hAnsi="Arial" w:cs="Arial"/>
          <w:sz w:val="22"/>
          <w:szCs w:val="22"/>
          <w:lang w:val="lt-LT"/>
        </w:rPr>
        <w:t>i</w:t>
      </w:r>
      <w:r w:rsidR="00573A72">
        <w:rPr>
          <w:rFonts w:ascii="Arial" w:hAnsi="Arial" w:cs="Arial"/>
          <w:sz w:val="22"/>
          <w:szCs w:val="22"/>
          <w:lang w:val="lt-LT"/>
        </w:rPr>
        <w:t>dešimt</w:t>
      </w:r>
      <w:r w:rsidR="002D6DD5" w:rsidRPr="00431F50">
        <w:rPr>
          <w:rFonts w:ascii="Arial" w:hAnsi="Arial" w:cs="Arial"/>
          <w:sz w:val="22"/>
          <w:szCs w:val="22"/>
        </w:rPr>
        <w:t xml:space="preserve"> </w:t>
      </w:r>
      <w:r w:rsidR="00FC063D" w:rsidRPr="00431F50">
        <w:rPr>
          <w:rFonts w:ascii="Arial" w:hAnsi="Arial" w:cs="Arial"/>
          <w:sz w:val="22"/>
          <w:szCs w:val="22"/>
        </w:rPr>
        <w:t>Eur</w:t>
      </w:r>
      <w:r w:rsidR="006B02A3">
        <w:rPr>
          <w:rFonts w:ascii="Arial" w:hAnsi="Arial" w:cs="Arial"/>
          <w:sz w:val="22"/>
          <w:szCs w:val="22"/>
          <w:lang w:val="lt-LT"/>
        </w:rPr>
        <w:t xml:space="preserve"> </w:t>
      </w:r>
      <w:r w:rsidR="00FA32ED">
        <w:rPr>
          <w:rFonts w:ascii="Arial" w:hAnsi="Arial" w:cs="Arial"/>
          <w:sz w:val="22"/>
          <w:szCs w:val="22"/>
          <w:lang w:val="lt-LT"/>
        </w:rPr>
        <w:t>55</w:t>
      </w:r>
      <w:r w:rsidR="00092DBE">
        <w:rPr>
          <w:rFonts w:ascii="Arial" w:hAnsi="Arial" w:cs="Arial"/>
          <w:sz w:val="22"/>
          <w:szCs w:val="22"/>
          <w:lang w:val="lt-LT"/>
        </w:rPr>
        <w:t xml:space="preserve"> ct</w:t>
      </w:r>
      <w:r w:rsidR="00FC063D" w:rsidRPr="00431F50">
        <w:rPr>
          <w:rFonts w:ascii="Arial" w:hAnsi="Arial" w:cs="Arial"/>
          <w:sz w:val="22"/>
          <w:szCs w:val="22"/>
        </w:rPr>
        <w:t>)</w:t>
      </w:r>
      <w:r w:rsidR="00FC063D">
        <w:rPr>
          <w:rFonts w:ascii="Arial" w:hAnsi="Arial" w:cs="Arial"/>
          <w:sz w:val="22"/>
          <w:szCs w:val="22"/>
          <w:lang w:val="lt-LT"/>
        </w:rPr>
        <w:t>;</w:t>
      </w:r>
    </w:p>
    <w:p w14:paraId="01F1FD5D" w14:textId="75527157" w:rsidR="003F7C75" w:rsidRPr="00A601DE" w:rsidRDefault="00FC063D" w:rsidP="00873004">
      <w:pPr>
        <w:pStyle w:val="Antrat2"/>
        <w:numPr>
          <w:ilvl w:val="0"/>
          <w:numId w:val="0"/>
        </w:numPr>
        <w:spacing w:before="0"/>
        <w:ind w:firstLine="567"/>
        <w:rPr>
          <w:rFonts w:ascii="Arial" w:hAnsi="Arial" w:cs="Arial"/>
          <w:sz w:val="22"/>
          <w:szCs w:val="22"/>
          <w:lang w:val="lt-LT"/>
        </w:rPr>
      </w:pPr>
      <w:r w:rsidRPr="00A601DE" w:rsidDel="0074635B">
        <w:rPr>
          <w:rFonts w:ascii="Arial" w:hAnsi="Arial" w:cs="Arial"/>
          <w:sz w:val="22"/>
          <w:szCs w:val="22"/>
          <w:lang w:val="en-US"/>
        </w:rPr>
        <w:t xml:space="preserve"> </w:t>
      </w:r>
      <w:bookmarkEnd w:id="1"/>
      <w:r w:rsidR="00E54FAB"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5E6C11"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5E6C11"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lastRenderedPageBreak/>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B0F734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04122">
        <w:rPr>
          <w:rFonts w:ascii="Arial" w:hAnsi="Arial" w:cs="Arial"/>
          <w:sz w:val="22"/>
          <w:szCs w:val="22"/>
        </w:rPr>
        <w:t xml:space="preserve"> </w:t>
      </w:r>
      <w:r w:rsidR="00D63CBE">
        <w:rPr>
          <w:rFonts w:ascii="Arial" w:hAnsi="Arial" w:cs="Arial"/>
          <w:sz w:val="22"/>
          <w:szCs w:val="22"/>
        </w:rPr>
        <w:t>924</w:t>
      </w:r>
      <w:r w:rsidR="00904122">
        <w:rPr>
          <w:rFonts w:ascii="Arial" w:hAnsi="Arial" w:cs="Arial"/>
          <w:sz w:val="22"/>
          <w:szCs w:val="22"/>
        </w:rPr>
        <w:t xml:space="preserve">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68622E0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D63CBE">
            <w:rPr>
              <w:rFonts w:ascii="Arial" w:eastAsia="Times New Roman" w:hAnsi="Arial" w:cs="Arial"/>
              <w:sz w:val="22"/>
              <w:szCs w:val="22"/>
              <w:lang w:eastAsia="lt-LT"/>
            </w:rPr>
            <w:t>1,51</w:t>
          </w:r>
          <w:r w:rsidR="0000603D">
            <w:rPr>
              <w:rFonts w:ascii="Arial" w:eastAsia="Times New Roman" w:hAnsi="Arial" w:cs="Arial"/>
              <w:sz w:val="22"/>
              <w:szCs w:val="22"/>
              <w:lang w:eastAsia="lt-LT"/>
            </w:rPr>
            <w:t xml:space="preserve">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w:t>
      </w:r>
      <w:r w:rsidR="00003C4B" w:rsidRPr="00ED55F2">
        <w:rPr>
          <w:rFonts w:ascii="Arial" w:hAnsi="Arial" w:cs="Arial"/>
          <w:sz w:val="22"/>
          <w:szCs w:val="22"/>
        </w:rPr>
        <w:lastRenderedPageBreak/>
        <w:t>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lastRenderedPageBreak/>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lastRenderedPageBreak/>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lastRenderedPageBreak/>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3848BB9B" w:rsidR="00B202C8" w:rsidRPr="00A601DE" w:rsidRDefault="005E6C11"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2B7A0E">
                  <w:rPr>
                    <w:rFonts w:ascii="Arial" w:eastAsia="Times New Roman" w:hAnsi="Arial" w:cs="Arial"/>
                    <w:sz w:val="22"/>
                    <w:szCs w:val="22"/>
                    <w:lang w:eastAsia="lt-LT"/>
                  </w:rPr>
                  <w:t xml:space="preserve">, tel. el. p. </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2AD7E2DD" w:rsidR="00B52015" w:rsidRPr="00A601DE" w:rsidRDefault="005E6C11" w:rsidP="00C20751">
            <w:pPr>
              <w:rPr>
                <w:rFonts w:ascii="Arial" w:eastAsia="Times New Roman" w:hAnsi="Arial" w:cs="Arial"/>
                <w:sz w:val="22"/>
                <w:szCs w:val="22"/>
                <w:lang w:eastAsia="lt-LT"/>
              </w:rPr>
            </w:pPr>
            <w:sdt>
              <w:sdtPr>
                <w:rPr>
                  <w:rFonts w:ascii="Arial" w:hAnsi="Arial" w:cs="Arial"/>
                  <w:sz w:val="22"/>
                  <w:szCs w:val="22"/>
                </w:rPr>
                <w:id w:val="-1347084907"/>
                <w:placeholder>
                  <w:docPart w:val="D778868DDF274114BD5B36FF9937AD8C"/>
                </w:placeholder>
                <w:text/>
              </w:sdtPr>
              <w:sdtEndPr/>
              <w:sdtContent>
                <w:r w:rsidR="00B3555B" w:rsidRPr="00B3555B">
                  <w:rPr>
                    <w:rFonts w:ascii="Arial" w:hAnsi="Arial" w:cs="Arial"/>
                    <w:sz w:val="22"/>
                    <w:szCs w:val="22"/>
                  </w:rPr>
                  <w:t xml:space="preserve">, tel., el. p. </w:t>
                </w:r>
              </w:sdtContent>
            </w:sdt>
          </w:p>
        </w:tc>
      </w:tr>
    </w:tbl>
    <w:p w14:paraId="2419763C" w14:textId="39AE1EBA"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lastRenderedPageBreak/>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text/>
        </w:sdtPr>
        <w:sdtEndPr/>
        <w:sdtContent>
          <w:r w:rsidR="004B723D">
            <w:rPr>
              <w:rFonts w:ascii="Arial" w:eastAsia="Times New Roman" w:hAnsi="Arial" w:cs="Arial"/>
              <w:sz w:val="22"/>
              <w:szCs w:val="22"/>
              <w:lang w:eastAsia="lt-LT"/>
            </w:rPr>
            <w:t>, tel., el. p..</w:t>
          </w:r>
          <w:proofErr w:type="spellStart"/>
          <w:r w:rsidR="004B723D">
            <w:rPr>
              <w:rFonts w:ascii="Arial" w:eastAsia="Times New Roman" w:hAnsi="Arial" w:cs="Arial"/>
              <w:sz w:val="22"/>
              <w:szCs w:val="22"/>
              <w:lang w:eastAsia="lt-LT"/>
            </w:rPr>
            <w:t>lt</w:t>
          </w:r>
          <w:proofErr w:type="spellEnd"/>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3FA5512F"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w:t>
      </w:r>
      <w:r w:rsidR="0002348D" w:rsidRPr="00ED55F2">
        <w:rPr>
          <w:rFonts w:ascii="Arial" w:eastAsiaTheme="majorEastAsia" w:hAnsi="Arial" w:cs="Arial"/>
        </w:rPr>
        <w:lastRenderedPageBreak/>
        <w:t xml:space="preserve">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2C5271">
        <w:trPr>
          <w:trHeight w:val="342"/>
        </w:trPr>
        <w:tc>
          <w:tcPr>
            <w:tcW w:w="4986" w:type="dxa"/>
            <w:shd w:val="clear" w:color="auto" w:fill="auto"/>
          </w:tcPr>
          <w:p w14:paraId="00B21078" w14:textId="3F2138D2" w:rsidR="003E75A9" w:rsidRDefault="003E75A9"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2C527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2C527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2C527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67DDA733" w:rsidR="003E75A9" w:rsidRPr="00A95253" w:rsidRDefault="00422FAE">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eastAsia="Times New Roman" w:hAnsi="Arial" w:cs="Arial"/>
                <w:b/>
                <w:bCs/>
                <w:iCs/>
                <w:sz w:val="22"/>
                <w:szCs w:val="22"/>
                <w:lang w:eastAsia="ar-SA"/>
              </w:rPr>
              <w:t>M</w:t>
            </w:r>
            <w:r w:rsidR="00DA0BE4">
              <w:rPr>
                <w:rFonts w:ascii="Arial" w:eastAsia="Times New Roman" w:hAnsi="Arial" w:cs="Arial"/>
                <w:b/>
                <w:bCs/>
                <w:iCs/>
                <w:sz w:val="22"/>
                <w:szCs w:val="22"/>
                <w:lang w:eastAsia="ar-SA"/>
              </w:rPr>
              <w:t xml:space="preserve">B </w:t>
            </w:r>
          </w:p>
        </w:tc>
      </w:tr>
      <w:tr w:rsidR="003E75A9" w:rsidRPr="00A95253" w14:paraId="00EDBD81" w14:textId="77777777" w:rsidTr="002C5271">
        <w:trPr>
          <w:trHeight w:val="682"/>
        </w:trPr>
        <w:tc>
          <w:tcPr>
            <w:tcW w:w="4986" w:type="dxa"/>
            <w:shd w:val="clear" w:color="auto" w:fill="auto"/>
          </w:tcPr>
          <w:p w14:paraId="5870F12E"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7DD8736" w:rsidR="003E75A9"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003E75A9" w:rsidRPr="00C20751">
              <w:rPr>
                <w:rFonts w:ascii="Arial" w:eastAsia="Times New Roman" w:hAnsi="Arial" w:cs="Arial"/>
                <w:b/>
                <w:bCs/>
                <w:iCs/>
                <w:color w:val="76923C" w:themeColor="accent3" w:themeShade="BF"/>
                <w:sz w:val="22"/>
                <w:szCs w:val="22"/>
                <w:lang w:eastAsia="ar-SA"/>
              </w:rPr>
              <w:t xml:space="preserve"> </w:t>
            </w:r>
            <w:r w:rsidR="003E75A9" w:rsidRPr="00C20751">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C20751"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8357585" w14:textId="77777777"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SEB bankas, Banko kodas 7044</w:t>
            </w:r>
          </w:p>
          <w:p w14:paraId="17F49707" w14:textId="2D1D4894" w:rsidR="00940AF7" w:rsidRDefault="00940AF7" w:rsidP="002C5271">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PVM mokėtojo kodas LT323408811</w:t>
            </w:r>
            <w:r w:rsidRPr="00A95253" w:rsidDel="00940AF7">
              <w:rPr>
                <w:rFonts w:ascii="Arial" w:eastAsia="Times New Roman" w:hAnsi="Arial" w:cs="Arial"/>
                <w:bCs/>
                <w:iCs/>
                <w:sz w:val="22"/>
                <w:szCs w:val="22"/>
                <w:lang w:eastAsia="ar-SA"/>
              </w:rPr>
              <w:t xml:space="preserve"> </w:t>
            </w:r>
          </w:p>
          <w:p w14:paraId="45F3ED0D" w14:textId="57761ED2" w:rsidR="003E75A9" w:rsidRPr="00C20751"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r w:rsidR="00940AF7" w:rsidRPr="00C20751">
              <w:rPr>
                <w:rFonts w:ascii="Arial" w:eastAsia="Times New Roman" w:hAnsi="Arial" w:cs="Arial"/>
                <w:bCs/>
                <w:iCs/>
                <w:sz w:val="22"/>
                <w:szCs w:val="22"/>
                <w:lang w:eastAsia="ar-SA"/>
              </w:rPr>
              <w:t>LT06 7044 0600 0819 3483</w:t>
            </w:r>
          </w:p>
          <w:p w14:paraId="39D9EDF4" w14:textId="7F299A99" w:rsidR="003E75A9" w:rsidRPr="00A95253" w:rsidRDefault="003E75A9" w:rsidP="002C527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00940AF7" w:rsidRPr="00C20751">
              <w:rPr>
                <w:rFonts w:ascii="Arial" w:eastAsia="Times New Roman" w:hAnsi="Arial" w:cs="Arial"/>
                <w:bCs/>
                <w:iCs/>
                <w:sz w:val="22"/>
                <w:szCs w:val="22"/>
                <w:lang w:eastAsia="ar-SA"/>
              </w:rPr>
              <w:t>8 5 233 6159</w:t>
            </w:r>
          </w:p>
          <w:p w14:paraId="788A887F" w14:textId="663B5150" w:rsidR="003E75A9" w:rsidRPr="00C20751" w:rsidRDefault="003E75A9" w:rsidP="002C5271">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nemencine</w:t>
            </w:r>
            <w:r w:rsidR="00940AF7" w:rsidRPr="00C20751">
              <w:rPr>
                <w:rFonts w:ascii="Arial" w:eastAsia="Times New Roman" w:hAnsi="Arial" w:cs="Arial"/>
                <w:bCs/>
                <w:iCs/>
                <w:sz w:val="22"/>
                <w:szCs w:val="22"/>
                <w:lang w:eastAsia="ar-SA"/>
              </w:rPr>
              <w:t>@vmu.lt</w:t>
            </w:r>
          </w:p>
        </w:tc>
        <w:tc>
          <w:tcPr>
            <w:tcW w:w="4636" w:type="dxa"/>
            <w:shd w:val="clear" w:color="auto" w:fill="auto"/>
          </w:tcPr>
          <w:p w14:paraId="75A36EB0" w14:textId="3D64435E" w:rsidR="003E75A9" w:rsidRPr="00C20751" w:rsidRDefault="003E75A9" w:rsidP="002C527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C20751">
              <w:rPr>
                <w:rFonts w:ascii="Arial" w:eastAsia="Times New Roman" w:hAnsi="Arial" w:cs="Arial"/>
                <w:bCs/>
                <w:iCs/>
                <w:sz w:val="22"/>
                <w:szCs w:val="22"/>
                <w:lang w:eastAsia="ar-SA"/>
              </w:rPr>
              <w:t xml:space="preserve">Įmonės kodas </w:t>
            </w:r>
          </w:p>
          <w:p w14:paraId="0A8DEE24" w14:textId="4A793FF2" w:rsidR="00D63CBE" w:rsidRPr="00FC3ED6" w:rsidRDefault="003E75A9" w:rsidP="002C5271">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r w:rsidRPr="00611783">
              <w:rPr>
                <w:rFonts w:ascii="Arial" w:eastAsia="Times New Roman" w:hAnsi="Arial" w:cs="Arial"/>
                <w:bCs/>
                <w:iCs/>
                <w:sz w:val="22"/>
                <w:szCs w:val="22"/>
                <w:lang w:eastAsia="ar-SA"/>
              </w:rPr>
              <w:t xml:space="preserve">PVM mokėtojo </w:t>
            </w:r>
          </w:p>
          <w:p w14:paraId="777F73AF" w14:textId="1B0A20A4" w:rsidR="00611783" w:rsidRPr="00611783" w:rsidRDefault="00D63CBE" w:rsidP="005E6C11">
            <w:pPr>
              <w:suppressAutoHyphens/>
              <w:rPr>
                <w:rFonts w:ascii="Arial" w:hAnsi="Arial" w:cs="Arial"/>
                <w:sz w:val="22"/>
                <w:szCs w:val="22"/>
                <w:lang w:eastAsia="lt-LT"/>
              </w:rPr>
            </w:pPr>
            <w:r w:rsidRPr="00FC3ED6">
              <w:rPr>
                <w:rFonts w:ascii="Arial" w:eastAsia="Times New Roman" w:hAnsi="Arial" w:cs="Arial"/>
                <w:bCs/>
                <w:iCs/>
                <w:color w:val="FF0000"/>
                <w:sz w:val="22"/>
                <w:szCs w:val="22"/>
                <w:lang w:eastAsia="ar-SA"/>
              </w:rPr>
              <w:t xml:space="preserve">     </w:t>
            </w:r>
          </w:p>
          <w:p w14:paraId="0D0C5762" w14:textId="0594E1C2" w:rsidR="006500BF" w:rsidRPr="00FC3ED6" w:rsidRDefault="006500BF" w:rsidP="00C20751">
            <w:pPr>
              <w:widowControl w:val="0"/>
              <w:tabs>
                <w:tab w:val="center" w:pos="4153"/>
                <w:tab w:val="right" w:pos="8306"/>
              </w:tabs>
              <w:suppressAutoHyphens/>
              <w:jc w:val="both"/>
              <w:rPr>
                <w:rFonts w:ascii="Arial" w:eastAsia="Times New Roman" w:hAnsi="Arial" w:cs="Arial"/>
                <w:bCs/>
                <w:iCs/>
                <w:color w:val="FF0000"/>
                <w:sz w:val="22"/>
                <w:szCs w:val="22"/>
                <w:lang w:eastAsia="ar-SA"/>
              </w:rPr>
            </w:pPr>
          </w:p>
          <w:p w14:paraId="768FDF2F" w14:textId="680AE79F" w:rsidR="002126BE" w:rsidRPr="002B590E" w:rsidRDefault="006500BF" w:rsidP="00D63CBE">
            <w:pPr>
              <w:widowControl w:val="0"/>
              <w:tabs>
                <w:tab w:val="center" w:pos="4153"/>
                <w:tab w:val="right" w:pos="8306"/>
              </w:tabs>
              <w:suppressAutoHyphens/>
              <w:jc w:val="both"/>
              <w:rPr>
                <w:rFonts w:ascii="Arial" w:eastAsia="Times New Roman" w:hAnsi="Arial" w:cs="Arial"/>
                <w:bCs/>
                <w:iCs/>
                <w:color w:val="FF0000"/>
                <w:sz w:val="22"/>
                <w:szCs w:val="22"/>
                <w:lang w:eastAsia="ar-SA"/>
              </w:rPr>
            </w:pPr>
            <w:r w:rsidRPr="00FC3ED6">
              <w:rPr>
                <w:rFonts w:ascii="Arial" w:eastAsia="Times New Roman" w:hAnsi="Arial" w:cs="Arial"/>
                <w:bCs/>
                <w:iCs/>
                <w:color w:val="FF0000"/>
                <w:sz w:val="22"/>
                <w:szCs w:val="22"/>
                <w:lang w:eastAsia="ar-SA"/>
              </w:rPr>
              <w:t xml:space="preserve">     </w:t>
            </w:r>
          </w:p>
          <w:p w14:paraId="448620FE" w14:textId="77777777" w:rsidR="005E6C11" w:rsidRDefault="00893A6C" w:rsidP="005E6C11">
            <w:pPr>
              <w:widowControl w:val="0"/>
              <w:tabs>
                <w:tab w:val="center" w:pos="4153"/>
                <w:tab w:val="right" w:pos="8306"/>
              </w:tabs>
              <w:suppressAutoHyphens/>
              <w:ind w:firstLine="360"/>
              <w:jc w:val="both"/>
              <w:rPr>
                <w:rFonts w:ascii="Arial" w:hAnsi="Arial" w:cs="Arial"/>
                <w:sz w:val="22"/>
                <w:szCs w:val="22"/>
                <w:lang w:eastAsia="lt-LT"/>
              </w:rPr>
            </w:pPr>
            <w:proofErr w:type="spellStart"/>
            <w:r w:rsidRPr="00893A6C">
              <w:rPr>
                <w:rFonts w:ascii="Arial" w:hAnsi="Arial" w:cs="Arial"/>
                <w:sz w:val="22"/>
                <w:szCs w:val="22"/>
                <w:lang w:eastAsia="lt-LT"/>
              </w:rPr>
              <w:t>A.s</w:t>
            </w:r>
            <w:proofErr w:type="spellEnd"/>
            <w:r w:rsidRPr="00893A6C">
              <w:rPr>
                <w:rFonts w:ascii="Arial" w:hAnsi="Arial" w:cs="Arial"/>
                <w:sz w:val="22"/>
                <w:szCs w:val="22"/>
                <w:lang w:eastAsia="lt-LT"/>
              </w:rPr>
              <w:t xml:space="preserve">. </w:t>
            </w:r>
          </w:p>
          <w:p w14:paraId="6C25D76A" w14:textId="7027CF5C" w:rsidR="003E75A9" w:rsidRPr="00FC3ED6" w:rsidRDefault="003E75A9" w:rsidP="002C5271">
            <w:pPr>
              <w:widowControl w:val="0"/>
              <w:tabs>
                <w:tab w:val="center" w:pos="4153"/>
                <w:tab w:val="right" w:pos="8306"/>
              </w:tabs>
              <w:suppressAutoHyphens/>
              <w:ind w:firstLine="360"/>
              <w:jc w:val="both"/>
              <w:rPr>
                <w:rFonts w:ascii="Arial" w:hAnsi="Arial" w:cs="Arial"/>
                <w:color w:val="FF0000"/>
                <w:sz w:val="22"/>
                <w:szCs w:val="22"/>
                <w:lang w:eastAsia="ar-SA"/>
              </w:rPr>
            </w:pPr>
            <w:r w:rsidRPr="007118D1">
              <w:rPr>
                <w:rFonts w:ascii="Arial" w:eastAsia="Times New Roman" w:hAnsi="Arial" w:cs="Arial"/>
                <w:sz w:val="22"/>
                <w:szCs w:val="22"/>
                <w:lang w:eastAsia="ar-SA"/>
              </w:rPr>
              <w:t xml:space="preserve">El. p. </w:t>
            </w:r>
          </w:p>
          <w:p w14:paraId="02C5FFAA" w14:textId="77777777" w:rsidR="003E75A9" w:rsidRPr="00A95253" w:rsidRDefault="003E75A9" w:rsidP="002C527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2C5271">
        <w:trPr>
          <w:trHeight w:val="113"/>
        </w:trPr>
        <w:tc>
          <w:tcPr>
            <w:tcW w:w="4986" w:type="dxa"/>
            <w:shd w:val="clear" w:color="auto" w:fill="auto"/>
          </w:tcPr>
          <w:p w14:paraId="3B8BBFCE" w14:textId="0C0523E1" w:rsidR="003E75A9" w:rsidRPr="00A95253" w:rsidRDefault="00D63CBE" w:rsidP="002C5271">
            <w:pPr>
              <w:tabs>
                <w:tab w:val="left" w:pos="3060"/>
              </w:tabs>
              <w:suppressAutoHyphens/>
              <w:ind w:firstLine="360"/>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 </w:t>
            </w:r>
          </w:p>
        </w:tc>
        <w:tc>
          <w:tcPr>
            <w:tcW w:w="4636" w:type="dxa"/>
            <w:shd w:val="clear" w:color="auto" w:fill="auto"/>
          </w:tcPr>
          <w:p w14:paraId="7B4A0650"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36F04608" w14:textId="77777777" w:rsidTr="002C5271">
        <w:trPr>
          <w:trHeight w:val="27"/>
        </w:trPr>
        <w:tc>
          <w:tcPr>
            <w:tcW w:w="4986" w:type="dxa"/>
            <w:shd w:val="clear" w:color="auto" w:fill="auto"/>
          </w:tcPr>
          <w:p w14:paraId="13856136"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0C828BC0" w14:textId="77777777" w:rsidTr="002C5271">
        <w:trPr>
          <w:trHeight w:val="68"/>
        </w:trPr>
        <w:tc>
          <w:tcPr>
            <w:tcW w:w="4986" w:type="dxa"/>
            <w:shd w:val="clear" w:color="auto" w:fill="auto"/>
          </w:tcPr>
          <w:p w14:paraId="3ABB804A" w14:textId="77777777" w:rsidR="003E75A9" w:rsidRPr="00A95253" w:rsidRDefault="003E75A9" w:rsidP="002C527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2C5271">
            <w:pPr>
              <w:suppressAutoHyphens/>
              <w:ind w:firstLine="360"/>
              <w:rPr>
                <w:rFonts w:ascii="Arial" w:hAnsi="Arial" w:cs="Arial"/>
                <w:sz w:val="22"/>
                <w:szCs w:val="22"/>
                <w:lang w:eastAsia="ar-SA"/>
              </w:rPr>
            </w:pPr>
          </w:p>
        </w:tc>
      </w:tr>
      <w:tr w:rsidR="003E75A9" w:rsidRPr="00A95253" w14:paraId="457232E8" w14:textId="77777777" w:rsidTr="002C5271">
        <w:trPr>
          <w:trHeight w:val="73"/>
        </w:trPr>
        <w:tc>
          <w:tcPr>
            <w:tcW w:w="4986" w:type="dxa"/>
            <w:shd w:val="clear" w:color="auto" w:fill="auto"/>
          </w:tcPr>
          <w:p w14:paraId="07380857" w14:textId="77777777" w:rsidR="003E75A9" w:rsidRPr="00A95253" w:rsidRDefault="003E75A9" w:rsidP="002C527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2C5271">
            <w:pPr>
              <w:suppressAutoHyphens/>
              <w:ind w:firstLine="360"/>
              <w:rPr>
                <w:rFonts w:ascii="Arial" w:hAnsi="Arial" w:cs="Arial"/>
                <w:sz w:val="22"/>
                <w:szCs w:val="22"/>
                <w:lang w:eastAsia="ar-SA"/>
              </w:rPr>
            </w:pPr>
          </w:p>
        </w:tc>
      </w:tr>
    </w:tbl>
    <w:p w14:paraId="472D8017" w14:textId="7D2C8259"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7D4EB5EE" w:rsidR="006D45A3" w:rsidRDefault="00940AF7" w:rsidP="003E75A9">
      <w:pPr>
        <w:tabs>
          <w:tab w:val="left" w:pos="6096"/>
        </w:tabs>
        <w:ind w:firstLine="360"/>
        <w:rPr>
          <w:rFonts w:ascii="Arial" w:hAnsi="Arial" w:cs="Arial"/>
          <w:noProof/>
          <w:sz w:val="22"/>
          <w:szCs w:val="22"/>
          <w:lang w:eastAsia="x-none"/>
        </w:rPr>
      </w:pPr>
      <w:r w:rsidRPr="00C20751">
        <w:rPr>
          <w:rFonts w:ascii="Arial" w:hAnsi="Arial" w:cs="Arial"/>
          <w:noProof/>
          <w:sz w:val="22"/>
          <w:szCs w:val="22"/>
          <w:lang w:eastAsia="x-none"/>
        </w:rPr>
        <w:t>Nemenčinės RP vadovo funkcijas</w:t>
      </w:r>
      <w:r w:rsidR="003E75A9" w:rsidRPr="00C20751">
        <w:rPr>
          <w:rFonts w:ascii="Arial" w:hAnsi="Arial" w:cs="Arial"/>
          <w:noProof/>
          <w:sz w:val="22"/>
          <w:szCs w:val="22"/>
          <w:lang w:eastAsia="x-none"/>
        </w:rPr>
        <w:t xml:space="preserve"> </w:t>
      </w:r>
    </w:p>
    <w:p w14:paraId="5FAACA9B" w14:textId="424AFC40" w:rsidR="006D45A3" w:rsidRDefault="00940AF7" w:rsidP="006D45A3">
      <w:pPr>
        <w:tabs>
          <w:tab w:val="left" w:pos="6096"/>
        </w:tabs>
        <w:ind w:firstLine="360"/>
        <w:rPr>
          <w:rFonts w:ascii="Arial" w:hAnsi="Arial" w:cs="Arial"/>
          <w:i/>
          <w:noProof/>
          <w:sz w:val="22"/>
          <w:szCs w:val="22"/>
          <w:lang w:eastAsia="x-none"/>
        </w:rPr>
      </w:pPr>
      <w:r w:rsidRPr="00C20751">
        <w:rPr>
          <w:rFonts w:ascii="Arial" w:hAnsi="Arial" w:cs="Arial"/>
          <w:noProof/>
          <w:sz w:val="22"/>
          <w:szCs w:val="22"/>
          <w:lang w:eastAsia="x-none"/>
        </w:rPr>
        <w:t>Giedrius Grincevičius</w:t>
      </w:r>
      <w:r w:rsidR="003E75A9" w:rsidRPr="00A95253">
        <w:rPr>
          <w:rFonts w:ascii="Arial" w:hAnsi="Arial" w:cs="Arial"/>
          <w:i/>
          <w:noProof/>
          <w:sz w:val="22"/>
          <w:szCs w:val="22"/>
          <w:lang w:eastAsia="x-none"/>
        </w:rPr>
        <w:t xml:space="preserve"> </w:t>
      </w:r>
      <w:r w:rsidR="006D45A3">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006D45A3" w:rsidRPr="00A95253">
        <w:rPr>
          <w:rFonts w:ascii="Arial" w:hAnsi="Arial" w:cs="Arial"/>
          <w:i/>
          <w:noProof/>
          <w:sz w:val="22"/>
          <w:szCs w:val="22"/>
          <w:lang w:eastAsia="x-none"/>
        </w:rPr>
        <w:t xml:space="preserve"> </w:t>
      </w:r>
      <w:r w:rsidR="00513D64">
        <w:rPr>
          <w:rFonts w:ascii="Arial" w:hAnsi="Arial" w:cs="Arial"/>
          <w:noProof/>
          <w:sz w:val="22"/>
          <w:szCs w:val="22"/>
          <w:lang w:eastAsia="x-none"/>
        </w:rPr>
        <w:t>Direktorius</w:t>
      </w:r>
      <w:r w:rsidR="006D45A3" w:rsidRPr="005E6C11">
        <w:rPr>
          <w:rFonts w:ascii="Arial" w:hAnsi="Arial" w:cs="Arial"/>
          <w:noProof/>
          <w:sz w:val="22"/>
          <w:szCs w:val="22"/>
          <w:lang w:val="pt-BR" w:eastAsia="x-none"/>
        </w:rPr>
        <w:t xml:space="preserve"> </w:t>
      </w:r>
    </w:p>
    <w:p w14:paraId="4917C054" w14:textId="1035F3F9" w:rsidR="003E75A9" w:rsidRPr="005E6C11" w:rsidRDefault="003E75A9" w:rsidP="003E75A9">
      <w:pPr>
        <w:tabs>
          <w:tab w:val="left" w:pos="6096"/>
        </w:tabs>
        <w:ind w:firstLine="360"/>
        <w:rPr>
          <w:rFonts w:ascii="Arial" w:hAnsi="Arial" w:cs="Arial"/>
          <w:noProof/>
          <w:sz w:val="22"/>
          <w:szCs w:val="22"/>
          <w:lang w:val="pt-BR"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sidRPr="005E6C11">
        <w:rPr>
          <w:rFonts w:ascii="Arial" w:hAnsi="Arial" w:cs="Arial"/>
          <w:noProof/>
          <w:sz w:val="22"/>
          <w:szCs w:val="22"/>
          <w:lang w:val="pt-BR" w:eastAsia="x-none"/>
        </w:rPr>
        <w:t xml:space="preserve"> </w:t>
      </w:r>
    </w:p>
    <w:p w14:paraId="6F7630F7" w14:textId="77777777" w:rsidR="006D45A3" w:rsidRPr="005E6C11" w:rsidRDefault="006D45A3" w:rsidP="003E75A9">
      <w:pPr>
        <w:tabs>
          <w:tab w:val="left" w:pos="6096"/>
        </w:tabs>
        <w:ind w:firstLine="360"/>
        <w:rPr>
          <w:rFonts w:ascii="Arial" w:hAnsi="Arial" w:cs="Arial"/>
          <w:i/>
          <w:noProof/>
          <w:sz w:val="22"/>
          <w:szCs w:val="22"/>
          <w:lang w:val="pt-BR"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9DDCF6E" w14:textId="443BF153" w:rsidR="003E75A9" w:rsidRPr="00A95253" w:rsidRDefault="003E75A9" w:rsidP="00C20751">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9" w:name="part_376d6bc02a04444287ed2e3c87369c6c"/>
      <w:bookmarkEnd w:id="0"/>
      <w:bookmarkEnd w:id="9"/>
    </w:p>
    <w:sectPr w:rsidR="005530BD" w:rsidRPr="00A95253" w:rsidSect="00D63E09">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C1FF" w14:textId="77777777" w:rsidR="00D63E09" w:rsidRDefault="00D63E09">
      <w:r>
        <w:separator/>
      </w:r>
    </w:p>
  </w:endnote>
  <w:endnote w:type="continuationSeparator" w:id="0">
    <w:p w14:paraId="0ADEB86D" w14:textId="77777777" w:rsidR="00D63E09" w:rsidRDefault="00D63E09">
      <w:r>
        <w:continuationSeparator/>
      </w:r>
    </w:p>
  </w:endnote>
  <w:endnote w:type="continuationNotice" w:id="1">
    <w:p w14:paraId="05884678" w14:textId="77777777" w:rsidR="00D63E09" w:rsidRDefault="00D63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5E8E379F" w:rsidR="00873004" w:rsidRDefault="00873004">
        <w:pPr>
          <w:pStyle w:val="Porat"/>
          <w:jc w:val="right"/>
        </w:pPr>
        <w:r>
          <w:fldChar w:fldCharType="begin"/>
        </w:r>
        <w:r>
          <w:instrText>PAGE   \* MERGEFORMAT</w:instrText>
        </w:r>
        <w:r>
          <w:fldChar w:fldCharType="separate"/>
        </w:r>
        <w:r w:rsidR="004B2DBA" w:rsidRPr="004B2DBA">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5F1B0" w14:textId="77777777" w:rsidR="00D63E09" w:rsidRDefault="00D63E09">
      <w:r>
        <w:separator/>
      </w:r>
    </w:p>
  </w:footnote>
  <w:footnote w:type="continuationSeparator" w:id="0">
    <w:p w14:paraId="0AF88ABA" w14:textId="77777777" w:rsidR="00D63E09" w:rsidRDefault="00D63E09">
      <w:r>
        <w:continuationSeparator/>
      </w:r>
    </w:p>
  </w:footnote>
  <w:footnote w:type="continuationNotice" w:id="1">
    <w:p w14:paraId="0F7C20D8" w14:textId="77777777" w:rsidR="00D63E09" w:rsidRDefault="00D63E09"/>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6275788">
    <w:abstractNumId w:val="2"/>
  </w:num>
  <w:num w:numId="2" w16cid:durableId="592593064">
    <w:abstractNumId w:val="0"/>
  </w:num>
  <w:num w:numId="3" w16cid:durableId="1042289912">
    <w:abstractNumId w:val="3"/>
  </w:num>
  <w:num w:numId="4" w16cid:durableId="896552719">
    <w:abstractNumId w:val="12"/>
  </w:num>
  <w:num w:numId="5" w16cid:durableId="804347640">
    <w:abstractNumId w:val="1"/>
  </w:num>
  <w:num w:numId="6" w16cid:durableId="705986474">
    <w:abstractNumId w:val="18"/>
  </w:num>
  <w:num w:numId="7" w16cid:durableId="1748380597">
    <w:abstractNumId w:val="11"/>
  </w:num>
  <w:num w:numId="8" w16cid:durableId="66345115">
    <w:abstractNumId w:val="9"/>
  </w:num>
  <w:num w:numId="9" w16cid:durableId="1788501898">
    <w:abstractNumId w:val="5"/>
  </w:num>
  <w:num w:numId="10" w16cid:durableId="1981416595">
    <w:abstractNumId w:val="6"/>
  </w:num>
  <w:num w:numId="11" w16cid:durableId="614101491">
    <w:abstractNumId w:val="8"/>
  </w:num>
  <w:num w:numId="12" w16cid:durableId="1398438928">
    <w:abstractNumId w:val="13"/>
  </w:num>
  <w:num w:numId="13" w16cid:durableId="1140151944">
    <w:abstractNumId w:val="2"/>
    <w:lvlOverride w:ilvl="0">
      <w:startOverride w:val="7"/>
    </w:lvlOverride>
    <w:lvlOverride w:ilvl="1">
      <w:startOverride w:val="4"/>
    </w:lvlOverride>
  </w:num>
  <w:num w:numId="14" w16cid:durableId="1466267240">
    <w:abstractNumId w:val="2"/>
    <w:lvlOverride w:ilvl="0">
      <w:startOverride w:val="6"/>
    </w:lvlOverride>
    <w:lvlOverride w:ilvl="1">
      <w:startOverride w:val="1"/>
    </w:lvlOverride>
  </w:num>
  <w:num w:numId="15" w16cid:durableId="1040319022">
    <w:abstractNumId w:val="2"/>
    <w:lvlOverride w:ilvl="0">
      <w:startOverride w:val="6"/>
    </w:lvlOverride>
    <w:lvlOverride w:ilvl="1">
      <w:startOverride w:val="2"/>
    </w:lvlOverride>
  </w:num>
  <w:num w:numId="16" w16cid:durableId="1435250696">
    <w:abstractNumId w:val="2"/>
    <w:lvlOverride w:ilvl="0">
      <w:startOverride w:val="6"/>
    </w:lvlOverride>
    <w:lvlOverride w:ilvl="1">
      <w:startOverride w:val="1"/>
    </w:lvlOverride>
    <w:lvlOverride w:ilvl="2">
      <w:startOverride w:val="2"/>
    </w:lvlOverride>
  </w:num>
  <w:num w:numId="17" w16cid:durableId="1466237471">
    <w:abstractNumId w:val="2"/>
    <w:lvlOverride w:ilvl="0">
      <w:startOverride w:val="6"/>
    </w:lvlOverride>
    <w:lvlOverride w:ilvl="1">
      <w:startOverride w:val="2"/>
    </w:lvlOverride>
  </w:num>
  <w:num w:numId="18" w16cid:durableId="2096825216">
    <w:abstractNumId w:val="2"/>
    <w:lvlOverride w:ilvl="0">
      <w:startOverride w:val="6"/>
    </w:lvlOverride>
    <w:lvlOverride w:ilvl="1">
      <w:startOverride w:val="2"/>
    </w:lvlOverride>
  </w:num>
  <w:num w:numId="19" w16cid:durableId="2045597177">
    <w:abstractNumId w:val="4"/>
  </w:num>
  <w:num w:numId="20" w16cid:durableId="156580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254799">
    <w:abstractNumId w:val="10"/>
  </w:num>
  <w:num w:numId="22" w16cid:durableId="1412508505">
    <w:abstractNumId w:val="7"/>
  </w:num>
  <w:num w:numId="23" w16cid:durableId="903565353">
    <w:abstractNumId w:val="17"/>
  </w:num>
  <w:num w:numId="24" w16cid:durableId="53085974">
    <w:abstractNumId w:val="14"/>
  </w:num>
  <w:num w:numId="25" w16cid:durableId="37634022">
    <w:abstractNumId w:val="16"/>
  </w:num>
  <w:num w:numId="26" w16cid:durableId="3377353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05BC"/>
    <w:rsid w:val="00032183"/>
    <w:rsid w:val="000323C2"/>
    <w:rsid w:val="0003302D"/>
    <w:rsid w:val="00033A0A"/>
    <w:rsid w:val="00034F2B"/>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2DBE"/>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3D8"/>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5A5"/>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30F9"/>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77B59"/>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604"/>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1F7CEB"/>
    <w:rsid w:val="00200BD8"/>
    <w:rsid w:val="002010DB"/>
    <w:rsid w:val="002033C1"/>
    <w:rsid w:val="0020403E"/>
    <w:rsid w:val="00204325"/>
    <w:rsid w:val="002052B7"/>
    <w:rsid w:val="002060C7"/>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358"/>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590E"/>
    <w:rsid w:val="002B6BA8"/>
    <w:rsid w:val="002B72E7"/>
    <w:rsid w:val="002B7A0E"/>
    <w:rsid w:val="002B7D74"/>
    <w:rsid w:val="002B7D82"/>
    <w:rsid w:val="002C1E10"/>
    <w:rsid w:val="002C38E0"/>
    <w:rsid w:val="002C4215"/>
    <w:rsid w:val="002C5271"/>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4D53"/>
    <w:rsid w:val="002D50C4"/>
    <w:rsid w:val="002D6BAD"/>
    <w:rsid w:val="002D6DD5"/>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917"/>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CF1"/>
    <w:rsid w:val="00392F79"/>
    <w:rsid w:val="00393405"/>
    <w:rsid w:val="0039412E"/>
    <w:rsid w:val="00394658"/>
    <w:rsid w:val="00395ACF"/>
    <w:rsid w:val="00396488"/>
    <w:rsid w:val="003977FD"/>
    <w:rsid w:val="003A1F3C"/>
    <w:rsid w:val="003A2EC6"/>
    <w:rsid w:val="003A39A3"/>
    <w:rsid w:val="003A48EC"/>
    <w:rsid w:val="003A5160"/>
    <w:rsid w:val="003A6855"/>
    <w:rsid w:val="003A7059"/>
    <w:rsid w:val="003A77BF"/>
    <w:rsid w:val="003B0309"/>
    <w:rsid w:val="003B2115"/>
    <w:rsid w:val="003B52FB"/>
    <w:rsid w:val="003B53B6"/>
    <w:rsid w:val="003B56AB"/>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7F6"/>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434"/>
    <w:rsid w:val="00416C99"/>
    <w:rsid w:val="00417EF5"/>
    <w:rsid w:val="004201A1"/>
    <w:rsid w:val="00420595"/>
    <w:rsid w:val="0042062F"/>
    <w:rsid w:val="00421DA3"/>
    <w:rsid w:val="00421EB6"/>
    <w:rsid w:val="00422B7D"/>
    <w:rsid w:val="00422FAE"/>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32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CB1"/>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2DBA"/>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04D"/>
    <w:rsid w:val="004F0738"/>
    <w:rsid w:val="004F079D"/>
    <w:rsid w:val="004F239A"/>
    <w:rsid w:val="004F29C2"/>
    <w:rsid w:val="004F32BB"/>
    <w:rsid w:val="004F3A10"/>
    <w:rsid w:val="004F4575"/>
    <w:rsid w:val="004F479D"/>
    <w:rsid w:val="004F48C8"/>
    <w:rsid w:val="004F4A60"/>
    <w:rsid w:val="004F4AE3"/>
    <w:rsid w:val="004F6123"/>
    <w:rsid w:val="004F6EF1"/>
    <w:rsid w:val="005008E6"/>
    <w:rsid w:val="005018F5"/>
    <w:rsid w:val="00501C88"/>
    <w:rsid w:val="00503EAD"/>
    <w:rsid w:val="00503EBF"/>
    <w:rsid w:val="00504791"/>
    <w:rsid w:val="00504842"/>
    <w:rsid w:val="00510413"/>
    <w:rsid w:val="00512B21"/>
    <w:rsid w:val="00513D64"/>
    <w:rsid w:val="0051488B"/>
    <w:rsid w:val="005150FF"/>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67A27"/>
    <w:rsid w:val="0057339C"/>
    <w:rsid w:val="0057394D"/>
    <w:rsid w:val="00573A72"/>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4F05"/>
    <w:rsid w:val="005D557D"/>
    <w:rsid w:val="005D58B5"/>
    <w:rsid w:val="005D5EC9"/>
    <w:rsid w:val="005D6F3F"/>
    <w:rsid w:val="005E07CD"/>
    <w:rsid w:val="005E1A6C"/>
    <w:rsid w:val="005E3546"/>
    <w:rsid w:val="005E3DAA"/>
    <w:rsid w:val="005E4188"/>
    <w:rsid w:val="005E41FD"/>
    <w:rsid w:val="005E4890"/>
    <w:rsid w:val="005E5C6E"/>
    <w:rsid w:val="005E6C11"/>
    <w:rsid w:val="005F194A"/>
    <w:rsid w:val="005F40B9"/>
    <w:rsid w:val="005F4180"/>
    <w:rsid w:val="005F498A"/>
    <w:rsid w:val="005F4CEC"/>
    <w:rsid w:val="005F5CE5"/>
    <w:rsid w:val="00600512"/>
    <w:rsid w:val="00601AD1"/>
    <w:rsid w:val="00601DF9"/>
    <w:rsid w:val="006053E6"/>
    <w:rsid w:val="006055E2"/>
    <w:rsid w:val="00606896"/>
    <w:rsid w:val="00607D06"/>
    <w:rsid w:val="00611783"/>
    <w:rsid w:val="00612486"/>
    <w:rsid w:val="0061365E"/>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4B8"/>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0F65"/>
    <w:rsid w:val="006A38EB"/>
    <w:rsid w:val="006A67B0"/>
    <w:rsid w:val="006A6BA3"/>
    <w:rsid w:val="006A75B3"/>
    <w:rsid w:val="006B02A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2E2"/>
    <w:rsid w:val="0070461D"/>
    <w:rsid w:val="007049C6"/>
    <w:rsid w:val="007051DF"/>
    <w:rsid w:val="00710422"/>
    <w:rsid w:val="00710ADE"/>
    <w:rsid w:val="0071184C"/>
    <w:rsid w:val="007118D1"/>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531B"/>
    <w:rsid w:val="0076660D"/>
    <w:rsid w:val="00767491"/>
    <w:rsid w:val="00767862"/>
    <w:rsid w:val="0077077F"/>
    <w:rsid w:val="00772852"/>
    <w:rsid w:val="00773A26"/>
    <w:rsid w:val="00773DAE"/>
    <w:rsid w:val="00774B0A"/>
    <w:rsid w:val="00776EE5"/>
    <w:rsid w:val="00780215"/>
    <w:rsid w:val="007804DE"/>
    <w:rsid w:val="00780C5B"/>
    <w:rsid w:val="007810C1"/>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4CA7"/>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C9E"/>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103"/>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3A6C"/>
    <w:rsid w:val="00894478"/>
    <w:rsid w:val="0089467D"/>
    <w:rsid w:val="00895409"/>
    <w:rsid w:val="00896758"/>
    <w:rsid w:val="008970FC"/>
    <w:rsid w:val="008A05B2"/>
    <w:rsid w:val="008A0BC9"/>
    <w:rsid w:val="008A15C2"/>
    <w:rsid w:val="008A1E22"/>
    <w:rsid w:val="008A228C"/>
    <w:rsid w:val="008A29CC"/>
    <w:rsid w:val="008B0AD8"/>
    <w:rsid w:val="008B2ECF"/>
    <w:rsid w:val="008B597F"/>
    <w:rsid w:val="008B5EB5"/>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122"/>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3A0D"/>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296F"/>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36E13"/>
    <w:rsid w:val="00A37639"/>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B1E"/>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5EF4"/>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55B"/>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1BA"/>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E7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01DF"/>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751"/>
    <w:rsid w:val="00C20D9D"/>
    <w:rsid w:val="00C2101E"/>
    <w:rsid w:val="00C211FE"/>
    <w:rsid w:val="00C224F5"/>
    <w:rsid w:val="00C22689"/>
    <w:rsid w:val="00C23D17"/>
    <w:rsid w:val="00C2489A"/>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270"/>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2A1E"/>
    <w:rsid w:val="00C631DA"/>
    <w:rsid w:val="00C63AC1"/>
    <w:rsid w:val="00C65CB6"/>
    <w:rsid w:val="00C660F8"/>
    <w:rsid w:val="00C67BBB"/>
    <w:rsid w:val="00C70F66"/>
    <w:rsid w:val="00C714DA"/>
    <w:rsid w:val="00C716F2"/>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29F"/>
    <w:rsid w:val="00C94C1A"/>
    <w:rsid w:val="00C94FC0"/>
    <w:rsid w:val="00C965E7"/>
    <w:rsid w:val="00CA060A"/>
    <w:rsid w:val="00CA0C1E"/>
    <w:rsid w:val="00CA0E8B"/>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AE9"/>
    <w:rsid w:val="00CF7C5D"/>
    <w:rsid w:val="00D00908"/>
    <w:rsid w:val="00D01880"/>
    <w:rsid w:val="00D042BB"/>
    <w:rsid w:val="00D05ADE"/>
    <w:rsid w:val="00D064F6"/>
    <w:rsid w:val="00D06759"/>
    <w:rsid w:val="00D072AF"/>
    <w:rsid w:val="00D10109"/>
    <w:rsid w:val="00D13CCF"/>
    <w:rsid w:val="00D14F4C"/>
    <w:rsid w:val="00D156A7"/>
    <w:rsid w:val="00D15753"/>
    <w:rsid w:val="00D15F87"/>
    <w:rsid w:val="00D164AB"/>
    <w:rsid w:val="00D169AC"/>
    <w:rsid w:val="00D17AE5"/>
    <w:rsid w:val="00D200BA"/>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17E3"/>
    <w:rsid w:val="00D521E0"/>
    <w:rsid w:val="00D5256C"/>
    <w:rsid w:val="00D539FD"/>
    <w:rsid w:val="00D547EC"/>
    <w:rsid w:val="00D54CDF"/>
    <w:rsid w:val="00D552B9"/>
    <w:rsid w:val="00D55EF9"/>
    <w:rsid w:val="00D57934"/>
    <w:rsid w:val="00D60B95"/>
    <w:rsid w:val="00D6143E"/>
    <w:rsid w:val="00D61A3C"/>
    <w:rsid w:val="00D61C54"/>
    <w:rsid w:val="00D63CBE"/>
    <w:rsid w:val="00D63E09"/>
    <w:rsid w:val="00D64837"/>
    <w:rsid w:val="00D65ADC"/>
    <w:rsid w:val="00D6613C"/>
    <w:rsid w:val="00D665C5"/>
    <w:rsid w:val="00D700C0"/>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0D8"/>
    <w:rsid w:val="00DA0BE4"/>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24A"/>
    <w:rsid w:val="00E01FEB"/>
    <w:rsid w:val="00E02326"/>
    <w:rsid w:val="00E02EEB"/>
    <w:rsid w:val="00E03485"/>
    <w:rsid w:val="00E03925"/>
    <w:rsid w:val="00E03B86"/>
    <w:rsid w:val="00E04D99"/>
    <w:rsid w:val="00E04F86"/>
    <w:rsid w:val="00E058E6"/>
    <w:rsid w:val="00E05F31"/>
    <w:rsid w:val="00E0696F"/>
    <w:rsid w:val="00E07D60"/>
    <w:rsid w:val="00E12829"/>
    <w:rsid w:val="00E129A9"/>
    <w:rsid w:val="00E12EAF"/>
    <w:rsid w:val="00E15847"/>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9AD"/>
    <w:rsid w:val="00E53B7F"/>
    <w:rsid w:val="00E53EAB"/>
    <w:rsid w:val="00E54FAB"/>
    <w:rsid w:val="00E564BE"/>
    <w:rsid w:val="00E5691A"/>
    <w:rsid w:val="00E56B37"/>
    <w:rsid w:val="00E575AC"/>
    <w:rsid w:val="00E60549"/>
    <w:rsid w:val="00E61AB5"/>
    <w:rsid w:val="00E62687"/>
    <w:rsid w:val="00E62AAC"/>
    <w:rsid w:val="00E62D83"/>
    <w:rsid w:val="00E636CF"/>
    <w:rsid w:val="00E64506"/>
    <w:rsid w:val="00E64A5D"/>
    <w:rsid w:val="00E66F18"/>
    <w:rsid w:val="00E706CE"/>
    <w:rsid w:val="00E71C15"/>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22AE"/>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3BA9"/>
    <w:rsid w:val="00EE50F5"/>
    <w:rsid w:val="00EE5DF6"/>
    <w:rsid w:val="00EE611D"/>
    <w:rsid w:val="00EE6F22"/>
    <w:rsid w:val="00EE7030"/>
    <w:rsid w:val="00EF05A4"/>
    <w:rsid w:val="00EF1B8D"/>
    <w:rsid w:val="00EF3D76"/>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16A87"/>
    <w:rsid w:val="00F21055"/>
    <w:rsid w:val="00F23186"/>
    <w:rsid w:val="00F23EDC"/>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3E76"/>
    <w:rsid w:val="00F74CD9"/>
    <w:rsid w:val="00F7592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2ED"/>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4C36"/>
    <w:rsid w:val="00FB6316"/>
    <w:rsid w:val="00FB6636"/>
    <w:rsid w:val="00FB7647"/>
    <w:rsid w:val="00FB77AE"/>
    <w:rsid w:val="00FB7B89"/>
    <w:rsid w:val="00FB7C04"/>
    <w:rsid w:val="00FC063D"/>
    <w:rsid w:val="00FC31AE"/>
    <w:rsid w:val="00FC3ED6"/>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8EC"/>
    <w:rsid w:val="00FF29E6"/>
    <w:rsid w:val="00FF2C0B"/>
    <w:rsid w:val="00FF2CF0"/>
    <w:rsid w:val="00FF550C"/>
    <w:rsid w:val="00FF74F6"/>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32AE4242-4B86-4549-8CE4-50879E60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747265099">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01601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7F"/>
    <w:rsid w:val="00000D3D"/>
    <w:rsid w:val="00002820"/>
    <w:rsid w:val="00014452"/>
    <w:rsid w:val="000315A5"/>
    <w:rsid w:val="000324ED"/>
    <w:rsid w:val="0003286F"/>
    <w:rsid w:val="00046AFE"/>
    <w:rsid w:val="000475E4"/>
    <w:rsid w:val="000B20FC"/>
    <w:rsid w:val="000C71E0"/>
    <w:rsid w:val="000E309D"/>
    <w:rsid w:val="00100662"/>
    <w:rsid w:val="00107363"/>
    <w:rsid w:val="0011727A"/>
    <w:rsid w:val="00141139"/>
    <w:rsid w:val="00141DA6"/>
    <w:rsid w:val="0014206D"/>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8DC"/>
    <w:rsid w:val="00427B92"/>
    <w:rsid w:val="004468B8"/>
    <w:rsid w:val="0046128C"/>
    <w:rsid w:val="00492C7D"/>
    <w:rsid w:val="00493859"/>
    <w:rsid w:val="004B6675"/>
    <w:rsid w:val="004C409B"/>
    <w:rsid w:val="004C500F"/>
    <w:rsid w:val="004C7E05"/>
    <w:rsid w:val="004F262C"/>
    <w:rsid w:val="004F4954"/>
    <w:rsid w:val="005377B3"/>
    <w:rsid w:val="00576DC4"/>
    <w:rsid w:val="005A49E4"/>
    <w:rsid w:val="005A6E0F"/>
    <w:rsid w:val="005B640A"/>
    <w:rsid w:val="005C46F4"/>
    <w:rsid w:val="0061016B"/>
    <w:rsid w:val="006252AB"/>
    <w:rsid w:val="00627E73"/>
    <w:rsid w:val="006329AD"/>
    <w:rsid w:val="00637036"/>
    <w:rsid w:val="00637191"/>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23017"/>
    <w:rsid w:val="00933117"/>
    <w:rsid w:val="00943882"/>
    <w:rsid w:val="0095269B"/>
    <w:rsid w:val="00962DDE"/>
    <w:rsid w:val="0096541A"/>
    <w:rsid w:val="0096780A"/>
    <w:rsid w:val="00976120"/>
    <w:rsid w:val="00A0369E"/>
    <w:rsid w:val="00A0468F"/>
    <w:rsid w:val="00A0531A"/>
    <w:rsid w:val="00A05D84"/>
    <w:rsid w:val="00A12D15"/>
    <w:rsid w:val="00A21F50"/>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16F2"/>
    <w:rsid w:val="00C72359"/>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64506"/>
    <w:rsid w:val="00E73974"/>
    <w:rsid w:val="00EA133F"/>
    <w:rsid w:val="00EA787F"/>
    <w:rsid w:val="00ED484B"/>
    <w:rsid w:val="00EE2E5D"/>
    <w:rsid w:val="00EF36B0"/>
    <w:rsid w:val="00F07CAE"/>
    <w:rsid w:val="00F1436B"/>
    <w:rsid w:val="00F3457F"/>
    <w:rsid w:val="00F472C9"/>
    <w:rsid w:val="00F53261"/>
    <w:rsid w:val="00F6184E"/>
    <w:rsid w:val="00F62DB4"/>
    <w:rsid w:val="00F65363"/>
    <w:rsid w:val="00F73882"/>
    <w:rsid w:val="00F74522"/>
    <w:rsid w:val="00F97BCA"/>
    <w:rsid w:val="00FA121E"/>
    <w:rsid w:val="00FC15E3"/>
    <w:rsid w:val="00FD1ABA"/>
    <w:rsid w:val="00FE2216"/>
    <w:rsid w:val="00FE3F4A"/>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1139"/>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1931B-EE1D-4C7C-A2AA-C167F8A6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24416</Words>
  <Characters>13918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3</cp:revision>
  <cp:lastPrinted>2019-01-09T07:18:00Z</cp:lastPrinted>
  <dcterms:created xsi:type="dcterms:W3CDTF">2024-08-05T11:30:00Z</dcterms:created>
  <dcterms:modified xsi:type="dcterms:W3CDTF">2024-08-05T11:38:00Z</dcterms:modified>
</cp:coreProperties>
</file>