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C1111" w14:textId="543B9D45" w:rsidR="0083351E" w:rsidRDefault="0083351E" w:rsidP="0083351E">
      <w:pPr>
        <w:tabs>
          <w:tab w:val="left" w:pos="11624"/>
        </w:tabs>
        <w:spacing w:after="0" w:line="240" w:lineRule="auto"/>
        <w:ind w:firstLine="10490"/>
        <w:jc w:val="both"/>
        <w:rPr>
          <w:bCs/>
          <w:szCs w:val="24"/>
        </w:rPr>
      </w:pPr>
      <w:r>
        <w:rPr>
          <w:bCs/>
          <w:szCs w:val="24"/>
        </w:rPr>
        <w:t>Sutarties 1 priedas</w:t>
      </w:r>
    </w:p>
    <w:p w14:paraId="74D7A239" w14:textId="70B46769" w:rsidR="0083351E" w:rsidRDefault="0083351E" w:rsidP="0083351E">
      <w:pPr>
        <w:tabs>
          <w:tab w:val="left" w:pos="11624"/>
        </w:tabs>
        <w:spacing w:after="0" w:line="240" w:lineRule="auto"/>
        <w:ind w:left="10490"/>
        <w:jc w:val="both"/>
        <w:rPr>
          <w:bCs/>
          <w:szCs w:val="24"/>
        </w:rPr>
      </w:pPr>
      <w:r>
        <w:rPr>
          <w:bCs/>
          <w:szCs w:val="24"/>
        </w:rPr>
        <w:t>2024-        -           sutarties Nr. ST-</w:t>
      </w:r>
    </w:p>
    <w:p w14:paraId="0F7757E0" w14:textId="77777777" w:rsidR="0083351E" w:rsidRPr="005A18AE" w:rsidRDefault="0083351E" w:rsidP="0083351E">
      <w:pPr>
        <w:tabs>
          <w:tab w:val="left" w:pos="11340"/>
        </w:tabs>
        <w:spacing w:after="0" w:line="240" w:lineRule="auto"/>
        <w:jc w:val="center"/>
      </w:pPr>
      <w:r w:rsidRPr="005A18AE">
        <w:rPr>
          <w:bCs/>
          <w:szCs w:val="24"/>
        </w:rPr>
        <w:tab/>
      </w:r>
    </w:p>
    <w:p w14:paraId="0F70D2EF" w14:textId="734C5ABC" w:rsidR="006328E3" w:rsidRPr="006328E3" w:rsidRDefault="006328E3" w:rsidP="006328E3">
      <w:pPr>
        <w:spacing w:after="0"/>
        <w:jc w:val="center"/>
        <w:rPr>
          <w:szCs w:val="24"/>
        </w:rPr>
      </w:pPr>
      <w:bookmarkStart w:id="0" w:name="_Hlk164075033"/>
      <w:r w:rsidRPr="006328E3">
        <w:rPr>
          <w:b/>
          <w:szCs w:val="24"/>
        </w:rPr>
        <w:t>REAGENTŲ</w:t>
      </w:r>
      <w:r w:rsidR="00C04C16">
        <w:rPr>
          <w:b/>
          <w:szCs w:val="24"/>
        </w:rPr>
        <w:t xml:space="preserve"> IR PRIEMONIŲ</w:t>
      </w:r>
      <w:r w:rsidRPr="006328E3">
        <w:rPr>
          <w:b/>
          <w:szCs w:val="24"/>
        </w:rPr>
        <w:t xml:space="preserve">, SKIRTŲ </w:t>
      </w:r>
      <w:r w:rsidR="00C04C16">
        <w:rPr>
          <w:b/>
          <w:szCs w:val="24"/>
        </w:rPr>
        <w:t>KLINIKINIŲ TYRIMŲ ATLIKIMUI</w:t>
      </w:r>
      <w:r w:rsidRPr="006328E3">
        <w:rPr>
          <w:b/>
          <w:szCs w:val="24"/>
        </w:rPr>
        <w:t>, PIRKIMAS (AK-</w:t>
      </w:r>
      <w:r w:rsidR="00C454B4">
        <w:rPr>
          <w:b/>
          <w:szCs w:val="24"/>
        </w:rPr>
        <w:t>11</w:t>
      </w:r>
      <w:r w:rsidRPr="006328E3">
        <w:rPr>
          <w:b/>
          <w:szCs w:val="24"/>
        </w:rPr>
        <w:t>/2024)</w:t>
      </w:r>
    </w:p>
    <w:bookmarkEnd w:id="0"/>
    <w:p w14:paraId="0310B3B7" w14:textId="7658D9D6" w:rsidR="0083351E" w:rsidRDefault="0083351E" w:rsidP="00ED2AA2">
      <w:pPr>
        <w:jc w:val="center"/>
        <w:rPr>
          <w:szCs w:val="24"/>
        </w:rPr>
      </w:pPr>
      <w:r w:rsidRPr="005A18AE">
        <w:rPr>
          <w:b/>
          <w:szCs w:val="24"/>
        </w:rPr>
        <w:t>TECHNINĖ SPECIFIKACIJA</w:t>
      </w:r>
    </w:p>
    <w:tbl>
      <w:tblPr>
        <w:tblW w:w="1488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00"/>
        <w:gridCol w:w="1027"/>
        <w:gridCol w:w="991"/>
        <w:gridCol w:w="2125"/>
        <w:gridCol w:w="2094"/>
        <w:gridCol w:w="883"/>
        <w:gridCol w:w="797"/>
        <w:gridCol w:w="54"/>
        <w:gridCol w:w="655"/>
        <w:gridCol w:w="195"/>
        <w:gridCol w:w="513"/>
        <w:gridCol w:w="338"/>
        <w:gridCol w:w="370"/>
        <w:gridCol w:w="338"/>
        <w:gridCol w:w="513"/>
        <w:gridCol w:w="338"/>
        <w:gridCol w:w="251"/>
        <w:gridCol w:w="601"/>
        <w:gridCol w:w="850"/>
      </w:tblGrid>
      <w:tr w:rsidR="0083351E" w:rsidRPr="00C65CA9" w14:paraId="7FF649CB" w14:textId="77777777" w:rsidTr="00FC01A8">
        <w:trPr>
          <w:tblHeader/>
        </w:trPr>
        <w:tc>
          <w:tcPr>
            <w:tcW w:w="851" w:type="dxa"/>
          </w:tcPr>
          <w:p w14:paraId="32CB22C3" w14:textId="77777777" w:rsidR="0083351E" w:rsidRPr="00C65CA9" w:rsidRDefault="0083351E" w:rsidP="00B24189">
            <w:pPr>
              <w:spacing w:after="0" w:line="240" w:lineRule="auto"/>
              <w:ind w:left="-108" w:right="-108"/>
              <w:jc w:val="center"/>
              <w:rPr>
                <w:b/>
                <w:sz w:val="20"/>
              </w:rPr>
            </w:pPr>
            <w:r w:rsidRPr="00C65CA9">
              <w:rPr>
                <w:b/>
                <w:sz w:val="20"/>
              </w:rPr>
              <w:lastRenderedPageBreak/>
              <w:t>Pirkimo</w:t>
            </w:r>
            <w:r>
              <w:rPr>
                <w:b/>
                <w:sz w:val="20"/>
              </w:rPr>
              <w:t xml:space="preserve"> objekto</w:t>
            </w:r>
            <w:r w:rsidRPr="00C65CA9">
              <w:rPr>
                <w:b/>
                <w:sz w:val="20"/>
              </w:rPr>
              <w:t xml:space="preserve"> dalies</w:t>
            </w:r>
          </w:p>
          <w:p w14:paraId="36015DEC" w14:textId="77777777" w:rsidR="0083351E" w:rsidRPr="00C65CA9" w:rsidRDefault="0083351E" w:rsidP="00B24189">
            <w:pPr>
              <w:spacing w:after="0" w:line="240" w:lineRule="auto"/>
              <w:ind w:left="-108" w:right="-108"/>
              <w:jc w:val="center"/>
              <w:rPr>
                <w:b/>
                <w:sz w:val="20"/>
              </w:rPr>
            </w:pPr>
            <w:r w:rsidRPr="00C65CA9">
              <w:rPr>
                <w:b/>
                <w:sz w:val="20"/>
              </w:rPr>
              <w:t>Nr.</w:t>
            </w:r>
          </w:p>
        </w:tc>
        <w:tc>
          <w:tcPr>
            <w:tcW w:w="2127" w:type="dxa"/>
            <w:gridSpan w:val="2"/>
          </w:tcPr>
          <w:p w14:paraId="6D7CF15C" w14:textId="77777777" w:rsidR="0083351E" w:rsidRPr="00C65CA9" w:rsidRDefault="0083351E" w:rsidP="00B24189">
            <w:pPr>
              <w:spacing w:after="0" w:line="240" w:lineRule="auto"/>
              <w:jc w:val="center"/>
              <w:rPr>
                <w:b/>
                <w:sz w:val="20"/>
              </w:rPr>
            </w:pPr>
            <w:r w:rsidRPr="00C65CA9">
              <w:rPr>
                <w:b/>
                <w:sz w:val="20"/>
              </w:rPr>
              <w:t xml:space="preserve">Pirkimo </w:t>
            </w:r>
            <w:r>
              <w:rPr>
                <w:b/>
                <w:sz w:val="20"/>
              </w:rPr>
              <w:t xml:space="preserve">objekto </w:t>
            </w:r>
            <w:r w:rsidRPr="00C65CA9">
              <w:rPr>
                <w:b/>
                <w:sz w:val="20"/>
              </w:rPr>
              <w:t>dalies pavadinimas</w:t>
            </w:r>
          </w:p>
        </w:tc>
        <w:tc>
          <w:tcPr>
            <w:tcW w:w="991" w:type="dxa"/>
          </w:tcPr>
          <w:p w14:paraId="6D445353" w14:textId="77777777" w:rsidR="0083351E" w:rsidRPr="00C65CA9" w:rsidRDefault="0083351E" w:rsidP="00B24189">
            <w:pPr>
              <w:spacing w:after="0" w:line="240" w:lineRule="auto"/>
              <w:ind w:left="-108" w:right="-108"/>
              <w:jc w:val="center"/>
              <w:rPr>
                <w:b/>
                <w:sz w:val="20"/>
              </w:rPr>
            </w:pPr>
            <w:r w:rsidRPr="00C65CA9">
              <w:rPr>
                <w:b/>
                <w:sz w:val="20"/>
              </w:rPr>
              <w:t>BVPŽ</w:t>
            </w:r>
          </w:p>
          <w:p w14:paraId="713D8F8F" w14:textId="77777777" w:rsidR="0083351E" w:rsidRPr="00C65CA9" w:rsidRDefault="0083351E" w:rsidP="00B24189">
            <w:pPr>
              <w:spacing w:after="0" w:line="240" w:lineRule="auto"/>
              <w:ind w:left="-108" w:right="-108"/>
              <w:jc w:val="center"/>
              <w:rPr>
                <w:b/>
                <w:sz w:val="20"/>
              </w:rPr>
            </w:pPr>
            <w:r w:rsidRPr="00C65CA9">
              <w:rPr>
                <w:b/>
                <w:sz w:val="20"/>
              </w:rPr>
              <w:t>kodas</w:t>
            </w:r>
          </w:p>
        </w:tc>
        <w:tc>
          <w:tcPr>
            <w:tcW w:w="2125" w:type="dxa"/>
          </w:tcPr>
          <w:p w14:paraId="61B95D41" w14:textId="77777777" w:rsidR="0083351E" w:rsidRPr="00C65CA9" w:rsidRDefault="0083351E" w:rsidP="00B24189">
            <w:pPr>
              <w:spacing w:after="0" w:line="240" w:lineRule="auto"/>
              <w:ind w:left="-108" w:right="-108"/>
              <w:jc w:val="center"/>
              <w:rPr>
                <w:b/>
                <w:sz w:val="20"/>
              </w:rPr>
            </w:pPr>
            <w:r>
              <w:rPr>
                <w:b/>
                <w:sz w:val="20"/>
              </w:rPr>
              <w:t>S</w:t>
            </w:r>
            <w:r w:rsidRPr="00C65CA9">
              <w:rPr>
                <w:b/>
                <w:sz w:val="20"/>
              </w:rPr>
              <w:t>pecifikacija</w:t>
            </w:r>
          </w:p>
        </w:tc>
        <w:tc>
          <w:tcPr>
            <w:tcW w:w="2977" w:type="dxa"/>
            <w:gridSpan w:val="2"/>
          </w:tcPr>
          <w:p w14:paraId="1F3B6DA4" w14:textId="77777777" w:rsidR="0083351E" w:rsidRPr="00C65CA9" w:rsidRDefault="0083351E" w:rsidP="00B24189">
            <w:pPr>
              <w:spacing w:after="0" w:line="240" w:lineRule="auto"/>
              <w:ind w:left="-114" w:right="-100"/>
              <w:jc w:val="center"/>
              <w:rPr>
                <w:b/>
                <w:sz w:val="20"/>
              </w:rPr>
            </w:pPr>
            <w:r w:rsidRPr="00C65CA9">
              <w:rPr>
                <w:b/>
                <w:sz w:val="20"/>
              </w:rPr>
              <w:t>Gamintojas</w:t>
            </w:r>
            <w:r>
              <w:rPr>
                <w:b/>
                <w:sz w:val="20"/>
              </w:rPr>
              <w:t xml:space="preserve"> ir gamintojo katalogo Nr.</w:t>
            </w:r>
            <w:r w:rsidRPr="00C65CA9">
              <w:rPr>
                <w:b/>
                <w:sz w:val="20"/>
              </w:rPr>
              <w:t>, gamintojo fasuotė</w:t>
            </w:r>
          </w:p>
        </w:tc>
        <w:tc>
          <w:tcPr>
            <w:tcW w:w="851" w:type="dxa"/>
            <w:gridSpan w:val="2"/>
          </w:tcPr>
          <w:p w14:paraId="45E9FD0D" w14:textId="77777777" w:rsidR="0083351E" w:rsidRPr="00C65CA9" w:rsidRDefault="0083351E" w:rsidP="00B24189">
            <w:pPr>
              <w:spacing w:after="0" w:line="240" w:lineRule="auto"/>
              <w:ind w:left="-108" w:right="-123"/>
              <w:jc w:val="center"/>
              <w:rPr>
                <w:b/>
                <w:sz w:val="20"/>
              </w:rPr>
            </w:pPr>
            <w:r>
              <w:rPr>
                <w:b/>
                <w:sz w:val="20"/>
              </w:rPr>
              <w:t>M</w:t>
            </w:r>
            <w:r w:rsidRPr="00C65CA9">
              <w:rPr>
                <w:b/>
                <w:sz w:val="20"/>
              </w:rPr>
              <w:t>ato vienetas</w:t>
            </w:r>
          </w:p>
        </w:tc>
        <w:tc>
          <w:tcPr>
            <w:tcW w:w="850" w:type="dxa"/>
            <w:gridSpan w:val="2"/>
          </w:tcPr>
          <w:p w14:paraId="3C9DB8B6" w14:textId="77777777" w:rsidR="0083351E" w:rsidRPr="00C65CA9" w:rsidRDefault="0083351E" w:rsidP="00B24189">
            <w:pPr>
              <w:spacing w:after="0" w:line="240" w:lineRule="auto"/>
              <w:ind w:left="-107" w:right="-108"/>
              <w:jc w:val="center"/>
              <w:rPr>
                <w:b/>
                <w:sz w:val="20"/>
              </w:rPr>
            </w:pPr>
            <w:r w:rsidRPr="00C65CA9">
              <w:rPr>
                <w:b/>
                <w:sz w:val="20"/>
              </w:rPr>
              <w:t xml:space="preserve">Maksi-malus orienta-cinis </w:t>
            </w:r>
            <w:r>
              <w:rPr>
                <w:b/>
                <w:sz w:val="20"/>
              </w:rPr>
              <w:t xml:space="preserve">vnt. </w:t>
            </w:r>
            <w:r w:rsidRPr="00C65CA9">
              <w:rPr>
                <w:b/>
                <w:sz w:val="20"/>
              </w:rPr>
              <w:t>kiekis</w:t>
            </w:r>
          </w:p>
        </w:tc>
        <w:tc>
          <w:tcPr>
            <w:tcW w:w="851" w:type="dxa"/>
            <w:gridSpan w:val="2"/>
          </w:tcPr>
          <w:p w14:paraId="09C3E18E" w14:textId="77777777" w:rsidR="0083351E" w:rsidRPr="00C65CA9" w:rsidRDefault="0083351E" w:rsidP="00B24189">
            <w:pPr>
              <w:spacing w:after="0" w:line="240" w:lineRule="auto"/>
              <w:ind w:left="-109" w:right="-108"/>
              <w:jc w:val="center"/>
              <w:rPr>
                <w:b/>
                <w:sz w:val="20"/>
              </w:rPr>
            </w:pPr>
            <w:r w:rsidRPr="00C65CA9">
              <w:rPr>
                <w:b/>
                <w:sz w:val="20"/>
              </w:rPr>
              <w:t>Vnt. kaina</w:t>
            </w:r>
            <w:r>
              <w:rPr>
                <w:b/>
                <w:sz w:val="20"/>
              </w:rPr>
              <w:t>,</w:t>
            </w:r>
            <w:r w:rsidRPr="00C65CA9">
              <w:rPr>
                <w:b/>
                <w:sz w:val="20"/>
              </w:rPr>
              <w:t xml:space="preserve"> Eur be PVM</w:t>
            </w:r>
          </w:p>
        </w:tc>
        <w:tc>
          <w:tcPr>
            <w:tcW w:w="708" w:type="dxa"/>
            <w:gridSpan w:val="2"/>
          </w:tcPr>
          <w:p w14:paraId="3AB0CA58" w14:textId="77777777" w:rsidR="0083351E" w:rsidRPr="00C65CA9" w:rsidRDefault="0083351E" w:rsidP="00B24189">
            <w:pPr>
              <w:spacing w:after="0" w:line="240" w:lineRule="auto"/>
              <w:ind w:left="-111" w:right="-108" w:firstLine="3"/>
              <w:jc w:val="center"/>
              <w:rPr>
                <w:b/>
                <w:sz w:val="20"/>
              </w:rPr>
            </w:pPr>
            <w:r w:rsidRPr="00C65CA9">
              <w:rPr>
                <w:b/>
                <w:sz w:val="20"/>
              </w:rPr>
              <w:t>PVM tarifas (%)</w:t>
            </w:r>
          </w:p>
        </w:tc>
        <w:tc>
          <w:tcPr>
            <w:tcW w:w="851" w:type="dxa"/>
            <w:gridSpan w:val="2"/>
          </w:tcPr>
          <w:p w14:paraId="2B4F6FEE" w14:textId="77777777" w:rsidR="0083351E" w:rsidRPr="00C65CA9" w:rsidRDefault="0083351E" w:rsidP="00B24189">
            <w:pPr>
              <w:spacing w:after="0" w:line="240" w:lineRule="auto"/>
              <w:ind w:left="34"/>
              <w:jc w:val="center"/>
              <w:rPr>
                <w:b/>
                <w:sz w:val="20"/>
              </w:rPr>
            </w:pPr>
            <w:r w:rsidRPr="00C65CA9">
              <w:rPr>
                <w:b/>
                <w:sz w:val="20"/>
              </w:rPr>
              <w:t>Vnt. kaina</w:t>
            </w:r>
            <w:r>
              <w:rPr>
                <w:b/>
                <w:sz w:val="20"/>
              </w:rPr>
              <w:t>,</w:t>
            </w:r>
            <w:r w:rsidRPr="00C65CA9">
              <w:rPr>
                <w:b/>
                <w:sz w:val="20"/>
              </w:rPr>
              <w:t xml:space="preserve"> Eur su PVM</w:t>
            </w:r>
          </w:p>
        </w:tc>
        <w:tc>
          <w:tcPr>
            <w:tcW w:w="852" w:type="dxa"/>
            <w:gridSpan w:val="2"/>
          </w:tcPr>
          <w:p w14:paraId="2185CEC3" w14:textId="77777777" w:rsidR="0083351E" w:rsidRPr="00C65CA9" w:rsidRDefault="0083351E" w:rsidP="00B24189">
            <w:pPr>
              <w:spacing w:after="0" w:line="240" w:lineRule="auto"/>
              <w:ind w:left="-114" w:right="-100"/>
              <w:jc w:val="center"/>
              <w:rPr>
                <w:b/>
                <w:sz w:val="20"/>
              </w:rPr>
            </w:pPr>
            <w:r w:rsidRPr="00C65CA9">
              <w:rPr>
                <w:b/>
                <w:sz w:val="20"/>
              </w:rPr>
              <w:t>Suma</w:t>
            </w:r>
            <w:r>
              <w:rPr>
                <w:b/>
                <w:sz w:val="20"/>
              </w:rPr>
              <w:t>,</w:t>
            </w:r>
            <w:r w:rsidRPr="00C65CA9">
              <w:rPr>
                <w:b/>
                <w:sz w:val="20"/>
              </w:rPr>
              <w:t xml:space="preserve"> Eur be PVM (maks. orient. kiekiui)</w:t>
            </w:r>
          </w:p>
        </w:tc>
        <w:tc>
          <w:tcPr>
            <w:tcW w:w="850" w:type="dxa"/>
          </w:tcPr>
          <w:p w14:paraId="2559C564" w14:textId="77777777" w:rsidR="0083351E" w:rsidRPr="00C65CA9" w:rsidRDefault="0083351E" w:rsidP="00B24189">
            <w:pPr>
              <w:spacing w:after="0" w:line="240" w:lineRule="auto"/>
              <w:ind w:left="-114" w:right="-100"/>
              <w:jc w:val="center"/>
              <w:rPr>
                <w:b/>
                <w:sz w:val="20"/>
              </w:rPr>
            </w:pPr>
            <w:r w:rsidRPr="00C65CA9">
              <w:rPr>
                <w:b/>
                <w:sz w:val="20"/>
              </w:rPr>
              <w:t>Suma</w:t>
            </w:r>
            <w:r>
              <w:rPr>
                <w:b/>
                <w:sz w:val="20"/>
              </w:rPr>
              <w:t>,</w:t>
            </w:r>
            <w:r w:rsidRPr="00C65CA9">
              <w:rPr>
                <w:b/>
                <w:sz w:val="20"/>
              </w:rPr>
              <w:t xml:space="preserve"> Eur su PVM (maks. orient. kiekiui)</w:t>
            </w:r>
          </w:p>
        </w:tc>
      </w:tr>
      <w:tr w:rsidR="0010368E" w:rsidRPr="009D0D16" w14:paraId="3F0D0546" w14:textId="77777777" w:rsidTr="00FC01A8">
        <w:trPr>
          <w:trHeight w:val="365"/>
          <w:tblHeader/>
        </w:trPr>
        <w:tc>
          <w:tcPr>
            <w:tcW w:w="851" w:type="dxa"/>
          </w:tcPr>
          <w:p w14:paraId="2679E0FE" w14:textId="6928C247" w:rsidR="0010368E" w:rsidRPr="0010368E" w:rsidRDefault="0010368E" w:rsidP="0010368E">
            <w:pPr>
              <w:spacing w:after="0" w:line="240" w:lineRule="auto"/>
              <w:jc w:val="center"/>
              <w:rPr>
                <w:sz w:val="20"/>
                <w:szCs w:val="20"/>
              </w:rPr>
            </w:pPr>
            <w:r w:rsidRPr="0010368E">
              <w:rPr>
                <w:sz w:val="20"/>
                <w:szCs w:val="20"/>
              </w:rPr>
              <w:t>97</w:t>
            </w:r>
          </w:p>
        </w:tc>
        <w:tc>
          <w:tcPr>
            <w:tcW w:w="2127" w:type="dxa"/>
            <w:gridSpan w:val="2"/>
          </w:tcPr>
          <w:p w14:paraId="2CB927A6" w14:textId="5BB208CA" w:rsidR="0010368E" w:rsidRPr="0010368E" w:rsidRDefault="0010368E" w:rsidP="0010368E">
            <w:pPr>
              <w:spacing w:after="0" w:line="240" w:lineRule="auto"/>
              <w:rPr>
                <w:b/>
                <w:sz w:val="20"/>
                <w:szCs w:val="20"/>
              </w:rPr>
            </w:pPr>
            <w:r w:rsidRPr="0010368E">
              <w:rPr>
                <w:sz w:val="20"/>
                <w:szCs w:val="20"/>
              </w:rPr>
              <w:t>Reagentai virusinių ligų žymenų tyrimams IFA metodu mikroplokštelių formatu</w:t>
            </w:r>
          </w:p>
        </w:tc>
        <w:tc>
          <w:tcPr>
            <w:tcW w:w="991" w:type="dxa"/>
          </w:tcPr>
          <w:p w14:paraId="5632C7B2" w14:textId="0815E0E7" w:rsidR="0010368E" w:rsidRPr="0010368E" w:rsidRDefault="0010368E" w:rsidP="0010368E">
            <w:pPr>
              <w:spacing w:after="0" w:line="240" w:lineRule="auto"/>
              <w:ind w:left="-108" w:right="-108"/>
              <w:jc w:val="center"/>
              <w:rPr>
                <w:sz w:val="20"/>
                <w:szCs w:val="20"/>
              </w:rPr>
            </w:pPr>
            <w:r w:rsidRPr="0010368E">
              <w:rPr>
                <w:sz w:val="20"/>
                <w:szCs w:val="20"/>
              </w:rPr>
              <w:t>33696500-0</w:t>
            </w:r>
          </w:p>
        </w:tc>
        <w:tc>
          <w:tcPr>
            <w:tcW w:w="2125" w:type="dxa"/>
          </w:tcPr>
          <w:p w14:paraId="7523E0EF" w14:textId="77777777" w:rsidR="0010368E" w:rsidRPr="0010368E" w:rsidRDefault="0010368E" w:rsidP="0010368E">
            <w:pPr>
              <w:spacing w:after="0" w:line="240" w:lineRule="auto"/>
              <w:ind w:left="-108" w:right="-108"/>
              <w:jc w:val="center"/>
              <w:rPr>
                <w:sz w:val="20"/>
                <w:szCs w:val="20"/>
              </w:rPr>
            </w:pPr>
          </w:p>
        </w:tc>
        <w:tc>
          <w:tcPr>
            <w:tcW w:w="2977" w:type="dxa"/>
            <w:gridSpan w:val="2"/>
          </w:tcPr>
          <w:p w14:paraId="7C7938E4" w14:textId="77777777" w:rsidR="0010368E" w:rsidRPr="0010368E" w:rsidRDefault="0010368E" w:rsidP="0010368E">
            <w:pPr>
              <w:spacing w:after="0" w:line="240" w:lineRule="auto"/>
              <w:ind w:left="-114" w:right="-100"/>
              <w:jc w:val="center"/>
              <w:rPr>
                <w:sz w:val="20"/>
                <w:szCs w:val="20"/>
              </w:rPr>
            </w:pPr>
          </w:p>
        </w:tc>
        <w:tc>
          <w:tcPr>
            <w:tcW w:w="851" w:type="dxa"/>
            <w:gridSpan w:val="2"/>
          </w:tcPr>
          <w:p w14:paraId="51887DA3" w14:textId="77777777" w:rsidR="0010368E" w:rsidRPr="0010368E" w:rsidRDefault="0010368E" w:rsidP="0010368E">
            <w:pPr>
              <w:spacing w:after="0" w:line="240" w:lineRule="auto"/>
              <w:ind w:left="-108" w:right="-123"/>
              <w:jc w:val="center"/>
              <w:rPr>
                <w:sz w:val="20"/>
                <w:szCs w:val="20"/>
              </w:rPr>
            </w:pPr>
          </w:p>
        </w:tc>
        <w:tc>
          <w:tcPr>
            <w:tcW w:w="850" w:type="dxa"/>
            <w:gridSpan w:val="2"/>
          </w:tcPr>
          <w:p w14:paraId="7C48A4F6" w14:textId="77777777" w:rsidR="0010368E" w:rsidRPr="0010368E" w:rsidRDefault="0010368E" w:rsidP="0010368E">
            <w:pPr>
              <w:spacing w:after="0" w:line="240" w:lineRule="auto"/>
              <w:jc w:val="center"/>
              <w:rPr>
                <w:b/>
                <w:sz w:val="20"/>
                <w:szCs w:val="20"/>
              </w:rPr>
            </w:pPr>
          </w:p>
        </w:tc>
        <w:tc>
          <w:tcPr>
            <w:tcW w:w="851" w:type="dxa"/>
            <w:gridSpan w:val="2"/>
          </w:tcPr>
          <w:p w14:paraId="09ED6DE7" w14:textId="77777777" w:rsidR="0010368E" w:rsidRPr="0010368E" w:rsidRDefault="0010368E" w:rsidP="0010368E">
            <w:pPr>
              <w:spacing w:after="0" w:line="240" w:lineRule="auto"/>
              <w:jc w:val="center"/>
              <w:rPr>
                <w:sz w:val="20"/>
                <w:szCs w:val="20"/>
              </w:rPr>
            </w:pPr>
          </w:p>
        </w:tc>
        <w:tc>
          <w:tcPr>
            <w:tcW w:w="708" w:type="dxa"/>
            <w:gridSpan w:val="2"/>
          </w:tcPr>
          <w:p w14:paraId="749DE632" w14:textId="77777777" w:rsidR="0010368E" w:rsidRPr="0010368E" w:rsidRDefault="0010368E" w:rsidP="0010368E">
            <w:pPr>
              <w:spacing w:after="0" w:line="240" w:lineRule="auto"/>
              <w:ind w:right="-108"/>
              <w:jc w:val="center"/>
              <w:rPr>
                <w:sz w:val="20"/>
                <w:szCs w:val="20"/>
              </w:rPr>
            </w:pPr>
          </w:p>
        </w:tc>
        <w:tc>
          <w:tcPr>
            <w:tcW w:w="851" w:type="dxa"/>
            <w:gridSpan w:val="2"/>
          </w:tcPr>
          <w:p w14:paraId="6894FD9A" w14:textId="77777777" w:rsidR="0010368E" w:rsidRPr="0010368E" w:rsidRDefault="0010368E" w:rsidP="0010368E">
            <w:pPr>
              <w:spacing w:after="0" w:line="240" w:lineRule="auto"/>
              <w:jc w:val="center"/>
              <w:rPr>
                <w:sz w:val="20"/>
                <w:szCs w:val="20"/>
              </w:rPr>
            </w:pPr>
          </w:p>
        </w:tc>
        <w:tc>
          <w:tcPr>
            <w:tcW w:w="852" w:type="dxa"/>
            <w:gridSpan w:val="2"/>
          </w:tcPr>
          <w:p w14:paraId="36D1FD73" w14:textId="77777777" w:rsidR="0010368E" w:rsidRPr="0010368E" w:rsidRDefault="0010368E" w:rsidP="0010368E">
            <w:pPr>
              <w:spacing w:after="0" w:line="240" w:lineRule="auto"/>
              <w:ind w:left="-114" w:right="-100"/>
              <w:jc w:val="center"/>
              <w:rPr>
                <w:sz w:val="20"/>
                <w:szCs w:val="20"/>
              </w:rPr>
            </w:pPr>
          </w:p>
        </w:tc>
        <w:tc>
          <w:tcPr>
            <w:tcW w:w="850" w:type="dxa"/>
          </w:tcPr>
          <w:p w14:paraId="30F4EBF6" w14:textId="77777777" w:rsidR="0010368E" w:rsidRPr="0010368E" w:rsidRDefault="0010368E" w:rsidP="0010368E">
            <w:pPr>
              <w:spacing w:after="0" w:line="240" w:lineRule="auto"/>
              <w:ind w:left="-114" w:right="-100"/>
              <w:jc w:val="center"/>
              <w:rPr>
                <w:sz w:val="20"/>
                <w:szCs w:val="20"/>
              </w:rPr>
            </w:pPr>
          </w:p>
        </w:tc>
      </w:tr>
      <w:tr w:rsidR="0037199C" w:rsidRPr="009D0D16" w14:paraId="7F2A5DF1" w14:textId="77777777" w:rsidTr="00FC01A8">
        <w:trPr>
          <w:trHeight w:val="415"/>
          <w:tblHeader/>
        </w:trPr>
        <w:tc>
          <w:tcPr>
            <w:tcW w:w="851" w:type="dxa"/>
            <w:tcBorders>
              <w:bottom w:val="single" w:sz="4" w:space="0" w:color="auto"/>
            </w:tcBorders>
          </w:tcPr>
          <w:p w14:paraId="71901E27" w14:textId="4B423DAA" w:rsidR="0010368E" w:rsidRPr="00706AF9" w:rsidRDefault="0010368E" w:rsidP="0010368E">
            <w:pPr>
              <w:spacing w:after="0" w:line="240" w:lineRule="auto"/>
              <w:jc w:val="center"/>
              <w:rPr>
                <w:sz w:val="20"/>
                <w:szCs w:val="20"/>
              </w:rPr>
            </w:pPr>
            <w:r w:rsidRPr="00706AF9">
              <w:rPr>
                <w:sz w:val="20"/>
                <w:szCs w:val="20"/>
              </w:rPr>
              <w:t>97.1</w:t>
            </w:r>
          </w:p>
        </w:tc>
        <w:tc>
          <w:tcPr>
            <w:tcW w:w="2127" w:type="dxa"/>
            <w:gridSpan w:val="2"/>
            <w:tcBorders>
              <w:bottom w:val="single" w:sz="4" w:space="0" w:color="auto"/>
            </w:tcBorders>
          </w:tcPr>
          <w:p w14:paraId="40E1A233" w14:textId="0026AFDE" w:rsidR="0010368E" w:rsidRPr="00706AF9" w:rsidRDefault="0010368E" w:rsidP="0037199C">
            <w:pPr>
              <w:spacing w:after="0" w:line="240" w:lineRule="auto"/>
              <w:jc w:val="both"/>
              <w:rPr>
                <w:b/>
                <w:sz w:val="20"/>
                <w:szCs w:val="20"/>
              </w:rPr>
            </w:pPr>
            <w:r w:rsidRPr="00706AF9">
              <w:rPr>
                <w:sz w:val="20"/>
                <w:szCs w:val="20"/>
              </w:rPr>
              <w:t>Reagentai tymų IgG ir IgM antikūnų nustatymui.</w:t>
            </w:r>
          </w:p>
        </w:tc>
        <w:tc>
          <w:tcPr>
            <w:tcW w:w="991" w:type="dxa"/>
            <w:tcBorders>
              <w:bottom w:val="single" w:sz="4" w:space="0" w:color="auto"/>
            </w:tcBorders>
          </w:tcPr>
          <w:p w14:paraId="2B1844E3" w14:textId="280E1B09" w:rsidR="0010368E" w:rsidRPr="00706AF9" w:rsidRDefault="0010368E" w:rsidP="0010368E">
            <w:pPr>
              <w:spacing w:after="0" w:line="240" w:lineRule="auto"/>
              <w:ind w:left="-108" w:right="-108"/>
              <w:jc w:val="center"/>
              <w:rPr>
                <w:sz w:val="20"/>
                <w:szCs w:val="20"/>
              </w:rPr>
            </w:pPr>
            <w:r w:rsidRPr="00706AF9">
              <w:rPr>
                <w:sz w:val="20"/>
                <w:szCs w:val="20"/>
              </w:rPr>
              <w:t>33696500-0</w:t>
            </w:r>
          </w:p>
        </w:tc>
        <w:tc>
          <w:tcPr>
            <w:tcW w:w="2125" w:type="dxa"/>
            <w:tcBorders>
              <w:bottom w:val="single" w:sz="4" w:space="0" w:color="auto"/>
            </w:tcBorders>
          </w:tcPr>
          <w:p w14:paraId="5D178172" w14:textId="402FDF58" w:rsidR="0010368E" w:rsidRPr="0010368E" w:rsidRDefault="0010368E" w:rsidP="0010368E">
            <w:pPr>
              <w:spacing w:after="0" w:line="240" w:lineRule="auto"/>
              <w:ind w:left="-108" w:right="-108"/>
              <w:jc w:val="center"/>
              <w:rPr>
                <w:sz w:val="20"/>
                <w:szCs w:val="20"/>
              </w:rPr>
            </w:pPr>
            <w:r w:rsidRPr="0010368E">
              <w:rPr>
                <w:sz w:val="20"/>
                <w:szCs w:val="20"/>
              </w:rPr>
              <w:t>Reagentai tymų  IgG ir IgM antikūnų nustatymui IFA metodu. Plokštelės laužomos  po  1 šulinėlį .Perkami rinkiniai pagal poreikį atskirai IgG ir IgM nustatymui. Tie patys  IgG rinkiniai turi tikti kraujo bei nugaros smegenų skysčio tyrimams. Tyrimo rezultatas išreiškiamas kiekybiškai U/ml. Kalibratoriams, kontrolėms bei blankui, jei toks reikalingas, ne daugiau 4 šulinėlių. Visi reagentai paruošti naudoti. Pateikti kitas reikalingas priemones tyrimams atlikti, jei neįeina į rinkinius. Visi rinkiniai vieno gamintojo. Būtinas automatinis protokolas  tyrimų atlikimui ir jo įdiegimas į analizatorių BEP 2000 arba Immunomat.   CE ir IVD ženklinimas</w:t>
            </w:r>
          </w:p>
        </w:tc>
        <w:tc>
          <w:tcPr>
            <w:tcW w:w="2977" w:type="dxa"/>
            <w:gridSpan w:val="2"/>
            <w:tcBorders>
              <w:bottom w:val="single" w:sz="4" w:space="0" w:color="auto"/>
            </w:tcBorders>
          </w:tcPr>
          <w:p w14:paraId="69CDC91B" w14:textId="67357924" w:rsidR="0010368E" w:rsidRPr="0037199C" w:rsidRDefault="0037199C" w:rsidP="0037199C">
            <w:pPr>
              <w:spacing w:after="0" w:line="240" w:lineRule="auto"/>
              <w:ind w:left="-114" w:right="-100"/>
              <w:jc w:val="center"/>
              <w:rPr>
                <w:sz w:val="20"/>
                <w:szCs w:val="20"/>
              </w:rPr>
            </w:pPr>
            <w:r w:rsidRPr="0037199C">
              <w:rPr>
                <w:sz w:val="20"/>
                <w:szCs w:val="20"/>
              </w:rPr>
              <w:t>"97.1 SERION ELISA classic Masern/Measles Virus IgG/SERION ELISA classic Masern/Measles Virus IgM yra reagentai tymų  IgG ir IgM antikūnų nustatymui IFA metodu. Plokštelės yra laužomos po 1 šulinėlį. Tiekėjas įsipareigoja, jog rinkinius bus galima pirkti pagal poreikį atskirai IgG ir IgM nustatymui.  Tie patys IgG rinkiniai yra tinkami kraujo bei nugaros smegenų skysčio tyrimams. Tyrimo rezultatas yra išreiškiamas kiekybiškai U/ml. Kalibratoriams, kontrolėms bei blankui yra reikalingai 4 šulinėliai. Visi reagentai paruošti naudoti. Bus pateikiamos reikalingos priemones tyrimams atlikti, jei neįeina į rinkinius. Visi rinkiniai vieno gamintojo. Pateikiamas automatinis protokolas tyrimų atlikimui ir bus atliekamas jo įdiegimas į analizatorių BEP 2000 arba Immunomat. CE ir IVD ženklinimas. Gamintojo dokumentacija (konfidncialu) 97 p.d. 3; 5; 12; 26-37; 315-323 psl."</w:t>
            </w:r>
          </w:p>
        </w:tc>
        <w:tc>
          <w:tcPr>
            <w:tcW w:w="851" w:type="dxa"/>
            <w:gridSpan w:val="2"/>
            <w:tcBorders>
              <w:bottom w:val="single" w:sz="4" w:space="0" w:color="auto"/>
            </w:tcBorders>
          </w:tcPr>
          <w:p w14:paraId="16A8F0B8" w14:textId="700C2E1A" w:rsidR="0010368E" w:rsidRPr="00EB0900" w:rsidRDefault="00EB0900" w:rsidP="0010368E">
            <w:pPr>
              <w:spacing w:after="0" w:line="240" w:lineRule="auto"/>
              <w:ind w:left="-108" w:right="-123"/>
              <w:jc w:val="center"/>
              <w:rPr>
                <w:sz w:val="20"/>
                <w:szCs w:val="20"/>
              </w:rPr>
            </w:pPr>
            <w:r w:rsidRPr="00EB0900">
              <w:rPr>
                <w:sz w:val="20"/>
                <w:szCs w:val="20"/>
              </w:rPr>
              <w:t>1 pak./96 testai</w:t>
            </w:r>
          </w:p>
        </w:tc>
        <w:tc>
          <w:tcPr>
            <w:tcW w:w="850" w:type="dxa"/>
            <w:gridSpan w:val="2"/>
            <w:tcBorders>
              <w:bottom w:val="single" w:sz="4" w:space="0" w:color="auto"/>
            </w:tcBorders>
          </w:tcPr>
          <w:p w14:paraId="6A278980" w14:textId="39BC18D9" w:rsidR="0010368E" w:rsidRPr="009D0D16" w:rsidRDefault="00EB0900" w:rsidP="0010368E">
            <w:pPr>
              <w:spacing w:after="0" w:line="240" w:lineRule="auto"/>
              <w:jc w:val="center"/>
              <w:rPr>
                <w:b/>
                <w:sz w:val="20"/>
              </w:rPr>
            </w:pPr>
            <w:r>
              <w:rPr>
                <w:b/>
                <w:sz w:val="20"/>
              </w:rPr>
              <w:t>20</w:t>
            </w:r>
          </w:p>
        </w:tc>
        <w:tc>
          <w:tcPr>
            <w:tcW w:w="851" w:type="dxa"/>
            <w:gridSpan w:val="2"/>
            <w:tcBorders>
              <w:bottom w:val="single" w:sz="4" w:space="0" w:color="auto"/>
            </w:tcBorders>
          </w:tcPr>
          <w:p w14:paraId="09D2D85B" w14:textId="5C89EA6D" w:rsidR="0010368E" w:rsidRPr="00EB0900" w:rsidRDefault="00EB0900" w:rsidP="0010368E">
            <w:pPr>
              <w:spacing w:after="0" w:line="240" w:lineRule="auto"/>
              <w:jc w:val="center"/>
              <w:rPr>
                <w:sz w:val="20"/>
                <w:szCs w:val="20"/>
              </w:rPr>
            </w:pPr>
            <w:r w:rsidRPr="00EB0900">
              <w:rPr>
                <w:sz w:val="20"/>
                <w:szCs w:val="20"/>
              </w:rPr>
              <w:t>216,00</w:t>
            </w:r>
          </w:p>
        </w:tc>
        <w:tc>
          <w:tcPr>
            <w:tcW w:w="708" w:type="dxa"/>
            <w:gridSpan w:val="2"/>
            <w:tcBorders>
              <w:bottom w:val="single" w:sz="4" w:space="0" w:color="auto"/>
            </w:tcBorders>
          </w:tcPr>
          <w:p w14:paraId="78C2E143" w14:textId="5BBEF035" w:rsidR="0010368E" w:rsidRPr="006F236F" w:rsidRDefault="00EB0900" w:rsidP="0010368E">
            <w:pPr>
              <w:spacing w:after="0" w:line="240" w:lineRule="auto"/>
              <w:ind w:right="-108"/>
              <w:jc w:val="center"/>
              <w:rPr>
                <w:sz w:val="20"/>
                <w:szCs w:val="20"/>
              </w:rPr>
            </w:pPr>
            <w:r w:rsidRPr="006F236F">
              <w:rPr>
                <w:sz w:val="20"/>
                <w:szCs w:val="20"/>
              </w:rPr>
              <w:t>21</w:t>
            </w:r>
          </w:p>
        </w:tc>
        <w:tc>
          <w:tcPr>
            <w:tcW w:w="851" w:type="dxa"/>
            <w:gridSpan w:val="2"/>
            <w:tcBorders>
              <w:bottom w:val="single" w:sz="4" w:space="0" w:color="auto"/>
            </w:tcBorders>
          </w:tcPr>
          <w:p w14:paraId="6748CF1C" w14:textId="63A14F11" w:rsidR="0010368E" w:rsidRPr="006F236F" w:rsidRDefault="006F236F" w:rsidP="0010368E">
            <w:pPr>
              <w:spacing w:after="0" w:line="240" w:lineRule="auto"/>
              <w:jc w:val="center"/>
              <w:rPr>
                <w:sz w:val="20"/>
                <w:szCs w:val="20"/>
              </w:rPr>
            </w:pPr>
            <w:r>
              <w:rPr>
                <w:sz w:val="20"/>
                <w:szCs w:val="20"/>
              </w:rPr>
              <w:t>261,36</w:t>
            </w:r>
          </w:p>
        </w:tc>
        <w:tc>
          <w:tcPr>
            <w:tcW w:w="852" w:type="dxa"/>
            <w:gridSpan w:val="2"/>
            <w:tcBorders>
              <w:bottom w:val="single" w:sz="4" w:space="0" w:color="auto"/>
            </w:tcBorders>
          </w:tcPr>
          <w:p w14:paraId="6F3E441A" w14:textId="4A708F62" w:rsidR="0010368E" w:rsidRPr="006F236F" w:rsidRDefault="006F236F" w:rsidP="0010368E">
            <w:pPr>
              <w:spacing w:after="0" w:line="240" w:lineRule="auto"/>
              <w:ind w:left="-114" w:right="-100"/>
              <w:jc w:val="center"/>
              <w:rPr>
                <w:sz w:val="20"/>
                <w:szCs w:val="20"/>
              </w:rPr>
            </w:pPr>
            <w:r>
              <w:rPr>
                <w:sz w:val="20"/>
                <w:szCs w:val="20"/>
              </w:rPr>
              <w:t>4320,00</w:t>
            </w:r>
          </w:p>
        </w:tc>
        <w:tc>
          <w:tcPr>
            <w:tcW w:w="850" w:type="dxa"/>
          </w:tcPr>
          <w:p w14:paraId="42C79EF8" w14:textId="3008620B" w:rsidR="0010368E" w:rsidRPr="006F236F" w:rsidRDefault="006F236F" w:rsidP="0010368E">
            <w:pPr>
              <w:spacing w:after="0" w:line="240" w:lineRule="auto"/>
              <w:ind w:left="-114" w:right="-100"/>
              <w:jc w:val="center"/>
              <w:rPr>
                <w:sz w:val="20"/>
                <w:szCs w:val="20"/>
              </w:rPr>
            </w:pPr>
            <w:r>
              <w:rPr>
                <w:sz w:val="20"/>
                <w:szCs w:val="20"/>
              </w:rPr>
              <w:t>5227,20</w:t>
            </w:r>
          </w:p>
        </w:tc>
      </w:tr>
      <w:tr w:rsidR="00A35324" w:rsidRPr="009D0D16" w14:paraId="0F101DD4" w14:textId="77777777" w:rsidTr="00FC01A8">
        <w:trPr>
          <w:trHeight w:val="415"/>
          <w:tblHeader/>
        </w:trPr>
        <w:tc>
          <w:tcPr>
            <w:tcW w:w="851" w:type="dxa"/>
            <w:tcBorders>
              <w:bottom w:val="single" w:sz="4" w:space="0" w:color="auto"/>
            </w:tcBorders>
          </w:tcPr>
          <w:p w14:paraId="45E34918" w14:textId="4ED4FB45" w:rsidR="00A35324" w:rsidRPr="00A35324" w:rsidRDefault="00A35324" w:rsidP="00A35324">
            <w:pPr>
              <w:spacing w:after="0" w:line="240" w:lineRule="auto"/>
              <w:jc w:val="center"/>
              <w:rPr>
                <w:sz w:val="20"/>
                <w:szCs w:val="20"/>
              </w:rPr>
            </w:pPr>
            <w:r w:rsidRPr="00A35324">
              <w:rPr>
                <w:sz w:val="20"/>
                <w:szCs w:val="20"/>
              </w:rPr>
              <w:lastRenderedPageBreak/>
              <w:t>97.2</w:t>
            </w:r>
          </w:p>
        </w:tc>
        <w:tc>
          <w:tcPr>
            <w:tcW w:w="2127" w:type="dxa"/>
            <w:gridSpan w:val="2"/>
            <w:tcBorders>
              <w:bottom w:val="single" w:sz="4" w:space="0" w:color="auto"/>
            </w:tcBorders>
          </w:tcPr>
          <w:p w14:paraId="3B77F47C" w14:textId="5BB85603" w:rsidR="00A35324" w:rsidRPr="00A35324" w:rsidRDefault="00A35324" w:rsidP="00A35324">
            <w:pPr>
              <w:spacing w:after="0" w:line="240" w:lineRule="auto"/>
              <w:jc w:val="center"/>
              <w:rPr>
                <w:b/>
                <w:sz w:val="20"/>
                <w:szCs w:val="20"/>
              </w:rPr>
            </w:pPr>
            <w:r w:rsidRPr="00A35324">
              <w:rPr>
                <w:sz w:val="20"/>
                <w:szCs w:val="20"/>
              </w:rPr>
              <w:t>Reagentai erkinio encefalito IgG ir IgM nustatymui</w:t>
            </w:r>
          </w:p>
        </w:tc>
        <w:tc>
          <w:tcPr>
            <w:tcW w:w="991" w:type="dxa"/>
            <w:tcBorders>
              <w:bottom w:val="single" w:sz="4" w:space="0" w:color="auto"/>
            </w:tcBorders>
          </w:tcPr>
          <w:p w14:paraId="03EB1FED" w14:textId="49C8AA06" w:rsidR="00A35324" w:rsidRPr="00A35324" w:rsidRDefault="00A35324" w:rsidP="00A35324">
            <w:pPr>
              <w:spacing w:after="0" w:line="240" w:lineRule="auto"/>
              <w:ind w:left="-108" w:right="-108"/>
              <w:jc w:val="center"/>
              <w:rPr>
                <w:sz w:val="20"/>
                <w:szCs w:val="20"/>
              </w:rPr>
            </w:pPr>
            <w:r w:rsidRPr="00A35324">
              <w:rPr>
                <w:sz w:val="20"/>
                <w:szCs w:val="20"/>
              </w:rPr>
              <w:t>33696500-0</w:t>
            </w:r>
          </w:p>
        </w:tc>
        <w:tc>
          <w:tcPr>
            <w:tcW w:w="2125" w:type="dxa"/>
            <w:tcBorders>
              <w:bottom w:val="single" w:sz="4" w:space="0" w:color="auto"/>
            </w:tcBorders>
          </w:tcPr>
          <w:p w14:paraId="6E3489A2" w14:textId="322F8877" w:rsidR="00A35324" w:rsidRPr="00A35324" w:rsidRDefault="00A35324" w:rsidP="00A35324">
            <w:pPr>
              <w:spacing w:after="0" w:line="240" w:lineRule="auto"/>
              <w:ind w:left="-108" w:right="-108"/>
              <w:jc w:val="center"/>
              <w:rPr>
                <w:sz w:val="20"/>
                <w:szCs w:val="20"/>
              </w:rPr>
            </w:pPr>
            <w:r w:rsidRPr="00A35324">
              <w:rPr>
                <w:sz w:val="20"/>
                <w:szCs w:val="20"/>
              </w:rPr>
              <w:t>Reagentai erkinio encefalito IgG ir IgM antikūnų nustatymui IFA metodu. Plokštelės laužomos  po  1 šulinėlį .Perkami rinkiniai pagal poreikį atskirai IgG ir IgM nustatymui. Tie patys  rinkiniai turi tikti kraujo bei nugaros smegenų skysčio tyrimams. Kalibratoriams, kontrolėms bei blankui, jei toks reikalingas, ne daugiau 4 šulinėlių. Visi reagentai paruošti naudoti. Pateikti kitas reikalingas priemones tyrimams atlikti, jei neįeina į rinkinius.. Visi rinkiniai vieno gamintojo. Būtinas automatinis protokolas  tyrimų atlikimui ir jo įdiegimas į analizatorių BEP 2000 arba Immunomat.   CE ir IVD ženklinimas</w:t>
            </w:r>
          </w:p>
        </w:tc>
        <w:tc>
          <w:tcPr>
            <w:tcW w:w="2977" w:type="dxa"/>
            <w:gridSpan w:val="2"/>
            <w:tcBorders>
              <w:bottom w:val="single" w:sz="4" w:space="0" w:color="auto"/>
            </w:tcBorders>
          </w:tcPr>
          <w:p w14:paraId="7090F114" w14:textId="0A10D858" w:rsidR="00A35324" w:rsidRPr="00A35324" w:rsidRDefault="00A35324" w:rsidP="00A35324">
            <w:pPr>
              <w:spacing w:after="0" w:line="240" w:lineRule="auto"/>
              <w:ind w:left="-114" w:right="-100"/>
              <w:jc w:val="center"/>
              <w:rPr>
                <w:sz w:val="20"/>
                <w:szCs w:val="20"/>
              </w:rPr>
            </w:pPr>
            <w:r w:rsidRPr="00A35324">
              <w:rPr>
                <w:sz w:val="20"/>
                <w:szCs w:val="20"/>
              </w:rPr>
              <w:t>97.2 SERION ELISA classic TBE Virus IgG/SERION ELISA classic TBE Virus IgM yra reagentai erkinio encefalito IgG ir IgM antikūnų nustatymui IFA metodu. Plokštelės laužomos po 1 šulinėlį. Tiekėjas įsipareigoja, jog rinkinius bus galima pirkti pagal poreikį atskirai IgG ir IgM nustatymui. Tie patys rinkiniai yra tinkami kraujo bei nugaros smegenų skysčio tyrimams. Kalibratoriams, kontrolėms bei blankui yra reikalingai 4 šulinėliai. Visi reagentai paruošti naudoti. Visi rinkiniai vieno gamintojo. Pateikiamas automatinis protokolas tyrimų atlikimui ir bus atliekamas jo įdiegimas į analizatorių BEP 2000 arba Immunomat. CE ir IVD ženklinimas. Gamintojo dokumentacija (konfidncialu) 97 p.d. 40; 42; 48; 62-73; 315-323 psl.</w:t>
            </w:r>
          </w:p>
        </w:tc>
        <w:tc>
          <w:tcPr>
            <w:tcW w:w="851" w:type="dxa"/>
            <w:gridSpan w:val="2"/>
            <w:tcBorders>
              <w:bottom w:val="single" w:sz="4" w:space="0" w:color="auto"/>
            </w:tcBorders>
          </w:tcPr>
          <w:p w14:paraId="037D7565" w14:textId="20441A73" w:rsidR="00A35324" w:rsidRPr="00A35324" w:rsidRDefault="00A35324" w:rsidP="00A35324">
            <w:pPr>
              <w:spacing w:after="0" w:line="240" w:lineRule="auto"/>
              <w:ind w:left="-108" w:right="-123"/>
              <w:jc w:val="center"/>
              <w:rPr>
                <w:sz w:val="20"/>
                <w:szCs w:val="20"/>
              </w:rPr>
            </w:pPr>
            <w:r w:rsidRPr="00A35324">
              <w:rPr>
                <w:sz w:val="20"/>
                <w:szCs w:val="20"/>
              </w:rPr>
              <w:t>1 pak./96 testai</w:t>
            </w:r>
          </w:p>
        </w:tc>
        <w:tc>
          <w:tcPr>
            <w:tcW w:w="850" w:type="dxa"/>
            <w:gridSpan w:val="2"/>
            <w:tcBorders>
              <w:bottom w:val="single" w:sz="4" w:space="0" w:color="auto"/>
            </w:tcBorders>
          </w:tcPr>
          <w:p w14:paraId="7F0D512B" w14:textId="6ACFB8A0" w:rsidR="00A35324" w:rsidRPr="00A35324" w:rsidRDefault="00A35324" w:rsidP="00A35324">
            <w:pPr>
              <w:spacing w:after="0" w:line="240" w:lineRule="auto"/>
              <w:jc w:val="center"/>
              <w:rPr>
                <w:b/>
                <w:sz w:val="20"/>
                <w:szCs w:val="20"/>
              </w:rPr>
            </w:pPr>
            <w:r w:rsidRPr="00A35324">
              <w:rPr>
                <w:b/>
                <w:sz w:val="20"/>
                <w:szCs w:val="20"/>
              </w:rPr>
              <w:t>15</w:t>
            </w:r>
          </w:p>
        </w:tc>
        <w:tc>
          <w:tcPr>
            <w:tcW w:w="851" w:type="dxa"/>
            <w:gridSpan w:val="2"/>
            <w:tcBorders>
              <w:bottom w:val="single" w:sz="4" w:space="0" w:color="auto"/>
            </w:tcBorders>
          </w:tcPr>
          <w:p w14:paraId="3CEFE8A4" w14:textId="29C71404" w:rsidR="00A35324" w:rsidRPr="00A35324" w:rsidRDefault="00A35324" w:rsidP="00A35324">
            <w:pPr>
              <w:spacing w:after="0" w:line="240" w:lineRule="auto"/>
              <w:jc w:val="center"/>
              <w:rPr>
                <w:sz w:val="20"/>
                <w:szCs w:val="20"/>
              </w:rPr>
            </w:pPr>
            <w:r w:rsidRPr="00A35324">
              <w:rPr>
                <w:sz w:val="20"/>
                <w:szCs w:val="20"/>
              </w:rPr>
              <w:t>192,00</w:t>
            </w:r>
          </w:p>
        </w:tc>
        <w:tc>
          <w:tcPr>
            <w:tcW w:w="708" w:type="dxa"/>
            <w:gridSpan w:val="2"/>
            <w:tcBorders>
              <w:bottom w:val="single" w:sz="4" w:space="0" w:color="auto"/>
            </w:tcBorders>
          </w:tcPr>
          <w:p w14:paraId="5ABCA588" w14:textId="205BB6BD" w:rsidR="00A35324" w:rsidRPr="00A35324" w:rsidRDefault="00A35324" w:rsidP="00A35324">
            <w:pPr>
              <w:spacing w:after="0" w:line="240" w:lineRule="auto"/>
              <w:ind w:right="-108"/>
              <w:jc w:val="center"/>
              <w:rPr>
                <w:sz w:val="20"/>
                <w:szCs w:val="20"/>
              </w:rPr>
            </w:pPr>
            <w:r w:rsidRPr="00A35324">
              <w:rPr>
                <w:sz w:val="20"/>
                <w:szCs w:val="20"/>
              </w:rPr>
              <w:t>21</w:t>
            </w:r>
          </w:p>
        </w:tc>
        <w:tc>
          <w:tcPr>
            <w:tcW w:w="851" w:type="dxa"/>
            <w:gridSpan w:val="2"/>
            <w:tcBorders>
              <w:bottom w:val="single" w:sz="4" w:space="0" w:color="auto"/>
            </w:tcBorders>
          </w:tcPr>
          <w:p w14:paraId="122736F7" w14:textId="0FCEEABE" w:rsidR="00A35324" w:rsidRPr="00A35324" w:rsidRDefault="00A35324" w:rsidP="00A35324">
            <w:pPr>
              <w:spacing w:after="0" w:line="240" w:lineRule="auto"/>
              <w:jc w:val="center"/>
              <w:rPr>
                <w:sz w:val="20"/>
                <w:szCs w:val="20"/>
              </w:rPr>
            </w:pPr>
            <w:r w:rsidRPr="00A35324">
              <w:rPr>
                <w:sz w:val="20"/>
                <w:szCs w:val="20"/>
              </w:rPr>
              <w:t>232,32</w:t>
            </w:r>
          </w:p>
        </w:tc>
        <w:tc>
          <w:tcPr>
            <w:tcW w:w="852" w:type="dxa"/>
            <w:gridSpan w:val="2"/>
            <w:tcBorders>
              <w:bottom w:val="single" w:sz="4" w:space="0" w:color="auto"/>
            </w:tcBorders>
          </w:tcPr>
          <w:p w14:paraId="05744C12" w14:textId="7C9B4728" w:rsidR="00A35324" w:rsidRPr="00A35324" w:rsidRDefault="00A35324" w:rsidP="00A35324">
            <w:pPr>
              <w:spacing w:after="0" w:line="240" w:lineRule="auto"/>
              <w:ind w:left="-114" w:right="-100"/>
              <w:jc w:val="center"/>
              <w:rPr>
                <w:sz w:val="20"/>
                <w:szCs w:val="20"/>
              </w:rPr>
            </w:pPr>
            <w:r w:rsidRPr="00A35324">
              <w:rPr>
                <w:sz w:val="20"/>
                <w:szCs w:val="20"/>
              </w:rPr>
              <w:t>2880,00</w:t>
            </w:r>
          </w:p>
        </w:tc>
        <w:tc>
          <w:tcPr>
            <w:tcW w:w="850" w:type="dxa"/>
          </w:tcPr>
          <w:p w14:paraId="5996F3B4" w14:textId="0BD52C6F" w:rsidR="00A35324" w:rsidRPr="00A35324" w:rsidRDefault="00A35324" w:rsidP="00A35324">
            <w:pPr>
              <w:spacing w:after="0" w:line="240" w:lineRule="auto"/>
              <w:ind w:left="-114" w:right="-100"/>
              <w:jc w:val="center"/>
              <w:rPr>
                <w:sz w:val="20"/>
                <w:szCs w:val="20"/>
              </w:rPr>
            </w:pPr>
            <w:r w:rsidRPr="00A35324">
              <w:rPr>
                <w:sz w:val="20"/>
                <w:szCs w:val="20"/>
              </w:rPr>
              <w:t>3484,80</w:t>
            </w:r>
          </w:p>
        </w:tc>
      </w:tr>
      <w:tr w:rsidR="00A11BD1" w:rsidRPr="009D0D16" w14:paraId="70B79C5F" w14:textId="77777777" w:rsidTr="00FC01A8">
        <w:trPr>
          <w:trHeight w:val="415"/>
          <w:tblHeader/>
        </w:trPr>
        <w:tc>
          <w:tcPr>
            <w:tcW w:w="851" w:type="dxa"/>
            <w:tcBorders>
              <w:bottom w:val="single" w:sz="4" w:space="0" w:color="auto"/>
            </w:tcBorders>
          </w:tcPr>
          <w:p w14:paraId="6C156970" w14:textId="7ADA8BAC" w:rsidR="00A11BD1" w:rsidRPr="00A11BD1" w:rsidRDefault="00A11BD1" w:rsidP="00A11BD1">
            <w:pPr>
              <w:spacing w:after="0" w:line="240" w:lineRule="auto"/>
              <w:jc w:val="center"/>
              <w:rPr>
                <w:sz w:val="20"/>
                <w:szCs w:val="20"/>
              </w:rPr>
            </w:pPr>
            <w:r w:rsidRPr="00A11BD1">
              <w:rPr>
                <w:sz w:val="20"/>
                <w:szCs w:val="20"/>
              </w:rPr>
              <w:lastRenderedPageBreak/>
              <w:t>97.3</w:t>
            </w:r>
          </w:p>
        </w:tc>
        <w:tc>
          <w:tcPr>
            <w:tcW w:w="2127" w:type="dxa"/>
            <w:gridSpan w:val="2"/>
            <w:tcBorders>
              <w:bottom w:val="single" w:sz="4" w:space="0" w:color="auto"/>
            </w:tcBorders>
          </w:tcPr>
          <w:p w14:paraId="0C7AEA5F" w14:textId="2D2D37FA" w:rsidR="00A11BD1" w:rsidRPr="00A11BD1" w:rsidRDefault="00A11BD1" w:rsidP="00A11BD1">
            <w:pPr>
              <w:spacing w:after="0" w:line="240" w:lineRule="auto"/>
              <w:jc w:val="center"/>
              <w:rPr>
                <w:b/>
                <w:sz w:val="20"/>
                <w:szCs w:val="20"/>
              </w:rPr>
            </w:pPr>
            <w:r w:rsidRPr="00A11BD1">
              <w:rPr>
                <w:sz w:val="20"/>
                <w:szCs w:val="20"/>
              </w:rPr>
              <w:t>Reagentai raudonukės IgM ir IgG nustatymui</w:t>
            </w:r>
          </w:p>
        </w:tc>
        <w:tc>
          <w:tcPr>
            <w:tcW w:w="991" w:type="dxa"/>
            <w:tcBorders>
              <w:bottom w:val="single" w:sz="4" w:space="0" w:color="auto"/>
            </w:tcBorders>
          </w:tcPr>
          <w:p w14:paraId="627DFB94" w14:textId="3AC93A47" w:rsidR="00A11BD1" w:rsidRPr="00A11BD1" w:rsidRDefault="00A11BD1" w:rsidP="00A11BD1">
            <w:pPr>
              <w:spacing w:after="0" w:line="240" w:lineRule="auto"/>
              <w:ind w:left="-108" w:right="-108"/>
              <w:jc w:val="center"/>
              <w:rPr>
                <w:sz w:val="20"/>
                <w:szCs w:val="20"/>
              </w:rPr>
            </w:pPr>
            <w:r w:rsidRPr="00A11BD1">
              <w:rPr>
                <w:sz w:val="20"/>
                <w:szCs w:val="20"/>
              </w:rPr>
              <w:t>33696500-0</w:t>
            </w:r>
          </w:p>
        </w:tc>
        <w:tc>
          <w:tcPr>
            <w:tcW w:w="2125" w:type="dxa"/>
            <w:tcBorders>
              <w:bottom w:val="single" w:sz="4" w:space="0" w:color="auto"/>
            </w:tcBorders>
          </w:tcPr>
          <w:p w14:paraId="16293808" w14:textId="54CD8212" w:rsidR="00A11BD1" w:rsidRPr="00A11BD1" w:rsidRDefault="00A11BD1" w:rsidP="00A11BD1">
            <w:pPr>
              <w:spacing w:after="0" w:line="240" w:lineRule="auto"/>
              <w:ind w:left="-108" w:right="-108"/>
              <w:jc w:val="center"/>
              <w:rPr>
                <w:sz w:val="20"/>
                <w:szCs w:val="20"/>
              </w:rPr>
            </w:pPr>
            <w:r w:rsidRPr="00A11BD1">
              <w:rPr>
                <w:sz w:val="20"/>
                <w:szCs w:val="20"/>
              </w:rPr>
              <w:t xml:space="preserve">Reagentai raudonukės IgG ir IgM antikūnų nustatymui IFA metodu. Plokštelės laužomos  po  1 šulinėlį .Perkami rinkiniai pagal poreikį atskirai IgG ir IgM nustatymui. Tie patys  IgG rinkiniai turi tikti kraujo bei nugaros smegenų skysčio tyrimams. Tyrimo rezultatas išreiškiamas kiekybiškai: IgM - U/ml, IgG - IU/ml. Kalibratoriams, kontrolėms bei blankui, jei toks reikalingas, ne daugiau 4 šulinėlių. Visi reagentai paruošti naudoti. Pateikti kitas reikalingas priemones tyrimams atlikti, jei neįeina į rinkinius.. Visi rinkiniai vieno gamintojo.Būtinas automatinis protokolas  tyrimų atlikimui ir jo įdiegimas į analizatorių BEP 2000 arba Immunomat.   CE ir IVD ženklinimas </w:t>
            </w:r>
          </w:p>
        </w:tc>
        <w:tc>
          <w:tcPr>
            <w:tcW w:w="2977" w:type="dxa"/>
            <w:gridSpan w:val="2"/>
            <w:tcBorders>
              <w:bottom w:val="single" w:sz="4" w:space="0" w:color="auto"/>
            </w:tcBorders>
          </w:tcPr>
          <w:p w14:paraId="46574786" w14:textId="44899D55" w:rsidR="00A11BD1" w:rsidRPr="00A11BD1" w:rsidRDefault="00A11BD1" w:rsidP="00A11BD1">
            <w:pPr>
              <w:spacing w:after="0" w:line="240" w:lineRule="auto"/>
              <w:ind w:left="-114" w:right="-100"/>
              <w:jc w:val="center"/>
              <w:rPr>
                <w:sz w:val="20"/>
                <w:szCs w:val="20"/>
              </w:rPr>
            </w:pPr>
            <w:r w:rsidRPr="00A11BD1">
              <w:rPr>
                <w:sz w:val="20"/>
                <w:szCs w:val="20"/>
              </w:rPr>
              <w:t>97.3 SERION ELISA classic Röteln/Rubella Virus IgG/SERION ELISA classic Röteln/Rubella Virus IgM yra reagentai raudonukės IgG ir IgM antikūnų nustatymui IFA metodu. Plokštelės yra laužomos po 1 šulinėlį. Tiekėjas įsipareigoja, jog rinkinius bus galima pirkti pagal poreikį atskirai IgG ir IgM nustatymui. Tie patys IgG rinkiniai yra tinkami kraujo bei nugaros smegenų skysčio tyrimams. Tyrimo rezultatas yra išreiškiamas kiekybiškai: IgM - U/ml, IgG - IU/ml. Kalibratoriams, kontrolėms bei blankui yra reikalingai 4 šulinėliai. Visi reagentai paruošti naudoti. Bus pateikiamos reikalingos priemones tyrimams atlikti, jei neįeina į rinkinius. Visi rinkiniai vieno gamintojo. Pateikiamas automatinis protokolas tyrimų atlikimui ir bus atliekamas jo įdiegimas į analizatorių BEP 2000 arba Immunomat. CE ir IVD ženklinimas. Gamintojo dokumentacija (konfidncialu) 97 p.d. 80; 82; 89; 104-127; 315-323 psl.</w:t>
            </w:r>
          </w:p>
        </w:tc>
        <w:tc>
          <w:tcPr>
            <w:tcW w:w="851" w:type="dxa"/>
            <w:gridSpan w:val="2"/>
            <w:tcBorders>
              <w:bottom w:val="single" w:sz="4" w:space="0" w:color="auto"/>
            </w:tcBorders>
          </w:tcPr>
          <w:p w14:paraId="1D5FB780" w14:textId="528E2788" w:rsidR="00A11BD1" w:rsidRPr="00A11BD1" w:rsidRDefault="00A11BD1" w:rsidP="00A11BD1">
            <w:pPr>
              <w:spacing w:after="0" w:line="240" w:lineRule="auto"/>
              <w:ind w:left="-108" w:right="-123"/>
              <w:jc w:val="center"/>
              <w:rPr>
                <w:sz w:val="20"/>
                <w:szCs w:val="20"/>
              </w:rPr>
            </w:pPr>
            <w:r w:rsidRPr="00A11BD1">
              <w:rPr>
                <w:sz w:val="20"/>
                <w:szCs w:val="20"/>
              </w:rPr>
              <w:t>1 pak./96 testai</w:t>
            </w:r>
          </w:p>
        </w:tc>
        <w:tc>
          <w:tcPr>
            <w:tcW w:w="850" w:type="dxa"/>
            <w:gridSpan w:val="2"/>
            <w:tcBorders>
              <w:bottom w:val="single" w:sz="4" w:space="0" w:color="auto"/>
            </w:tcBorders>
          </w:tcPr>
          <w:p w14:paraId="7C0F587A" w14:textId="45B0A9C3" w:rsidR="00A11BD1" w:rsidRPr="00A11BD1" w:rsidRDefault="00A11BD1" w:rsidP="00A11BD1">
            <w:pPr>
              <w:spacing w:after="0" w:line="240" w:lineRule="auto"/>
              <w:jc w:val="center"/>
              <w:rPr>
                <w:b/>
                <w:sz w:val="20"/>
                <w:szCs w:val="20"/>
              </w:rPr>
            </w:pPr>
            <w:r w:rsidRPr="00A11BD1">
              <w:rPr>
                <w:b/>
                <w:sz w:val="20"/>
                <w:szCs w:val="20"/>
              </w:rPr>
              <w:t>10</w:t>
            </w:r>
          </w:p>
        </w:tc>
        <w:tc>
          <w:tcPr>
            <w:tcW w:w="851" w:type="dxa"/>
            <w:gridSpan w:val="2"/>
            <w:tcBorders>
              <w:bottom w:val="single" w:sz="4" w:space="0" w:color="auto"/>
            </w:tcBorders>
          </w:tcPr>
          <w:p w14:paraId="73C23C40" w14:textId="5B661065" w:rsidR="00A11BD1" w:rsidRPr="00A11BD1" w:rsidRDefault="00A11BD1" w:rsidP="00A11BD1">
            <w:pPr>
              <w:spacing w:after="0" w:line="240" w:lineRule="auto"/>
              <w:jc w:val="center"/>
              <w:rPr>
                <w:sz w:val="20"/>
                <w:szCs w:val="20"/>
              </w:rPr>
            </w:pPr>
            <w:r w:rsidRPr="00A11BD1">
              <w:rPr>
                <w:sz w:val="20"/>
                <w:szCs w:val="20"/>
              </w:rPr>
              <w:t>216,00</w:t>
            </w:r>
          </w:p>
        </w:tc>
        <w:tc>
          <w:tcPr>
            <w:tcW w:w="708" w:type="dxa"/>
            <w:gridSpan w:val="2"/>
            <w:tcBorders>
              <w:bottom w:val="single" w:sz="4" w:space="0" w:color="auto"/>
            </w:tcBorders>
          </w:tcPr>
          <w:p w14:paraId="7D8E4DDF" w14:textId="2A021F6E" w:rsidR="00A11BD1" w:rsidRPr="00A11BD1" w:rsidRDefault="00A11BD1" w:rsidP="00A11BD1">
            <w:pPr>
              <w:spacing w:after="0" w:line="240" w:lineRule="auto"/>
              <w:ind w:right="-108"/>
              <w:jc w:val="center"/>
              <w:rPr>
                <w:sz w:val="20"/>
                <w:szCs w:val="20"/>
              </w:rPr>
            </w:pPr>
            <w:r w:rsidRPr="00A11BD1">
              <w:rPr>
                <w:sz w:val="20"/>
                <w:szCs w:val="20"/>
              </w:rPr>
              <w:t>21</w:t>
            </w:r>
          </w:p>
        </w:tc>
        <w:tc>
          <w:tcPr>
            <w:tcW w:w="851" w:type="dxa"/>
            <w:gridSpan w:val="2"/>
            <w:tcBorders>
              <w:bottom w:val="single" w:sz="4" w:space="0" w:color="auto"/>
            </w:tcBorders>
          </w:tcPr>
          <w:p w14:paraId="574E5022" w14:textId="1BEF550F" w:rsidR="00A11BD1" w:rsidRPr="00A11BD1" w:rsidRDefault="00A11BD1" w:rsidP="00A11BD1">
            <w:pPr>
              <w:spacing w:after="0" w:line="240" w:lineRule="auto"/>
              <w:jc w:val="center"/>
              <w:rPr>
                <w:sz w:val="20"/>
                <w:szCs w:val="20"/>
              </w:rPr>
            </w:pPr>
            <w:r w:rsidRPr="00A11BD1">
              <w:rPr>
                <w:sz w:val="20"/>
                <w:szCs w:val="20"/>
              </w:rPr>
              <w:t>261,36</w:t>
            </w:r>
          </w:p>
        </w:tc>
        <w:tc>
          <w:tcPr>
            <w:tcW w:w="852" w:type="dxa"/>
            <w:gridSpan w:val="2"/>
            <w:tcBorders>
              <w:bottom w:val="single" w:sz="4" w:space="0" w:color="auto"/>
            </w:tcBorders>
          </w:tcPr>
          <w:p w14:paraId="72650662" w14:textId="31928A3D" w:rsidR="00A11BD1" w:rsidRPr="00A11BD1" w:rsidRDefault="00A11BD1" w:rsidP="00A11BD1">
            <w:pPr>
              <w:spacing w:after="0" w:line="240" w:lineRule="auto"/>
              <w:ind w:left="-114" w:right="-100"/>
              <w:jc w:val="center"/>
              <w:rPr>
                <w:sz w:val="20"/>
                <w:szCs w:val="20"/>
              </w:rPr>
            </w:pPr>
            <w:r w:rsidRPr="00A11BD1">
              <w:rPr>
                <w:sz w:val="20"/>
                <w:szCs w:val="20"/>
              </w:rPr>
              <w:t>2160,00</w:t>
            </w:r>
          </w:p>
        </w:tc>
        <w:tc>
          <w:tcPr>
            <w:tcW w:w="850" w:type="dxa"/>
          </w:tcPr>
          <w:p w14:paraId="28B2DC3B" w14:textId="1EBEF27F" w:rsidR="00A11BD1" w:rsidRPr="00A11BD1" w:rsidRDefault="00A11BD1" w:rsidP="00A11BD1">
            <w:pPr>
              <w:spacing w:after="0" w:line="240" w:lineRule="auto"/>
              <w:ind w:left="-114" w:right="-100"/>
              <w:jc w:val="center"/>
              <w:rPr>
                <w:sz w:val="20"/>
                <w:szCs w:val="20"/>
              </w:rPr>
            </w:pPr>
            <w:r w:rsidRPr="00A11BD1">
              <w:rPr>
                <w:sz w:val="20"/>
                <w:szCs w:val="20"/>
              </w:rPr>
              <w:t>2613,60</w:t>
            </w:r>
          </w:p>
        </w:tc>
      </w:tr>
      <w:tr w:rsidR="00C17B72" w:rsidRPr="009D0D16" w14:paraId="75EFB5B0" w14:textId="77777777" w:rsidTr="00FC01A8">
        <w:trPr>
          <w:trHeight w:val="415"/>
          <w:tblHeader/>
        </w:trPr>
        <w:tc>
          <w:tcPr>
            <w:tcW w:w="851" w:type="dxa"/>
            <w:tcBorders>
              <w:bottom w:val="single" w:sz="4" w:space="0" w:color="auto"/>
            </w:tcBorders>
          </w:tcPr>
          <w:p w14:paraId="4191B4BA" w14:textId="04A5EA1E" w:rsidR="00C17B72" w:rsidRPr="00C17B72" w:rsidRDefault="00C17B72" w:rsidP="00C17B72">
            <w:pPr>
              <w:spacing w:after="0" w:line="240" w:lineRule="auto"/>
              <w:jc w:val="center"/>
              <w:rPr>
                <w:sz w:val="20"/>
                <w:szCs w:val="20"/>
              </w:rPr>
            </w:pPr>
            <w:r w:rsidRPr="00C17B72">
              <w:rPr>
                <w:sz w:val="20"/>
                <w:szCs w:val="20"/>
              </w:rPr>
              <w:lastRenderedPageBreak/>
              <w:t>97.4</w:t>
            </w:r>
          </w:p>
        </w:tc>
        <w:tc>
          <w:tcPr>
            <w:tcW w:w="2127" w:type="dxa"/>
            <w:gridSpan w:val="2"/>
            <w:tcBorders>
              <w:bottom w:val="single" w:sz="4" w:space="0" w:color="auto"/>
            </w:tcBorders>
          </w:tcPr>
          <w:p w14:paraId="0DCF1B17" w14:textId="6C133FB0" w:rsidR="00C17B72" w:rsidRPr="00C17B72" w:rsidRDefault="00C17B72" w:rsidP="00C17B72">
            <w:pPr>
              <w:spacing w:after="0" w:line="240" w:lineRule="auto"/>
              <w:jc w:val="center"/>
              <w:rPr>
                <w:b/>
                <w:sz w:val="20"/>
                <w:szCs w:val="20"/>
              </w:rPr>
            </w:pPr>
            <w:r w:rsidRPr="00C17B72">
              <w:rPr>
                <w:sz w:val="20"/>
                <w:szCs w:val="20"/>
              </w:rPr>
              <w:t>Reagentai parotito IgM ir IgG nustatymui</w:t>
            </w:r>
          </w:p>
        </w:tc>
        <w:tc>
          <w:tcPr>
            <w:tcW w:w="991" w:type="dxa"/>
            <w:tcBorders>
              <w:bottom w:val="single" w:sz="4" w:space="0" w:color="auto"/>
            </w:tcBorders>
          </w:tcPr>
          <w:p w14:paraId="5D4EFAD3" w14:textId="397F2505" w:rsidR="00C17B72" w:rsidRPr="00C17B72" w:rsidRDefault="00C17B72" w:rsidP="00C17B72">
            <w:pPr>
              <w:spacing w:after="0" w:line="240" w:lineRule="auto"/>
              <w:ind w:left="-108" w:right="-108"/>
              <w:jc w:val="center"/>
              <w:rPr>
                <w:sz w:val="20"/>
                <w:szCs w:val="20"/>
              </w:rPr>
            </w:pPr>
            <w:r w:rsidRPr="00C17B72">
              <w:rPr>
                <w:sz w:val="20"/>
                <w:szCs w:val="20"/>
              </w:rPr>
              <w:t>33696500-0</w:t>
            </w:r>
          </w:p>
        </w:tc>
        <w:tc>
          <w:tcPr>
            <w:tcW w:w="2125" w:type="dxa"/>
            <w:tcBorders>
              <w:bottom w:val="single" w:sz="4" w:space="0" w:color="auto"/>
            </w:tcBorders>
          </w:tcPr>
          <w:p w14:paraId="39F956B5" w14:textId="5DBC01D0" w:rsidR="00C17B72" w:rsidRPr="00C17B72" w:rsidRDefault="00C17B72" w:rsidP="00C17B72">
            <w:pPr>
              <w:spacing w:after="0" w:line="240" w:lineRule="auto"/>
              <w:ind w:left="-108" w:right="-108"/>
              <w:jc w:val="center"/>
              <w:rPr>
                <w:sz w:val="20"/>
                <w:szCs w:val="20"/>
              </w:rPr>
            </w:pPr>
            <w:r w:rsidRPr="00C17B72">
              <w:rPr>
                <w:sz w:val="20"/>
                <w:szCs w:val="20"/>
              </w:rPr>
              <w:t>Reagentai parotito  IgG ir IgM antikūnų nustatymui IFA metodu. Plokštelės laužomos  po  1 šulinėlį .Perkami rinkiniai pagal poreikį atskirai IgG ir IgM nustatymui. Tie patys  IgG rinkiniai turi tikti kraujo bei nugaros smegenų skysčio tyrimams. Tyrimo rezultatas išreiškiamas kiekybiškai U/ml. Kalibratoriams, kontrolėms bei blankui, jei toks reikalingas, ne daugiau 4 šulinėlių. Visi reagentai paruošti naudoti. Pateikti kitas reikalingas priemones tyrimams atlikti, jei neįeina į rinkinius.. Visi rinkiniai vieno gamintojo. Būtinas automatinis protokolas  tyrimų atlikimui ir jo įdiegimas į analizatorių BEP 2000 arba Immunomat.   CE ir IVD ženklinimas</w:t>
            </w:r>
          </w:p>
        </w:tc>
        <w:tc>
          <w:tcPr>
            <w:tcW w:w="2977" w:type="dxa"/>
            <w:gridSpan w:val="2"/>
            <w:tcBorders>
              <w:bottom w:val="single" w:sz="4" w:space="0" w:color="auto"/>
            </w:tcBorders>
          </w:tcPr>
          <w:p w14:paraId="2D80205E" w14:textId="5326378C" w:rsidR="00C17B72" w:rsidRPr="00C17B72" w:rsidRDefault="00C17B72" w:rsidP="00C17B72">
            <w:pPr>
              <w:spacing w:after="0" w:line="240" w:lineRule="auto"/>
              <w:ind w:left="-114" w:right="-100"/>
              <w:jc w:val="center"/>
              <w:rPr>
                <w:sz w:val="20"/>
                <w:szCs w:val="20"/>
              </w:rPr>
            </w:pPr>
            <w:r w:rsidRPr="00C17B72">
              <w:rPr>
                <w:sz w:val="20"/>
                <w:szCs w:val="20"/>
              </w:rPr>
              <w:t>97.4 SERION ELISA classic Mumps Virus IgG/SERION ELISA classic Mumps Virus IgM yra reagentai parotito IgG ir IgM antikūnų nustatymui IFA metodu. Plokštelės yra laužomos po 1 šulinėlį. Tiekėjas įsipareigoja, jog rinkinius bus galima pirkti pagal poreikį atskirai IgG ir IgM nustatymui.  Tie patys IgG rinkiniai yra tinkami kraujo bei nugaros smegenų skysčio tyrimams. Tyrimo rezultatas yra išreiškiamas kiekybiškai U/ml. Kalibratoriams, kontrolėms bei blankui yra reikalingai 4 šulinėliai. Visi reagentai paruošti naudoti. Bus pateikiamos reikalingos priemones tyrimams atlikti, jei neįeina į rinkinius. Visi rinkiniai vieno gamintojo. Pateikiamas automatinis protokolas tyrimų atlikimui ir bus atliekamas jo įdiegimas į analizatorių BEP 2000 arba Immunomat. CE ir IVD ženklinimas. Gamintojo dokumentacija (konfidncialu) 97 p.d. 130; 132; 139; 153-164; 315-323 psl.</w:t>
            </w:r>
          </w:p>
        </w:tc>
        <w:tc>
          <w:tcPr>
            <w:tcW w:w="851" w:type="dxa"/>
            <w:gridSpan w:val="2"/>
            <w:tcBorders>
              <w:bottom w:val="single" w:sz="4" w:space="0" w:color="auto"/>
            </w:tcBorders>
          </w:tcPr>
          <w:p w14:paraId="27667BFC" w14:textId="4AD3E16D" w:rsidR="00C17B72" w:rsidRPr="00C17B72" w:rsidRDefault="00C17B72" w:rsidP="00C17B72">
            <w:pPr>
              <w:spacing w:after="0" w:line="240" w:lineRule="auto"/>
              <w:ind w:left="-108" w:right="-123"/>
              <w:jc w:val="center"/>
              <w:rPr>
                <w:sz w:val="20"/>
                <w:szCs w:val="20"/>
              </w:rPr>
            </w:pPr>
            <w:r w:rsidRPr="00C17B72">
              <w:rPr>
                <w:sz w:val="20"/>
                <w:szCs w:val="20"/>
              </w:rPr>
              <w:t>1 pak./96 testai</w:t>
            </w:r>
          </w:p>
        </w:tc>
        <w:tc>
          <w:tcPr>
            <w:tcW w:w="850" w:type="dxa"/>
            <w:gridSpan w:val="2"/>
            <w:tcBorders>
              <w:bottom w:val="single" w:sz="4" w:space="0" w:color="auto"/>
            </w:tcBorders>
          </w:tcPr>
          <w:p w14:paraId="21AF311D" w14:textId="3D7BEE03" w:rsidR="00C17B72" w:rsidRPr="00C17B72" w:rsidRDefault="00C17B72" w:rsidP="00C17B72">
            <w:pPr>
              <w:spacing w:after="0" w:line="240" w:lineRule="auto"/>
              <w:jc w:val="center"/>
              <w:rPr>
                <w:b/>
                <w:sz w:val="20"/>
                <w:szCs w:val="20"/>
              </w:rPr>
            </w:pPr>
            <w:r w:rsidRPr="00C17B72">
              <w:rPr>
                <w:sz w:val="20"/>
                <w:szCs w:val="20"/>
              </w:rPr>
              <w:t>6</w:t>
            </w:r>
          </w:p>
        </w:tc>
        <w:tc>
          <w:tcPr>
            <w:tcW w:w="851" w:type="dxa"/>
            <w:gridSpan w:val="2"/>
            <w:tcBorders>
              <w:bottom w:val="single" w:sz="4" w:space="0" w:color="auto"/>
            </w:tcBorders>
          </w:tcPr>
          <w:p w14:paraId="58FBF2B6" w14:textId="3D069084" w:rsidR="00C17B72" w:rsidRPr="00C17B72" w:rsidRDefault="00C17B72" w:rsidP="00C17B72">
            <w:pPr>
              <w:spacing w:after="0" w:line="240" w:lineRule="auto"/>
              <w:jc w:val="center"/>
              <w:rPr>
                <w:sz w:val="20"/>
                <w:szCs w:val="20"/>
              </w:rPr>
            </w:pPr>
            <w:r w:rsidRPr="00C17B72">
              <w:rPr>
                <w:sz w:val="20"/>
                <w:szCs w:val="20"/>
              </w:rPr>
              <w:t xml:space="preserve">196,00 </w:t>
            </w:r>
          </w:p>
        </w:tc>
        <w:tc>
          <w:tcPr>
            <w:tcW w:w="708" w:type="dxa"/>
            <w:gridSpan w:val="2"/>
            <w:tcBorders>
              <w:bottom w:val="single" w:sz="4" w:space="0" w:color="auto"/>
            </w:tcBorders>
          </w:tcPr>
          <w:p w14:paraId="549B0D67" w14:textId="390A200B" w:rsidR="00C17B72" w:rsidRPr="00C17B72" w:rsidRDefault="00C17B72" w:rsidP="00C17B72">
            <w:pPr>
              <w:spacing w:after="0" w:line="240" w:lineRule="auto"/>
              <w:ind w:right="-108"/>
              <w:jc w:val="center"/>
              <w:rPr>
                <w:sz w:val="20"/>
                <w:szCs w:val="20"/>
              </w:rPr>
            </w:pPr>
            <w:r w:rsidRPr="00C17B72">
              <w:rPr>
                <w:sz w:val="20"/>
                <w:szCs w:val="20"/>
              </w:rPr>
              <w:t>21</w:t>
            </w:r>
          </w:p>
        </w:tc>
        <w:tc>
          <w:tcPr>
            <w:tcW w:w="851" w:type="dxa"/>
            <w:gridSpan w:val="2"/>
            <w:tcBorders>
              <w:bottom w:val="single" w:sz="4" w:space="0" w:color="auto"/>
            </w:tcBorders>
          </w:tcPr>
          <w:p w14:paraId="5B5E07BA" w14:textId="318BBC0F" w:rsidR="00C17B72" w:rsidRPr="00C17B72" w:rsidRDefault="00C17B72" w:rsidP="00C17B72">
            <w:pPr>
              <w:spacing w:after="0" w:line="240" w:lineRule="auto"/>
              <w:jc w:val="center"/>
              <w:rPr>
                <w:sz w:val="20"/>
                <w:szCs w:val="20"/>
              </w:rPr>
            </w:pPr>
            <w:r w:rsidRPr="00C17B72">
              <w:rPr>
                <w:sz w:val="20"/>
                <w:szCs w:val="20"/>
              </w:rPr>
              <w:t xml:space="preserve">237,16 </w:t>
            </w:r>
          </w:p>
        </w:tc>
        <w:tc>
          <w:tcPr>
            <w:tcW w:w="852" w:type="dxa"/>
            <w:gridSpan w:val="2"/>
            <w:tcBorders>
              <w:bottom w:val="single" w:sz="4" w:space="0" w:color="auto"/>
            </w:tcBorders>
          </w:tcPr>
          <w:p w14:paraId="415B4635" w14:textId="58BA51F5" w:rsidR="00C17B72" w:rsidRPr="00C17B72" w:rsidRDefault="00C17B72" w:rsidP="00C17B72">
            <w:pPr>
              <w:spacing w:after="0" w:line="240" w:lineRule="auto"/>
              <w:ind w:left="-114" w:right="-100"/>
              <w:jc w:val="center"/>
              <w:rPr>
                <w:sz w:val="20"/>
                <w:szCs w:val="20"/>
              </w:rPr>
            </w:pPr>
            <w:r w:rsidRPr="00C17B72">
              <w:rPr>
                <w:sz w:val="20"/>
                <w:szCs w:val="20"/>
              </w:rPr>
              <w:t xml:space="preserve">1 176,00 </w:t>
            </w:r>
          </w:p>
        </w:tc>
        <w:tc>
          <w:tcPr>
            <w:tcW w:w="850" w:type="dxa"/>
          </w:tcPr>
          <w:p w14:paraId="65A13EB6" w14:textId="14879C81" w:rsidR="00C17B72" w:rsidRPr="00C17B72" w:rsidRDefault="00C17B72" w:rsidP="00C17B72">
            <w:pPr>
              <w:spacing w:after="0" w:line="240" w:lineRule="auto"/>
              <w:ind w:left="-114" w:right="-100"/>
              <w:jc w:val="center"/>
              <w:rPr>
                <w:sz w:val="20"/>
                <w:szCs w:val="20"/>
              </w:rPr>
            </w:pPr>
            <w:r w:rsidRPr="00C17B72">
              <w:rPr>
                <w:sz w:val="20"/>
                <w:szCs w:val="20"/>
              </w:rPr>
              <w:t>1 422,96</w:t>
            </w:r>
          </w:p>
        </w:tc>
      </w:tr>
      <w:tr w:rsidR="00774D81" w:rsidRPr="009D0D16" w14:paraId="0A656D70" w14:textId="77777777" w:rsidTr="00FC01A8">
        <w:trPr>
          <w:trHeight w:val="415"/>
          <w:tblHeader/>
        </w:trPr>
        <w:tc>
          <w:tcPr>
            <w:tcW w:w="851" w:type="dxa"/>
            <w:tcBorders>
              <w:bottom w:val="single" w:sz="4" w:space="0" w:color="auto"/>
            </w:tcBorders>
          </w:tcPr>
          <w:p w14:paraId="49B2036D" w14:textId="1D7D7080" w:rsidR="00774D81" w:rsidRPr="00774D81" w:rsidRDefault="00774D81" w:rsidP="00774D81">
            <w:pPr>
              <w:spacing w:after="0" w:line="240" w:lineRule="auto"/>
              <w:jc w:val="center"/>
              <w:rPr>
                <w:sz w:val="20"/>
                <w:szCs w:val="20"/>
              </w:rPr>
            </w:pPr>
            <w:r w:rsidRPr="00774D81">
              <w:rPr>
                <w:sz w:val="20"/>
                <w:szCs w:val="20"/>
              </w:rPr>
              <w:lastRenderedPageBreak/>
              <w:t>97.5</w:t>
            </w:r>
          </w:p>
        </w:tc>
        <w:tc>
          <w:tcPr>
            <w:tcW w:w="2127" w:type="dxa"/>
            <w:gridSpan w:val="2"/>
            <w:tcBorders>
              <w:bottom w:val="single" w:sz="4" w:space="0" w:color="auto"/>
            </w:tcBorders>
          </w:tcPr>
          <w:p w14:paraId="4D3A4144" w14:textId="7051A514" w:rsidR="00774D81" w:rsidRPr="00774D81" w:rsidRDefault="00774D81" w:rsidP="00774D81">
            <w:pPr>
              <w:spacing w:after="0" w:line="240" w:lineRule="auto"/>
              <w:jc w:val="center"/>
              <w:rPr>
                <w:b/>
                <w:sz w:val="20"/>
                <w:szCs w:val="20"/>
              </w:rPr>
            </w:pPr>
            <w:r w:rsidRPr="00774D81">
              <w:rPr>
                <w:sz w:val="20"/>
                <w:szCs w:val="20"/>
              </w:rPr>
              <w:t xml:space="preserve">Reagentai Boreliozės IgG ir IgM nustatymui </w:t>
            </w:r>
          </w:p>
        </w:tc>
        <w:tc>
          <w:tcPr>
            <w:tcW w:w="991" w:type="dxa"/>
            <w:tcBorders>
              <w:bottom w:val="single" w:sz="4" w:space="0" w:color="auto"/>
            </w:tcBorders>
          </w:tcPr>
          <w:p w14:paraId="4EE6B148" w14:textId="0736F485" w:rsidR="00774D81" w:rsidRPr="00774D81" w:rsidRDefault="00774D81" w:rsidP="00774D81">
            <w:pPr>
              <w:spacing w:after="0" w:line="240" w:lineRule="auto"/>
              <w:ind w:left="-108" w:right="-108"/>
              <w:jc w:val="center"/>
              <w:rPr>
                <w:sz w:val="20"/>
                <w:szCs w:val="20"/>
              </w:rPr>
            </w:pPr>
            <w:r w:rsidRPr="00774D81">
              <w:rPr>
                <w:sz w:val="20"/>
                <w:szCs w:val="20"/>
              </w:rPr>
              <w:t>33696500-0</w:t>
            </w:r>
          </w:p>
        </w:tc>
        <w:tc>
          <w:tcPr>
            <w:tcW w:w="2125" w:type="dxa"/>
            <w:tcBorders>
              <w:bottom w:val="single" w:sz="4" w:space="0" w:color="auto"/>
            </w:tcBorders>
          </w:tcPr>
          <w:p w14:paraId="032C005C" w14:textId="624F365B" w:rsidR="00774D81" w:rsidRPr="00774D81" w:rsidRDefault="00774D81" w:rsidP="00774D81">
            <w:pPr>
              <w:spacing w:after="0" w:line="240" w:lineRule="auto"/>
              <w:ind w:left="-108" w:right="-108"/>
              <w:jc w:val="center"/>
              <w:rPr>
                <w:sz w:val="20"/>
                <w:szCs w:val="20"/>
              </w:rPr>
            </w:pPr>
            <w:r w:rsidRPr="00774D81">
              <w:rPr>
                <w:sz w:val="20"/>
                <w:szCs w:val="20"/>
              </w:rPr>
              <w:t>Reagentai boreliozės IgG ir IgM antikūnų nustatymui IFA metodu. Plokštelės laužomos  po  1 šulinėlį .Perkami rinkiniai pagal poreikį atskirai IgG ir IgM nustatymui. Tie patys  rinkiniai turi tikti kraujo bei nugaros smegenų skysčio tyrimams. Kalibratoriams, kontrolėms bei blankui, jei toks reikalingas, ne daugiau 4 šulinėlių. Visi reagentai paruošti naudoti. Pateikti kitas reikalingas priemones tyrimams atlikti, jei neįeina į rinkinius. Visi rinkiniai vieno gamintojo. Būtinas automatinis protokolas  tyrimų atlikimui ir jo įdiegimas į analizatorių BEP 2000 arba Immunomat. CE ir IVD ženklinimas</w:t>
            </w:r>
          </w:p>
        </w:tc>
        <w:tc>
          <w:tcPr>
            <w:tcW w:w="2977" w:type="dxa"/>
            <w:gridSpan w:val="2"/>
            <w:tcBorders>
              <w:bottom w:val="single" w:sz="4" w:space="0" w:color="auto"/>
            </w:tcBorders>
          </w:tcPr>
          <w:p w14:paraId="4A167DCC" w14:textId="766B9180" w:rsidR="00774D81" w:rsidRPr="00774D81" w:rsidRDefault="00774D81" w:rsidP="00774D81">
            <w:pPr>
              <w:spacing w:after="0" w:line="240" w:lineRule="auto"/>
              <w:ind w:left="-114" w:right="-100"/>
              <w:jc w:val="center"/>
              <w:rPr>
                <w:sz w:val="20"/>
                <w:szCs w:val="20"/>
              </w:rPr>
            </w:pPr>
            <w:r w:rsidRPr="00774D81">
              <w:rPr>
                <w:sz w:val="20"/>
                <w:szCs w:val="20"/>
              </w:rPr>
              <w:t>97.5 SERION ELISA classic Borrelia burgdorferi IgG/SERION ELISA classic Borrelia burgdorferi IgM yra reagentai boreliozės IgG ir IgM antikūnų nustatymui IFA metodu. Plokštelės laužomos po 1 šulinėlį. Tiekėjas įsipareigoja, jog rinkinius bus galima pirkti pagal poreikį atskirai IgG ir IgM nustatymui. Tie patys rinkiniai yra tinkami kraujo bei nugaros smegenų skysčio tyrimams. Kalibratoriams, kontrolėms bei blankui yra reikalingai 4 šulinėliai. Visi reagentai paruošti naudoti. Visi rinkiniai vieno gamintojo. Pateikiamas automatinis protokolas tyrimų atlikimui ir bus atliekamas jo įdiegimas į analizatorių BEP 2000 arba Immunomat. CE ir IVD ženklinimas. Gamintojo dokumentacija (konfidncialu) 97 p.d. 167; 169; 176; 192-203; 315-323 psl.</w:t>
            </w:r>
          </w:p>
        </w:tc>
        <w:tc>
          <w:tcPr>
            <w:tcW w:w="851" w:type="dxa"/>
            <w:gridSpan w:val="2"/>
            <w:tcBorders>
              <w:bottom w:val="single" w:sz="4" w:space="0" w:color="auto"/>
            </w:tcBorders>
          </w:tcPr>
          <w:p w14:paraId="5BE4D3AD" w14:textId="78DBB9FC" w:rsidR="00774D81" w:rsidRPr="00774D81" w:rsidRDefault="00774D81" w:rsidP="00774D81">
            <w:pPr>
              <w:spacing w:after="0" w:line="240" w:lineRule="auto"/>
              <w:ind w:left="-108" w:right="-123"/>
              <w:jc w:val="center"/>
              <w:rPr>
                <w:sz w:val="20"/>
                <w:szCs w:val="20"/>
              </w:rPr>
            </w:pPr>
            <w:r w:rsidRPr="00774D81">
              <w:rPr>
                <w:sz w:val="20"/>
                <w:szCs w:val="20"/>
              </w:rPr>
              <w:t>1 pak./96 testai</w:t>
            </w:r>
          </w:p>
        </w:tc>
        <w:tc>
          <w:tcPr>
            <w:tcW w:w="850" w:type="dxa"/>
            <w:gridSpan w:val="2"/>
            <w:tcBorders>
              <w:bottom w:val="single" w:sz="4" w:space="0" w:color="auto"/>
            </w:tcBorders>
          </w:tcPr>
          <w:p w14:paraId="74997926" w14:textId="207AE785" w:rsidR="00774D81" w:rsidRPr="00774D81" w:rsidRDefault="00774D81" w:rsidP="00774D81">
            <w:pPr>
              <w:spacing w:after="0" w:line="240" w:lineRule="auto"/>
              <w:jc w:val="center"/>
              <w:rPr>
                <w:b/>
                <w:sz w:val="20"/>
                <w:szCs w:val="20"/>
              </w:rPr>
            </w:pPr>
            <w:r w:rsidRPr="00774D81">
              <w:rPr>
                <w:sz w:val="20"/>
                <w:szCs w:val="20"/>
              </w:rPr>
              <w:t>20</w:t>
            </w:r>
          </w:p>
        </w:tc>
        <w:tc>
          <w:tcPr>
            <w:tcW w:w="851" w:type="dxa"/>
            <w:gridSpan w:val="2"/>
            <w:tcBorders>
              <w:bottom w:val="single" w:sz="4" w:space="0" w:color="auto"/>
            </w:tcBorders>
          </w:tcPr>
          <w:p w14:paraId="3EC996D3" w14:textId="0B21F9A5" w:rsidR="00774D81" w:rsidRPr="00774D81" w:rsidRDefault="00774D81" w:rsidP="00774D81">
            <w:pPr>
              <w:spacing w:after="0" w:line="240" w:lineRule="auto"/>
              <w:jc w:val="center"/>
              <w:rPr>
                <w:sz w:val="20"/>
                <w:szCs w:val="20"/>
              </w:rPr>
            </w:pPr>
            <w:r w:rsidRPr="00774D81">
              <w:rPr>
                <w:sz w:val="20"/>
                <w:szCs w:val="20"/>
              </w:rPr>
              <w:t xml:space="preserve">216,00 </w:t>
            </w:r>
          </w:p>
        </w:tc>
        <w:tc>
          <w:tcPr>
            <w:tcW w:w="708" w:type="dxa"/>
            <w:gridSpan w:val="2"/>
            <w:tcBorders>
              <w:bottom w:val="single" w:sz="4" w:space="0" w:color="auto"/>
            </w:tcBorders>
          </w:tcPr>
          <w:p w14:paraId="56ABE568" w14:textId="640758A4" w:rsidR="00774D81" w:rsidRPr="00774D81" w:rsidRDefault="00774D81" w:rsidP="00774D81">
            <w:pPr>
              <w:spacing w:after="0" w:line="240" w:lineRule="auto"/>
              <w:ind w:right="-108"/>
              <w:jc w:val="center"/>
              <w:rPr>
                <w:sz w:val="20"/>
                <w:szCs w:val="20"/>
              </w:rPr>
            </w:pPr>
            <w:r w:rsidRPr="00774D81">
              <w:rPr>
                <w:sz w:val="20"/>
                <w:szCs w:val="20"/>
              </w:rPr>
              <w:t>21</w:t>
            </w:r>
          </w:p>
        </w:tc>
        <w:tc>
          <w:tcPr>
            <w:tcW w:w="851" w:type="dxa"/>
            <w:gridSpan w:val="2"/>
            <w:tcBorders>
              <w:bottom w:val="single" w:sz="4" w:space="0" w:color="auto"/>
            </w:tcBorders>
          </w:tcPr>
          <w:p w14:paraId="1B8CAEEF" w14:textId="3172F261" w:rsidR="00774D81" w:rsidRPr="00774D81" w:rsidRDefault="00774D81" w:rsidP="00774D81">
            <w:pPr>
              <w:spacing w:after="0" w:line="240" w:lineRule="auto"/>
              <w:jc w:val="center"/>
              <w:rPr>
                <w:sz w:val="20"/>
                <w:szCs w:val="20"/>
              </w:rPr>
            </w:pPr>
            <w:r w:rsidRPr="00774D81">
              <w:rPr>
                <w:sz w:val="20"/>
                <w:szCs w:val="20"/>
              </w:rPr>
              <w:t xml:space="preserve">261,36 </w:t>
            </w:r>
          </w:p>
        </w:tc>
        <w:tc>
          <w:tcPr>
            <w:tcW w:w="852" w:type="dxa"/>
            <w:gridSpan w:val="2"/>
            <w:tcBorders>
              <w:bottom w:val="single" w:sz="4" w:space="0" w:color="auto"/>
            </w:tcBorders>
          </w:tcPr>
          <w:p w14:paraId="7F1FCCBB" w14:textId="21C93900" w:rsidR="00774D81" w:rsidRPr="00774D81" w:rsidRDefault="00774D81" w:rsidP="00774D81">
            <w:pPr>
              <w:spacing w:after="0" w:line="240" w:lineRule="auto"/>
              <w:ind w:left="-114" w:right="-100"/>
              <w:jc w:val="center"/>
              <w:rPr>
                <w:sz w:val="20"/>
                <w:szCs w:val="20"/>
              </w:rPr>
            </w:pPr>
            <w:r w:rsidRPr="00774D81">
              <w:rPr>
                <w:sz w:val="20"/>
                <w:szCs w:val="20"/>
              </w:rPr>
              <w:t xml:space="preserve">4 320,00 </w:t>
            </w:r>
          </w:p>
        </w:tc>
        <w:tc>
          <w:tcPr>
            <w:tcW w:w="850" w:type="dxa"/>
          </w:tcPr>
          <w:p w14:paraId="01FE0DD6" w14:textId="527CB665" w:rsidR="00774D81" w:rsidRPr="00774D81" w:rsidRDefault="00774D81" w:rsidP="00774D81">
            <w:pPr>
              <w:spacing w:after="0" w:line="240" w:lineRule="auto"/>
              <w:ind w:left="-114" w:right="-100"/>
              <w:jc w:val="center"/>
              <w:rPr>
                <w:sz w:val="20"/>
                <w:szCs w:val="20"/>
              </w:rPr>
            </w:pPr>
            <w:r w:rsidRPr="00774D81">
              <w:rPr>
                <w:sz w:val="20"/>
                <w:szCs w:val="20"/>
              </w:rPr>
              <w:t>5 227,20</w:t>
            </w:r>
          </w:p>
        </w:tc>
      </w:tr>
      <w:tr w:rsidR="000F6126" w:rsidRPr="009D0D16" w14:paraId="47B7EEA6" w14:textId="77777777" w:rsidTr="00FC01A8">
        <w:trPr>
          <w:trHeight w:val="415"/>
          <w:tblHeader/>
        </w:trPr>
        <w:tc>
          <w:tcPr>
            <w:tcW w:w="851" w:type="dxa"/>
            <w:tcBorders>
              <w:bottom w:val="single" w:sz="4" w:space="0" w:color="auto"/>
            </w:tcBorders>
          </w:tcPr>
          <w:p w14:paraId="20E22940" w14:textId="5F444259" w:rsidR="000F6126" w:rsidRPr="000F6126" w:rsidRDefault="000F6126" w:rsidP="000F6126">
            <w:pPr>
              <w:spacing w:after="0" w:line="240" w:lineRule="auto"/>
              <w:jc w:val="center"/>
              <w:rPr>
                <w:sz w:val="20"/>
                <w:szCs w:val="20"/>
              </w:rPr>
            </w:pPr>
            <w:r w:rsidRPr="000F6126">
              <w:rPr>
                <w:sz w:val="20"/>
                <w:szCs w:val="20"/>
              </w:rPr>
              <w:lastRenderedPageBreak/>
              <w:t>97.6</w:t>
            </w:r>
          </w:p>
        </w:tc>
        <w:tc>
          <w:tcPr>
            <w:tcW w:w="2127" w:type="dxa"/>
            <w:gridSpan w:val="2"/>
            <w:tcBorders>
              <w:bottom w:val="single" w:sz="4" w:space="0" w:color="auto"/>
            </w:tcBorders>
          </w:tcPr>
          <w:p w14:paraId="1F5547A1" w14:textId="58B23D5A" w:rsidR="000F6126" w:rsidRPr="000F6126" w:rsidRDefault="000F6126" w:rsidP="000F6126">
            <w:pPr>
              <w:spacing w:after="0" w:line="240" w:lineRule="auto"/>
              <w:jc w:val="center"/>
              <w:rPr>
                <w:b/>
                <w:sz w:val="20"/>
                <w:szCs w:val="20"/>
              </w:rPr>
            </w:pPr>
            <w:r w:rsidRPr="000F6126">
              <w:rPr>
                <w:sz w:val="20"/>
                <w:szCs w:val="20"/>
              </w:rPr>
              <w:t>Reagentai VZV IgM ir IgG nustatymui</w:t>
            </w:r>
          </w:p>
        </w:tc>
        <w:tc>
          <w:tcPr>
            <w:tcW w:w="991" w:type="dxa"/>
            <w:tcBorders>
              <w:bottom w:val="single" w:sz="4" w:space="0" w:color="auto"/>
            </w:tcBorders>
          </w:tcPr>
          <w:p w14:paraId="25A9BAFD" w14:textId="48E88A8C" w:rsidR="000F6126" w:rsidRPr="000F6126" w:rsidRDefault="000F6126" w:rsidP="000F6126">
            <w:pPr>
              <w:spacing w:after="0" w:line="240" w:lineRule="auto"/>
              <w:ind w:left="-108" w:right="-108"/>
              <w:jc w:val="center"/>
              <w:rPr>
                <w:sz w:val="20"/>
                <w:szCs w:val="20"/>
              </w:rPr>
            </w:pPr>
            <w:r w:rsidRPr="000F6126">
              <w:rPr>
                <w:sz w:val="20"/>
                <w:szCs w:val="20"/>
              </w:rPr>
              <w:t>33696500-0</w:t>
            </w:r>
          </w:p>
        </w:tc>
        <w:tc>
          <w:tcPr>
            <w:tcW w:w="2125" w:type="dxa"/>
            <w:tcBorders>
              <w:bottom w:val="single" w:sz="4" w:space="0" w:color="auto"/>
            </w:tcBorders>
          </w:tcPr>
          <w:p w14:paraId="7B774B08" w14:textId="1C18096F" w:rsidR="000F6126" w:rsidRPr="000F6126" w:rsidRDefault="000F6126" w:rsidP="000F6126">
            <w:pPr>
              <w:spacing w:after="0" w:line="240" w:lineRule="auto"/>
              <w:ind w:left="-108" w:right="-108"/>
              <w:jc w:val="center"/>
              <w:rPr>
                <w:sz w:val="20"/>
                <w:szCs w:val="20"/>
              </w:rPr>
            </w:pPr>
            <w:r w:rsidRPr="000F6126">
              <w:rPr>
                <w:sz w:val="20"/>
                <w:szCs w:val="20"/>
              </w:rPr>
              <w:t>Reagentai vėjaraupių IgG ir IgM antikūnų nustatymui IFA metodu. Plokštelės laužomos  po  1 šulinėlį .Perkami rinkiniai pagal poreikį atskirai IgG ir IgM nustatymui. Tie patys  IgG rinkiniai turi tikti kraujo bei nugaros smegenų skysčio tyrimams. Tyrimo rezultatas išreiškiamas kiekybiškai U/ml. Kalibratoriams, kontrolėms bei blankui, jei toks reikalingas, ne daugiau 4 šulinėlių. Visi reagentai paruošti naudoti. Pateikti kitas reikalingas priemones tyrimams atlikti, jei neįeina į rinkinius. Visi rinkiniai vieno gamintojo. Būtinas automatinis protokolas  tyrimų atlikimui ir jo įdiegimas į analizatorių BEP 2000 arba Immunomat. CE ir IVD ženklinimas</w:t>
            </w:r>
          </w:p>
        </w:tc>
        <w:tc>
          <w:tcPr>
            <w:tcW w:w="2977" w:type="dxa"/>
            <w:gridSpan w:val="2"/>
            <w:tcBorders>
              <w:bottom w:val="single" w:sz="4" w:space="0" w:color="auto"/>
            </w:tcBorders>
          </w:tcPr>
          <w:p w14:paraId="2A866AEB" w14:textId="7E0D957D" w:rsidR="000F6126" w:rsidRPr="000F6126" w:rsidRDefault="000F6126" w:rsidP="000F6126">
            <w:pPr>
              <w:spacing w:after="0" w:line="240" w:lineRule="auto"/>
              <w:ind w:left="-114" w:right="-100"/>
              <w:jc w:val="center"/>
              <w:rPr>
                <w:sz w:val="20"/>
                <w:szCs w:val="20"/>
              </w:rPr>
            </w:pPr>
            <w:r w:rsidRPr="000F6126">
              <w:rPr>
                <w:sz w:val="20"/>
                <w:szCs w:val="20"/>
              </w:rPr>
              <w:t>97.6 SERION ELISA classic Varicella Zoster Virus IgG/SERION ELISA classic Varicella Zoster Virus IgM yra reagentai vėjaraupių IgG ir IgM antikūnų nustatymui IFA metodu. Plokštelės yra laužomos po 1 šulinėlį. Tiekėjas įsipareigoja, jog rinkinius bus galima pirkti pagal poreikį atskirai IgG ir IgM nustatymui. Tiekėjas įsipareigoja, jog rinkinius bus galima pirkti pagal poreikį atskirai IgG ir IgM nustatymui. Tie patys IgG rinkiniai yra tinkami kraujo bei nugaros smegenų skysčio tyrimams. Tyrimo rezultatas yra išreiškiamas kiekybiškai U/ml. Kalibratoriams, kontrolėms bei blankui yra reikalingai 4 šulinėliai. Visi reagentai paruošti naudoti. Bus pateikiamos reikalingos priemones tyrimams atlikti, jei neįeina į rinkinius. Visi rinkiniai vieno gamintojo. Pateikiamas automatinis protokolas tyrimų atlikimui ir bus atliekamas jo įdiegimas į analizatorių BEP 2000 arba Immunomat. CE ir IVD ženklinimas. Gamintojo dokumentacija (konfidncialu) 97 p.d. 206; 208; 215; 231-242; 3125-323 psl.</w:t>
            </w:r>
          </w:p>
        </w:tc>
        <w:tc>
          <w:tcPr>
            <w:tcW w:w="851" w:type="dxa"/>
            <w:gridSpan w:val="2"/>
            <w:tcBorders>
              <w:bottom w:val="single" w:sz="4" w:space="0" w:color="auto"/>
            </w:tcBorders>
          </w:tcPr>
          <w:p w14:paraId="01C07A57" w14:textId="63CD0B98" w:rsidR="000F6126" w:rsidRPr="000F6126" w:rsidRDefault="000F6126" w:rsidP="000F6126">
            <w:pPr>
              <w:spacing w:after="0" w:line="240" w:lineRule="auto"/>
              <w:ind w:left="-108" w:right="-123"/>
              <w:jc w:val="center"/>
              <w:rPr>
                <w:sz w:val="20"/>
                <w:szCs w:val="20"/>
              </w:rPr>
            </w:pPr>
            <w:r w:rsidRPr="000F6126">
              <w:rPr>
                <w:sz w:val="20"/>
                <w:szCs w:val="20"/>
              </w:rPr>
              <w:t>1 pak./96 testai</w:t>
            </w:r>
          </w:p>
        </w:tc>
        <w:tc>
          <w:tcPr>
            <w:tcW w:w="850" w:type="dxa"/>
            <w:gridSpan w:val="2"/>
            <w:tcBorders>
              <w:bottom w:val="single" w:sz="4" w:space="0" w:color="auto"/>
            </w:tcBorders>
          </w:tcPr>
          <w:p w14:paraId="5021FB39" w14:textId="4C42C080" w:rsidR="000F6126" w:rsidRPr="000F6126" w:rsidRDefault="000F6126" w:rsidP="000F6126">
            <w:pPr>
              <w:spacing w:after="0" w:line="240" w:lineRule="auto"/>
              <w:jc w:val="center"/>
              <w:rPr>
                <w:b/>
                <w:sz w:val="20"/>
                <w:szCs w:val="20"/>
              </w:rPr>
            </w:pPr>
            <w:r w:rsidRPr="000F6126">
              <w:rPr>
                <w:sz w:val="20"/>
                <w:szCs w:val="20"/>
              </w:rPr>
              <w:t>10</w:t>
            </w:r>
          </w:p>
        </w:tc>
        <w:tc>
          <w:tcPr>
            <w:tcW w:w="851" w:type="dxa"/>
            <w:gridSpan w:val="2"/>
            <w:tcBorders>
              <w:bottom w:val="single" w:sz="4" w:space="0" w:color="auto"/>
            </w:tcBorders>
          </w:tcPr>
          <w:p w14:paraId="42AFAC93" w14:textId="2C5C3898" w:rsidR="000F6126" w:rsidRPr="000F6126" w:rsidRDefault="000F6126" w:rsidP="000F6126">
            <w:pPr>
              <w:spacing w:after="0" w:line="240" w:lineRule="auto"/>
              <w:jc w:val="center"/>
              <w:rPr>
                <w:sz w:val="20"/>
                <w:szCs w:val="20"/>
              </w:rPr>
            </w:pPr>
            <w:r w:rsidRPr="000F6126">
              <w:rPr>
                <w:sz w:val="20"/>
                <w:szCs w:val="20"/>
              </w:rPr>
              <w:t xml:space="preserve">216,00 </w:t>
            </w:r>
          </w:p>
        </w:tc>
        <w:tc>
          <w:tcPr>
            <w:tcW w:w="708" w:type="dxa"/>
            <w:gridSpan w:val="2"/>
            <w:tcBorders>
              <w:bottom w:val="single" w:sz="4" w:space="0" w:color="auto"/>
            </w:tcBorders>
          </w:tcPr>
          <w:p w14:paraId="687C5F56" w14:textId="2199664F" w:rsidR="000F6126" w:rsidRPr="000F6126" w:rsidRDefault="000F6126" w:rsidP="000F6126">
            <w:pPr>
              <w:spacing w:after="0" w:line="240" w:lineRule="auto"/>
              <w:ind w:right="-108"/>
              <w:jc w:val="center"/>
              <w:rPr>
                <w:sz w:val="20"/>
                <w:szCs w:val="20"/>
              </w:rPr>
            </w:pPr>
            <w:r w:rsidRPr="000F6126">
              <w:rPr>
                <w:sz w:val="20"/>
                <w:szCs w:val="20"/>
              </w:rPr>
              <w:t>21</w:t>
            </w:r>
          </w:p>
        </w:tc>
        <w:tc>
          <w:tcPr>
            <w:tcW w:w="851" w:type="dxa"/>
            <w:gridSpan w:val="2"/>
            <w:tcBorders>
              <w:bottom w:val="single" w:sz="4" w:space="0" w:color="auto"/>
            </w:tcBorders>
          </w:tcPr>
          <w:p w14:paraId="06626194" w14:textId="68F3EF2A" w:rsidR="000F6126" w:rsidRPr="000F6126" w:rsidRDefault="000F6126" w:rsidP="000F6126">
            <w:pPr>
              <w:spacing w:after="0" w:line="240" w:lineRule="auto"/>
              <w:jc w:val="center"/>
              <w:rPr>
                <w:sz w:val="20"/>
                <w:szCs w:val="20"/>
              </w:rPr>
            </w:pPr>
            <w:r w:rsidRPr="000F6126">
              <w:rPr>
                <w:sz w:val="20"/>
                <w:szCs w:val="20"/>
              </w:rPr>
              <w:t xml:space="preserve">261,36 </w:t>
            </w:r>
          </w:p>
        </w:tc>
        <w:tc>
          <w:tcPr>
            <w:tcW w:w="852" w:type="dxa"/>
            <w:gridSpan w:val="2"/>
            <w:tcBorders>
              <w:bottom w:val="single" w:sz="4" w:space="0" w:color="auto"/>
            </w:tcBorders>
          </w:tcPr>
          <w:p w14:paraId="07461D7F" w14:textId="712B1730" w:rsidR="000F6126" w:rsidRPr="000F6126" w:rsidRDefault="000F6126" w:rsidP="000F6126">
            <w:pPr>
              <w:spacing w:after="0" w:line="240" w:lineRule="auto"/>
              <w:ind w:left="-114" w:right="-100"/>
              <w:jc w:val="center"/>
              <w:rPr>
                <w:sz w:val="20"/>
                <w:szCs w:val="20"/>
              </w:rPr>
            </w:pPr>
            <w:r w:rsidRPr="000F6126">
              <w:rPr>
                <w:sz w:val="20"/>
                <w:szCs w:val="20"/>
              </w:rPr>
              <w:t xml:space="preserve">2 160,00 </w:t>
            </w:r>
          </w:p>
        </w:tc>
        <w:tc>
          <w:tcPr>
            <w:tcW w:w="850" w:type="dxa"/>
          </w:tcPr>
          <w:p w14:paraId="27E6437E" w14:textId="479EA63C" w:rsidR="000F6126" w:rsidRPr="000F6126" w:rsidRDefault="000F6126" w:rsidP="000F6126">
            <w:pPr>
              <w:spacing w:after="0" w:line="240" w:lineRule="auto"/>
              <w:ind w:left="-114" w:right="-100"/>
              <w:jc w:val="center"/>
              <w:rPr>
                <w:sz w:val="20"/>
                <w:szCs w:val="20"/>
              </w:rPr>
            </w:pPr>
            <w:r w:rsidRPr="000F6126">
              <w:rPr>
                <w:sz w:val="20"/>
                <w:szCs w:val="20"/>
              </w:rPr>
              <w:t>2 613,60</w:t>
            </w:r>
          </w:p>
        </w:tc>
      </w:tr>
      <w:tr w:rsidR="00DD0B66" w:rsidRPr="009D0D16" w14:paraId="647FC9FA" w14:textId="77777777" w:rsidTr="00FC01A8">
        <w:trPr>
          <w:trHeight w:val="415"/>
          <w:tblHeader/>
        </w:trPr>
        <w:tc>
          <w:tcPr>
            <w:tcW w:w="851" w:type="dxa"/>
            <w:tcBorders>
              <w:bottom w:val="single" w:sz="4" w:space="0" w:color="auto"/>
            </w:tcBorders>
          </w:tcPr>
          <w:p w14:paraId="6BA23F98" w14:textId="3A354F8B" w:rsidR="00DD0B66" w:rsidRPr="00DD0B66" w:rsidRDefault="00DD0B66" w:rsidP="00DD0B66">
            <w:pPr>
              <w:spacing w:after="0" w:line="240" w:lineRule="auto"/>
              <w:jc w:val="center"/>
              <w:rPr>
                <w:sz w:val="20"/>
                <w:szCs w:val="20"/>
              </w:rPr>
            </w:pPr>
            <w:r w:rsidRPr="00DD0B66">
              <w:rPr>
                <w:sz w:val="20"/>
                <w:szCs w:val="20"/>
              </w:rPr>
              <w:lastRenderedPageBreak/>
              <w:t>97.7</w:t>
            </w:r>
          </w:p>
        </w:tc>
        <w:tc>
          <w:tcPr>
            <w:tcW w:w="2127" w:type="dxa"/>
            <w:gridSpan w:val="2"/>
            <w:tcBorders>
              <w:bottom w:val="single" w:sz="4" w:space="0" w:color="auto"/>
            </w:tcBorders>
          </w:tcPr>
          <w:p w14:paraId="4A6E8C86" w14:textId="2A3967EE" w:rsidR="00DD0B66" w:rsidRPr="00DD0B66" w:rsidRDefault="00DD0B66" w:rsidP="00DD0B66">
            <w:pPr>
              <w:spacing w:after="0" w:line="240" w:lineRule="auto"/>
              <w:jc w:val="center"/>
              <w:rPr>
                <w:b/>
                <w:sz w:val="20"/>
                <w:szCs w:val="20"/>
              </w:rPr>
            </w:pPr>
            <w:r w:rsidRPr="00DD0B66">
              <w:rPr>
                <w:sz w:val="20"/>
                <w:szCs w:val="20"/>
              </w:rPr>
              <w:t>Reagentai HSV1 IgG, HSV2 IgG ir HSV1/2 IgM nustatymui</w:t>
            </w:r>
          </w:p>
        </w:tc>
        <w:tc>
          <w:tcPr>
            <w:tcW w:w="991" w:type="dxa"/>
            <w:tcBorders>
              <w:bottom w:val="single" w:sz="4" w:space="0" w:color="auto"/>
            </w:tcBorders>
          </w:tcPr>
          <w:p w14:paraId="0E11D683" w14:textId="7754E688" w:rsidR="00DD0B66" w:rsidRPr="00DD0B66" w:rsidRDefault="00DD0B66" w:rsidP="00DD0B66">
            <w:pPr>
              <w:spacing w:after="0" w:line="240" w:lineRule="auto"/>
              <w:ind w:left="-108" w:right="-108"/>
              <w:jc w:val="center"/>
              <w:rPr>
                <w:sz w:val="20"/>
                <w:szCs w:val="20"/>
              </w:rPr>
            </w:pPr>
            <w:r w:rsidRPr="00DD0B66">
              <w:rPr>
                <w:sz w:val="20"/>
                <w:szCs w:val="20"/>
              </w:rPr>
              <w:t>33696500-0</w:t>
            </w:r>
          </w:p>
        </w:tc>
        <w:tc>
          <w:tcPr>
            <w:tcW w:w="2125" w:type="dxa"/>
            <w:tcBorders>
              <w:bottom w:val="single" w:sz="4" w:space="0" w:color="auto"/>
            </w:tcBorders>
          </w:tcPr>
          <w:p w14:paraId="5D5F0D4B" w14:textId="0F1CDDC7" w:rsidR="00DD0B66" w:rsidRPr="00DD0B66" w:rsidRDefault="00DD0B66" w:rsidP="00DD0B66">
            <w:pPr>
              <w:spacing w:after="0" w:line="240" w:lineRule="auto"/>
              <w:ind w:left="-108" w:right="-108"/>
              <w:jc w:val="center"/>
              <w:rPr>
                <w:sz w:val="20"/>
                <w:szCs w:val="20"/>
              </w:rPr>
            </w:pPr>
            <w:r w:rsidRPr="00DD0B66">
              <w:rPr>
                <w:sz w:val="20"/>
                <w:szCs w:val="20"/>
              </w:rPr>
              <w:t>Reagentai HSV IgG ir IgM antikūnų nustatymui IFA metodu. Plokštelės laužomos  po  1 šulinėlį .Perkami rinkiniai pagal poreikį atskirai HSV1  IgG, HSV2 IgG ir HSV 1/2  IgM nustatymui. Tie patys  IgG rinkiniai turi tikti kraujo bei nugaros smegenų skysčio tyrimams.. Kalibratoriams, kontrolėms bei blankui, jei toks reikalingas, ne daugiau 4 šulinėlių. Visi reagentai paruošti naudoti. Pateikti kitas reikalingas priemones tyrimams atlikti, jei neįeina į rinkinius. Visi rinkiniai vieno gamintojo. Būtinas automatinis protokolas  tyrimų atlikimui ir jo įdiegimas į analizatorių BEP 2000 arba Immunomat.   CE ir IVD ženklinimas</w:t>
            </w:r>
          </w:p>
        </w:tc>
        <w:tc>
          <w:tcPr>
            <w:tcW w:w="2977" w:type="dxa"/>
            <w:gridSpan w:val="2"/>
            <w:tcBorders>
              <w:bottom w:val="single" w:sz="4" w:space="0" w:color="auto"/>
            </w:tcBorders>
          </w:tcPr>
          <w:p w14:paraId="228DEECF" w14:textId="38D5785C" w:rsidR="00DD0B66" w:rsidRPr="00DD0B66" w:rsidRDefault="00DD0B66" w:rsidP="00DD0B66">
            <w:pPr>
              <w:spacing w:after="0" w:line="240" w:lineRule="auto"/>
              <w:ind w:left="-114" w:right="-100"/>
              <w:jc w:val="center"/>
              <w:rPr>
                <w:sz w:val="20"/>
                <w:szCs w:val="20"/>
              </w:rPr>
            </w:pPr>
            <w:r w:rsidRPr="00DD0B66">
              <w:rPr>
                <w:sz w:val="20"/>
                <w:szCs w:val="20"/>
              </w:rPr>
              <w:t>97.7 SERION ELISA classic Herpes Simplex Virus 1 IgG/SERION ELISA classic Herpes Simplex Virus 2 IgG/SERION ELISA classic Herpes Simplex Virus 1/2 IgM yra reagentai HSV IgG ir IgM antikūnų nustatymui IFA metodu. Plokštelės yra laužomos po 1 šulinėlį. Tiekėjas įsipareigoja, jog rinkinius bus galima pirkti pagal poreikį atskirai I HSV1  IgG, HSV2 IgG ir HSV 1/2  IgM nustatymui.  Tie patys IgG rinkiniai yra tinkami kraujo bei nugaros smegenų skysčio tyrimams. Kalibratoriams, kontrolėms bei blankui yra reikalingai 4 šulinėliai. Visi reagentai paruošti naudoti. Bus pateikiamos reikalingos priemones tyrimams atlikti, jei neįeina į rinkinius. Visi rinkiniai vieno gamintojo. Pateikiamas automatinis protokolas tyrimų atlikimui ir bus atliekamas jo įdiegimas į analizatorių BEP 2000 arba Immunomat. CE ir IVD ženklinimas. Gamintojo dokumentacija (konfidncialu) 97 p.d. 245; 247; 254; 273-279; 315-323 psl.</w:t>
            </w:r>
          </w:p>
        </w:tc>
        <w:tc>
          <w:tcPr>
            <w:tcW w:w="851" w:type="dxa"/>
            <w:gridSpan w:val="2"/>
            <w:tcBorders>
              <w:bottom w:val="single" w:sz="4" w:space="0" w:color="auto"/>
            </w:tcBorders>
          </w:tcPr>
          <w:p w14:paraId="3A0F38A4" w14:textId="3B54BDEF" w:rsidR="00DD0B66" w:rsidRPr="00DD0B66" w:rsidRDefault="00DD0B66" w:rsidP="00DD0B66">
            <w:pPr>
              <w:spacing w:after="0" w:line="240" w:lineRule="auto"/>
              <w:ind w:left="-108" w:right="-123"/>
              <w:jc w:val="center"/>
              <w:rPr>
                <w:sz w:val="20"/>
                <w:szCs w:val="20"/>
              </w:rPr>
            </w:pPr>
            <w:r w:rsidRPr="00DD0B66">
              <w:rPr>
                <w:sz w:val="20"/>
                <w:szCs w:val="20"/>
              </w:rPr>
              <w:t>1 pak./10x96 testai</w:t>
            </w:r>
          </w:p>
        </w:tc>
        <w:tc>
          <w:tcPr>
            <w:tcW w:w="850" w:type="dxa"/>
            <w:gridSpan w:val="2"/>
            <w:tcBorders>
              <w:bottom w:val="single" w:sz="4" w:space="0" w:color="auto"/>
            </w:tcBorders>
          </w:tcPr>
          <w:p w14:paraId="74FCC351" w14:textId="3D074128" w:rsidR="00DD0B66" w:rsidRPr="00DD0B66" w:rsidRDefault="00DD0B66" w:rsidP="00DD0B66">
            <w:pPr>
              <w:spacing w:after="0" w:line="240" w:lineRule="auto"/>
              <w:jc w:val="center"/>
              <w:rPr>
                <w:b/>
                <w:sz w:val="20"/>
                <w:szCs w:val="20"/>
              </w:rPr>
            </w:pPr>
            <w:r w:rsidRPr="00DD0B66">
              <w:rPr>
                <w:sz w:val="20"/>
                <w:szCs w:val="20"/>
              </w:rPr>
              <w:t>12</w:t>
            </w:r>
          </w:p>
        </w:tc>
        <w:tc>
          <w:tcPr>
            <w:tcW w:w="851" w:type="dxa"/>
            <w:gridSpan w:val="2"/>
            <w:tcBorders>
              <w:bottom w:val="single" w:sz="4" w:space="0" w:color="auto"/>
            </w:tcBorders>
          </w:tcPr>
          <w:p w14:paraId="1FDDEF2B" w14:textId="25AD63A5" w:rsidR="00DD0B66" w:rsidRPr="00DD0B66" w:rsidRDefault="00DD0B66" w:rsidP="00DD0B66">
            <w:pPr>
              <w:spacing w:after="0" w:line="240" w:lineRule="auto"/>
              <w:jc w:val="center"/>
              <w:rPr>
                <w:sz w:val="20"/>
                <w:szCs w:val="20"/>
              </w:rPr>
            </w:pPr>
            <w:r w:rsidRPr="00DD0B66">
              <w:rPr>
                <w:sz w:val="20"/>
                <w:szCs w:val="20"/>
              </w:rPr>
              <w:t xml:space="preserve">186,00 </w:t>
            </w:r>
          </w:p>
        </w:tc>
        <w:tc>
          <w:tcPr>
            <w:tcW w:w="708" w:type="dxa"/>
            <w:gridSpan w:val="2"/>
            <w:tcBorders>
              <w:bottom w:val="single" w:sz="4" w:space="0" w:color="auto"/>
            </w:tcBorders>
          </w:tcPr>
          <w:p w14:paraId="202CF819" w14:textId="013F945C" w:rsidR="00DD0B66" w:rsidRPr="00DD0B66" w:rsidRDefault="00DD0B66" w:rsidP="00DD0B66">
            <w:pPr>
              <w:spacing w:after="0" w:line="240" w:lineRule="auto"/>
              <w:ind w:right="-108"/>
              <w:jc w:val="center"/>
              <w:rPr>
                <w:sz w:val="20"/>
                <w:szCs w:val="20"/>
              </w:rPr>
            </w:pPr>
            <w:r w:rsidRPr="00DD0B66">
              <w:rPr>
                <w:sz w:val="20"/>
                <w:szCs w:val="20"/>
              </w:rPr>
              <w:t>21</w:t>
            </w:r>
          </w:p>
        </w:tc>
        <w:tc>
          <w:tcPr>
            <w:tcW w:w="851" w:type="dxa"/>
            <w:gridSpan w:val="2"/>
            <w:tcBorders>
              <w:bottom w:val="single" w:sz="4" w:space="0" w:color="auto"/>
            </w:tcBorders>
          </w:tcPr>
          <w:p w14:paraId="7836A8C0" w14:textId="07D479A0" w:rsidR="00DD0B66" w:rsidRPr="00DD0B66" w:rsidRDefault="00DD0B66" w:rsidP="00DD0B66">
            <w:pPr>
              <w:spacing w:after="0" w:line="240" w:lineRule="auto"/>
              <w:jc w:val="center"/>
              <w:rPr>
                <w:sz w:val="20"/>
                <w:szCs w:val="20"/>
              </w:rPr>
            </w:pPr>
            <w:r w:rsidRPr="00DD0B66">
              <w:rPr>
                <w:sz w:val="20"/>
                <w:szCs w:val="20"/>
              </w:rPr>
              <w:t xml:space="preserve">225,06 </w:t>
            </w:r>
          </w:p>
        </w:tc>
        <w:tc>
          <w:tcPr>
            <w:tcW w:w="852" w:type="dxa"/>
            <w:gridSpan w:val="2"/>
            <w:tcBorders>
              <w:bottom w:val="single" w:sz="4" w:space="0" w:color="auto"/>
            </w:tcBorders>
          </w:tcPr>
          <w:p w14:paraId="63F4CD80" w14:textId="7D4AA9F1" w:rsidR="00DD0B66" w:rsidRPr="00DD0B66" w:rsidRDefault="00DD0B66" w:rsidP="00DD0B66">
            <w:pPr>
              <w:spacing w:after="0" w:line="240" w:lineRule="auto"/>
              <w:ind w:left="-114" w:right="-100"/>
              <w:jc w:val="center"/>
              <w:rPr>
                <w:sz w:val="20"/>
                <w:szCs w:val="20"/>
              </w:rPr>
            </w:pPr>
            <w:r w:rsidRPr="00DD0B66">
              <w:rPr>
                <w:sz w:val="20"/>
                <w:szCs w:val="20"/>
              </w:rPr>
              <w:t xml:space="preserve">2 232,00 </w:t>
            </w:r>
          </w:p>
        </w:tc>
        <w:tc>
          <w:tcPr>
            <w:tcW w:w="850" w:type="dxa"/>
          </w:tcPr>
          <w:p w14:paraId="417C9C2A" w14:textId="2EFFC821" w:rsidR="00DD0B66" w:rsidRPr="00DD0B66" w:rsidRDefault="00DD0B66" w:rsidP="00DD0B66">
            <w:pPr>
              <w:spacing w:after="0" w:line="240" w:lineRule="auto"/>
              <w:ind w:left="-114" w:right="-100"/>
              <w:jc w:val="center"/>
              <w:rPr>
                <w:sz w:val="20"/>
                <w:szCs w:val="20"/>
              </w:rPr>
            </w:pPr>
            <w:r w:rsidRPr="00DD0B66">
              <w:rPr>
                <w:sz w:val="20"/>
                <w:szCs w:val="20"/>
              </w:rPr>
              <w:t>2 700,72</w:t>
            </w:r>
          </w:p>
        </w:tc>
      </w:tr>
      <w:tr w:rsidR="008100AF" w:rsidRPr="009D0D16" w14:paraId="44576A10" w14:textId="77777777" w:rsidTr="00FC01A8">
        <w:trPr>
          <w:trHeight w:val="415"/>
          <w:tblHeader/>
        </w:trPr>
        <w:tc>
          <w:tcPr>
            <w:tcW w:w="851" w:type="dxa"/>
            <w:tcBorders>
              <w:bottom w:val="single" w:sz="4" w:space="0" w:color="auto"/>
            </w:tcBorders>
          </w:tcPr>
          <w:p w14:paraId="167BE84C" w14:textId="1C445912" w:rsidR="008100AF" w:rsidRPr="008100AF" w:rsidRDefault="008100AF" w:rsidP="008100AF">
            <w:pPr>
              <w:spacing w:after="0" w:line="240" w:lineRule="auto"/>
              <w:jc w:val="center"/>
              <w:rPr>
                <w:sz w:val="20"/>
                <w:szCs w:val="20"/>
              </w:rPr>
            </w:pPr>
            <w:r w:rsidRPr="008100AF">
              <w:rPr>
                <w:sz w:val="20"/>
                <w:szCs w:val="20"/>
              </w:rPr>
              <w:lastRenderedPageBreak/>
              <w:t>97.8</w:t>
            </w:r>
          </w:p>
        </w:tc>
        <w:tc>
          <w:tcPr>
            <w:tcW w:w="2127" w:type="dxa"/>
            <w:gridSpan w:val="2"/>
            <w:tcBorders>
              <w:bottom w:val="single" w:sz="4" w:space="0" w:color="auto"/>
            </w:tcBorders>
          </w:tcPr>
          <w:p w14:paraId="2A8B6F6C" w14:textId="0519B8C5" w:rsidR="008100AF" w:rsidRPr="008100AF" w:rsidRDefault="008100AF" w:rsidP="008100AF">
            <w:pPr>
              <w:spacing w:after="0" w:line="240" w:lineRule="auto"/>
              <w:jc w:val="center"/>
              <w:rPr>
                <w:b/>
                <w:sz w:val="20"/>
                <w:szCs w:val="20"/>
              </w:rPr>
            </w:pPr>
            <w:r w:rsidRPr="008100AF">
              <w:rPr>
                <w:sz w:val="20"/>
                <w:szCs w:val="20"/>
              </w:rPr>
              <w:t>Reagentai kokliušo toksino IgA ir IgG nustatymui</w:t>
            </w:r>
          </w:p>
        </w:tc>
        <w:tc>
          <w:tcPr>
            <w:tcW w:w="991" w:type="dxa"/>
            <w:tcBorders>
              <w:bottom w:val="single" w:sz="4" w:space="0" w:color="auto"/>
            </w:tcBorders>
          </w:tcPr>
          <w:p w14:paraId="423E4479" w14:textId="46D21E01" w:rsidR="008100AF" w:rsidRPr="008100AF" w:rsidRDefault="008100AF" w:rsidP="008100AF">
            <w:pPr>
              <w:spacing w:after="0" w:line="240" w:lineRule="auto"/>
              <w:ind w:left="-108" w:right="-108"/>
              <w:jc w:val="center"/>
              <w:rPr>
                <w:sz w:val="20"/>
                <w:szCs w:val="20"/>
              </w:rPr>
            </w:pPr>
            <w:r w:rsidRPr="008100AF">
              <w:rPr>
                <w:sz w:val="20"/>
                <w:szCs w:val="20"/>
              </w:rPr>
              <w:t>33696500-0</w:t>
            </w:r>
          </w:p>
        </w:tc>
        <w:tc>
          <w:tcPr>
            <w:tcW w:w="2125" w:type="dxa"/>
            <w:tcBorders>
              <w:bottom w:val="single" w:sz="4" w:space="0" w:color="auto"/>
            </w:tcBorders>
          </w:tcPr>
          <w:p w14:paraId="69D59F4F" w14:textId="05D5EE4C" w:rsidR="008100AF" w:rsidRPr="008100AF" w:rsidRDefault="008100AF" w:rsidP="008100AF">
            <w:pPr>
              <w:spacing w:after="0" w:line="240" w:lineRule="auto"/>
              <w:ind w:left="-108" w:right="-108"/>
              <w:jc w:val="center"/>
              <w:rPr>
                <w:sz w:val="20"/>
                <w:szCs w:val="20"/>
              </w:rPr>
            </w:pPr>
            <w:r w:rsidRPr="008100AF">
              <w:rPr>
                <w:sz w:val="20"/>
                <w:szCs w:val="20"/>
              </w:rPr>
              <w:t xml:space="preserve">Reagentai  IgG ir IgA antikūnų prieš kokliušo toksiną nustatymui IFA metodu. Plokštelės laužomos  po  1 šulinėlį .Perkami rinkiniai pagal poreikį atskirai IgG ir IgA nustatymui.. Tyrimo rezultatas išreiškiamas kiekybiškai IU/ml.  Visi reagentai paruošti naudoti. Pateikti kitas reikalingas priemones tyrimams atlikti, jei neįeina į rinkinius.. Visi rinkiniai vieno gamintojo. Būtinas automatinis protokolas  tyrimų atlikimui ir jo įdiegimas į analizatorių BEP 2000 arba Immunomat.  CE ir IVD ženklinimas </w:t>
            </w:r>
          </w:p>
        </w:tc>
        <w:tc>
          <w:tcPr>
            <w:tcW w:w="2977" w:type="dxa"/>
            <w:gridSpan w:val="2"/>
            <w:tcBorders>
              <w:bottom w:val="single" w:sz="4" w:space="0" w:color="auto"/>
            </w:tcBorders>
          </w:tcPr>
          <w:p w14:paraId="434D933C" w14:textId="09E14832" w:rsidR="008100AF" w:rsidRPr="008100AF" w:rsidRDefault="008100AF" w:rsidP="008100AF">
            <w:pPr>
              <w:spacing w:after="0" w:line="240" w:lineRule="auto"/>
              <w:ind w:left="-114" w:right="-100"/>
              <w:jc w:val="center"/>
              <w:rPr>
                <w:sz w:val="20"/>
                <w:szCs w:val="20"/>
              </w:rPr>
            </w:pPr>
            <w:r w:rsidRPr="008100AF">
              <w:rPr>
                <w:sz w:val="20"/>
                <w:szCs w:val="20"/>
              </w:rPr>
              <w:t>97.8 SERION ELISA classic Bordetella pertussis Toxin IgA/SERION ELISA classic Bordetella pertussis Toxin IgG yra reagentai  IgG ir IgA antikūnų prieš kokliušo toksiną nustatymui IFA metodu. Plokštelės laužomos yra  po  1 šulinėlį. Tiekėjas įsipareigoja, jog rinkinius bus galima pirkti pagal poreikį atskirai IgG ir IgA nustatymui. Tyrimo rezultatas išreiškiamas kiekybiškai IU/ml.  Visi reagentai yra paruošti naudoti. Bus visos reikalingas priemones tyrimams atlikti, jei neįeina į rinkinius.. Visi rinkiniai vieno gamintojo. Pateikiamas automatinis protokolas tyrimų atlikimui ir bus atliekamas jo įdiegimas į analizatorių BEP 2000 arba Immunomat. CE ir IVD ženklinimas. Gamintojo dokumentacija (konfidncialu) 97 p.d. 279-293; 295; 301; 315-232</w:t>
            </w:r>
          </w:p>
        </w:tc>
        <w:tc>
          <w:tcPr>
            <w:tcW w:w="851" w:type="dxa"/>
            <w:gridSpan w:val="2"/>
            <w:tcBorders>
              <w:bottom w:val="single" w:sz="4" w:space="0" w:color="auto"/>
            </w:tcBorders>
          </w:tcPr>
          <w:p w14:paraId="1216301A" w14:textId="2A142F3F" w:rsidR="008100AF" w:rsidRPr="008100AF" w:rsidRDefault="008100AF" w:rsidP="008100AF">
            <w:pPr>
              <w:spacing w:after="0" w:line="240" w:lineRule="auto"/>
              <w:ind w:left="-108" w:right="-123"/>
              <w:jc w:val="center"/>
              <w:rPr>
                <w:sz w:val="20"/>
                <w:szCs w:val="20"/>
              </w:rPr>
            </w:pPr>
            <w:r w:rsidRPr="008100AF">
              <w:rPr>
                <w:sz w:val="20"/>
                <w:szCs w:val="20"/>
              </w:rPr>
              <w:t>1 pak./96 testai</w:t>
            </w:r>
          </w:p>
        </w:tc>
        <w:tc>
          <w:tcPr>
            <w:tcW w:w="850" w:type="dxa"/>
            <w:gridSpan w:val="2"/>
            <w:tcBorders>
              <w:bottom w:val="single" w:sz="4" w:space="0" w:color="auto"/>
            </w:tcBorders>
          </w:tcPr>
          <w:p w14:paraId="78401DF9" w14:textId="63655050" w:rsidR="008100AF" w:rsidRPr="008100AF" w:rsidRDefault="008100AF" w:rsidP="008100AF">
            <w:pPr>
              <w:spacing w:after="0" w:line="240" w:lineRule="auto"/>
              <w:jc w:val="center"/>
              <w:rPr>
                <w:b/>
                <w:sz w:val="20"/>
                <w:szCs w:val="20"/>
              </w:rPr>
            </w:pPr>
            <w:r w:rsidRPr="008100AF">
              <w:rPr>
                <w:sz w:val="20"/>
                <w:szCs w:val="20"/>
              </w:rPr>
              <w:t>12</w:t>
            </w:r>
          </w:p>
        </w:tc>
        <w:tc>
          <w:tcPr>
            <w:tcW w:w="851" w:type="dxa"/>
            <w:gridSpan w:val="2"/>
            <w:tcBorders>
              <w:bottom w:val="single" w:sz="4" w:space="0" w:color="auto"/>
            </w:tcBorders>
          </w:tcPr>
          <w:p w14:paraId="4ECAD311" w14:textId="5300841C" w:rsidR="008100AF" w:rsidRPr="008100AF" w:rsidRDefault="008100AF" w:rsidP="008100AF">
            <w:pPr>
              <w:spacing w:after="0" w:line="240" w:lineRule="auto"/>
              <w:jc w:val="center"/>
              <w:rPr>
                <w:sz w:val="20"/>
                <w:szCs w:val="20"/>
              </w:rPr>
            </w:pPr>
            <w:r w:rsidRPr="008100AF">
              <w:rPr>
                <w:sz w:val="20"/>
                <w:szCs w:val="20"/>
              </w:rPr>
              <w:t xml:space="preserve">216,00 </w:t>
            </w:r>
          </w:p>
        </w:tc>
        <w:tc>
          <w:tcPr>
            <w:tcW w:w="708" w:type="dxa"/>
            <w:gridSpan w:val="2"/>
            <w:tcBorders>
              <w:bottom w:val="single" w:sz="4" w:space="0" w:color="auto"/>
            </w:tcBorders>
          </w:tcPr>
          <w:p w14:paraId="56100585" w14:textId="2B276B7C" w:rsidR="008100AF" w:rsidRPr="008100AF" w:rsidRDefault="008100AF" w:rsidP="008100AF">
            <w:pPr>
              <w:spacing w:after="0" w:line="240" w:lineRule="auto"/>
              <w:ind w:right="-108"/>
              <w:jc w:val="center"/>
              <w:rPr>
                <w:sz w:val="20"/>
                <w:szCs w:val="20"/>
              </w:rPr>
            </w:pPr>
            <w:r w:rsidRPr="008100AF">
              <w:rPr>
                <w:sz w:val="20"/>
                <w:szCs w:val="20"/>
              </w:rPr>
              <w:t>21</w:t>
            </w:r>
          </w:p>
        </w:tc>
        <w:tc>
          <w:tcPr>
            <w:tcW w:w="851" w:type="dxa"/>
            <w:gridSpan w:val="2"/>
            <w:tcBorders>
              <w:bottom w:val="single" w:sz="4" w:space="0" w:color="auto"/>
            </w:tcBorders>
          </w:tcPr>
          <w:p w14:paraId="3FB0B10F" w14:textId="55D90542" w:rsidR="008100AF" w:rsidRPr="008100AF" w:rsidRDefault="008100AF" w:rsidP="008100AF">
            <w:pPr>
              <w:spacing w:after="0" w:line="240" w:lineRule="auto"/>
              <w:jc w:val="center"/>
              <w:rPr>
                <w:sz w:val="20"/>
                <w:szCs w:val="20"/>
              </w:rPr>
            </w:pPr>
            <w:r w:rsidRPr="008100AF">
              <w:rPr>
                <w:sz w:val="20"/>
                <w:szCs w:val="20"/>
              </w:rPr>
              <w:t xml:space="preserve">261,36 </w:t>
            </w:r>
          </w:p>
        </w:tc>
        <w:tc>
          <w:tcPr>
            <w:tcW w:w="852" w:type="dxa"/>
            <w:gridSpan w:val="2"/>
            <w:tcBorders>
              <w:bottom w:val="single" w:sz="4" w:space="0" w:color="auto"/>
            </w:tcBorders>
          </w:tcPr>
          <w:p w14:paraId="78855BF2" w14:textId="01AB92B7" w:rsidR="008100AF" w:rsidRPr="008100AF" w:rsidRDefault="008100AF" w:rsidP="008100AF">
            <w:pPr>
              <w:spacing w:after="0" w:line="240" w:lineRule="auto"/>
              <w:ind w:left="-114" w:right="-100"/>
              <w:jc w:val="center"/>
              <w:rPr>
                <w:sz w:val="20"/>
                <w:szCs w:val="20"/>
              </w:rPr>
            </w:pPr>
            <w:r w:rsidRPr="008100AF">
              <w:rPr>
                <w:sz w:val="20"/>
                <w:szCs w:val="20"/>
              </w:rPr>
              <w:t xml:space="preserve">2 592,00 </w:t>
            </w:r>
          </w:p>
        </w:tc>
        <w:tc>
          <w:tcPr>
            <w:tcW w:w="850" w:type="dxa"/>
          </w:tcPr>
          <w:p w14:paraId="2F254867" w14:textId="0227FC23" w:rsidR="008100AF" w:rsidRPr="008100AF" w:rsidRDefault="008100AF" w:rsidP="008100AF">
            <w:pPr>
              <w:spacing w:after="0" w:line="240" w:lineRule="auto"/>
              <w:ind w:left="-114" w:right="-100"/>
              <w:jc w:val="center"/>
              <w:rPr>
                <w:sz w:val="20"/>
                <w:szCs w:val="20"/>
              </w:rPr>
            </w:pPr>
            <w:r w:rsidRPr="008100AF">
              <w:rPr>
                <w:sz w:val="20"/>
                <w:szCs w:val="20"/>
              </w:rPr>
              <w:t>3 136,32</w:t>
            </w:r>
          </w:p>
        </w:tc>
      </w:tr>
      <w:tr w:rsidR="0083351E" w:rsidRPr="009D0D16" w14:paraId="3249EC64" w14:textId="77777777" w:rsidTr="00FC01A8">
        <w:trPr>
          <w:trHeight w:val="420"/>
          <w:tblHeader/>
        </w:trPr>
        <w:tc>
          <w:tcPr>
            <w:tcW w:w="9868" w:type="dxa"/>
            <w:gridSpan w:val="8"/>
            <w:tcBorders>
              <w:top w:val="single" w:sz="4" w:space="0" w:color="auto"/>
              <w:left w:val="single" w:sz="4" w:space="0" w:color="auto"/>
              <w:bottom w:val="single" w:sz="4" w:space="0" w:color="auto"/>
              <w:right w:val="nil"/>
            </w:tcBorders>
            <w:vAlign w:val="center"/>
          </w:tcPr>
          <w:p w14:paraId="1762DC31" w14:textId="77777777" w:rsidR="0083351E" w:rsidRPr="009D0D16" w:rsidRDefault="0083351E" w:rsidP="00B24189">
            <w:pPr>
              <w:spacing w:after="0" w:line="240" w:lineRule="auto"/>
              <w:jc w:val="right"/>
              <w:rPr>
                <w:b/>
                <w:sz w:val="20"/>
              </w:rPr>
            </w:pPr>
          </w:p>
        </w:tc>
        <w:tc>
          <w:tcPr>
            <w:tcW w:w="709" w:type="dxa"/>
            <w:gridSpan w:val="2"/>
            <w:tcBorders>
              <w:top w:val="single" w:sz="4" w:space="0" w:color="auto"/>
              <w:left w:val="nil"/>
              <w:bottom w:val="single" w:sz="4" w:space="0" w:color="auto"/>
              <w:right w:val="nil"/>
            </w:tcBorders>
          </w:tcPr>
          <w:p w14:paraId="46A5FE2B" w14:textId="77777777" w:rsidR="0083351E" w:rsidRPr="009D0D16" w:rsidRDefault="0083351E" w:rsidP="00B24189">
            <w:pPr>
              <w:spacing w:after="0" w:line="240" w:lineRule="auto"/>
              <w:jc w:val="right"/>
              <w:rPr>
                <w:b/>
              </w:rPr>
            </w:pPr>
          </w:p>
        </w:tc>
        <w:tc>
          <w:tcPr>
            <w:tcW w:w="708" w:type="dxa"/>
            <w:gridSpan w:val="2"/>
            <w:tcBorders>
              <w:top w:val="single" w:sz="4" w:space="0" w:color="auto"/>
              <w:left w:val="nil"/>
              <w:bottom w:val="single" w:sz="4" w:space="0" w:color="auto"/>
              <w:right w:val="nil"/>
            </w:tcBorders>
          </w:tcPr>
          <w:p w14:paraId="6914A491" w14:textId="77777777" w:rsidR="0083351E" w:rsidRPr="009D0D16" w:rsidRDefault="0083351E" w:rsidP="00B24189">
            <w:pPr>
              <w:spacing w:after="0" w:line="240" w:lineRule="auto"/>
              <w:ind w:left="-114" w:right="-100"/>
              <w:jc w:val="center"/>
              <w:rPr>
                <w:b/>
              </w:rPr>
            </w:pPr>
          </w:p>
        </w:tc>
        <w:tc>
          <w:tcPr>
            <w:tcW w:w="708" w:type="dxa"/>
            <w:gridSpan w:val="2"/>
            <w:tcBorders>
              <w:top w:val="single" w:sz="4" w:space="0" w:color="auto"/>
              <w:left w:val="nil"/>
              <w:bottom w:val="single" w:sz="4" w:space="0" w:color="auto"/>
              <w:right w:val="nil"/>
            </w:tcBorders>
          </w:tcPr>
          <w:p w14:paraId="57FA2C8F" w14:textId="77777777" w:rsidR="0083351E" w:rsidRPr="009D0D16" w:rsidRDefault="0083351E" w:rsidP="00B24189">
            <w:pPr>
              <w:spacing w:after="0" w:line="240" w:lineRule="auto"/>
              <w:ind w:right="-108"/>
              <w:jc w:val="center"/>
              <w:rPr>
                <w:b/>
              </w:rPr>
            </w:pPr>
          </w:p>
        </w:tc>
        <w:tc>
          <w:tcPr>
            <w:tcW w:w="851" w:type="dxa"/>
            <w:gridSpan w:val="2"/>
            <w:tcBorders>
              <w:top w:val="single" w:sz="4" w:space="0" w:color="auto"/>
              <w:left w:val="nil"/>
              <w:bottom w:val="single" w:sz="4" w:space="0" w:color="auto"/>
              <w:right w:val="nil"/>
            </w:tcBorders>
          </w:tcPr>
          <w:p w14:paraId="338C5AA4" w14:textId="77777777" w:rsidR="0083351E" w:rsidRPr="009D0D16" w:rsidRDefault="0083351E" w:rsidP="00B24189">
            <w:pPr>
              <w:spacing w:after="0" w:line="240" w:lineRule="auto"/>
              <w:ind w:left="-114" w:right="-100"/>
              <w:jc w:val="center"/>
              <w:rPr>
                <w:b/>
              </w:rPr>
            </w:pPr>
          </w:p>
        </w:tc>
        <w:tc>
          <w:tcPr>
            <w:tcW w:w="1190" w:type="dxa"/>
            <w:gridSpan w:val="3"/>
            <w:tcBorders>
              <w:top w:val="single" w:sz="4" w:space="0" w:color="auto"/>
              <w:left w:val="nil"/>
              <w:bottom w:val="single" w:sz="4" w:space="0" w:color="auto"/>
              <w:right w:val="single" w:sz="4" w:space="0" w:color="auto"/>
            </w:tcBorders>
          </w:tcPr>
          <w:p w14:paraId="2A7E269D" w14:textId="77777777" w:rsidR="0083351E" w:rsidRPr="009D0D16" w:rsidRDefault="0083351E" w:rsidP="00B24189">
            <w:pPr>
              <w:spacing w:after="0" w:line="240" w:lineRule="auto"/>
              <w:ind w:left="-114" w:right="-100"/>
              <w:jc w:val="center"/>
              <w:rPr>
                <w:b/>
              </w:rPr>
            </w:pPr>
            <w:r w:rsidRPr="009D0D16">
              <w:rPr>
                <w:b/>
              </w:rPr>
              <w:t>Iš viso:</w:t>
            </w:r>
          </w:p>
        </w:tc>
        <w:tc>
          <w:tcPr>
            <w:tcW w:w="850" w:type="dxa"/>
            <w:tcBorders>
              <w:left w:val="single" w:sz="4" w:space="0" w:color="auto"/>
            </w:tcBorders>
          </w:tcPr>
          <w:p w14:paraId="449C1121" w14:textId="531D49CE" w:rsidR="0083351E" w:rsidRPr="00D525AE" w:rsidRDefault="00D525AE" w:rsidP="00B24189">
            <w:pPr>
              <w:spacing w:after="0" w:line="240" w:lineRule="auto"/>
              <w:ind w:left="-114" w:right="-100"/>
              <w:jc w:val="center"/>
              <w:rPr>
                <w:b/>
                <w:sz w:val="20"/>
                <w:szCs w:val="20"/>
              </w:rPr>
            </w:pPr>
            <w:r w:rsidRPr="00D525AE">
              <w:rPr>
                <w:b/>
                <w:sz w:val="20"/>
                <w:szCs w:val="20"/>
              </w:rPr>
              <w:t>26426,40</w:t>
            </w:r>
          </w:p>
        </w:tc>
      </w:tr>
      <w:tr w:rsidR="0083351E" w:rsidRPr="005A18AE" w14:paraId="0A0A1887" w14:textId="77777777" w:rsidTr="00FC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951" w:type="dxa"/>
          <w:wAfter w:w="1451" w:type="dxa"/>
          <w:cantSplit/>
        </w:trPr>
        <w:tc>
          <w:tcPr>
            <w:tcW w:w="6237" w:type="dxa"/>
            <w:gridSpan w:val="4"/>
          </w:tcPr>
          <w:p w14:paraId="3720C57A" w14:textId="77777777" w:rsidR="0083351E" w:rsidRPr="005A18AE" w:rsidRDefault="0083351E" w:rsidP="00B24189">
            <w:pPr>
              <w:spacing w:after="0" w:line="240" w:lineRule="auto"/>
              <w:rPr>
                <w:b/>
                <w:szCs w:val="24"/>
              </w:rPr>
            </w:pPr>
            <w:r w:rsidRPr="005A18AE">
              <w:rPr>
                <w:b/>
                <w:szCs w:val="24"/>
              </w:rPr>
              <w:t xml:space="preserve">Pardavėjas </w:t>
            </w:r>
          </w:p>
        </w:tc>
        <w:tc>
          <w:tcPr>
            <w:tcW w:w="5245" w:type="dxa"/>
            <w:gridSpan w:val="12"/>
          </w:tcPr>
          <w:p w14:paraId="7F44B614" w14:textId="77777777" w:rsidR="0083351E" w:rsidRPr="005A18AE" w:rsidRDefault="0083351E" w:rsidP="00B24189">
            <w:pPr>
              <w:spacing w:after="0" w:line="240" w:lineRule="auto"/>
              <w:rPr>
                <w:b/>
                <w:szCs w:val="24"/>
              </w:rPr>
            </w:pPr>
            <w:r w:rsidRPr="005A18AE">
              <w:rPr>
                <w:b/>
                <w:szCs w:val="24"/>
              </w:rPr>
              <w:t xml:space="preserve">Pirkėjas </w:t>
            </w:r>
          </w:p>
        </w:tc>
      </w:tr>
      <w:tr w:rsidR="0083351E" w:rsidRPr="005A18AE" w14:paraId="5D466F84" w14:textId="77777777" w:rsidTr="00FC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951" w:type="dxa"/>
          <w:wAfter w:w="1451" w:type="dxa"/>
          <w:cantSplit/>
        </w:trPr>
        <w:tc>
          <w:tcPr>
            <w:tcW w:w="6237" w:type="dxa"/>
            <w:gridSpan w:val="4"/>
            <w:vAlign w:val="bottom"/>
          </w:tcPr>
          <w:p w14:paraId="405B9EE0" w14:textId="1403FCA8" w:rsidR="0083351E" w:rsidRPr="005A18AE" w:rsidRDefault="002A6CB4" w:rsidP="00B24189">
            <w:pPr>
              <w:spacing w:after="0" w:line="240" w:lineRule="auto"/>
              <w:rPr>
                <w:szCs w:val="24"/>
              </w:rPr>
            </w:pPr>
            <w:r>
              <w:rPr>
                <w:szCs w:val="24"/>
              </w:rPr>
              <w:t>UAB „Multilabo“</w:t>
            </w:r>
          </w:p>
        </w:tc>
        <w:tc>
          <w:tcPr>
            <w:tcW w:w="5245" w:type="dxa"/>
            <w:gridSpan w:val="12"/>
            <w:shd w:val="clear" w:color="auto" w:fill="auto"/>
          </w:tcPr>
          <w:p w14:paraId="15EADB2F" w14:textId="77777777" w:rsidR="0083351E" w:rsidRPr="005A18AE" w:rsidRDefault="0083351E" w:rsidP="00B24189">
            <w:pPr>
              <w:spacing w:after="0" w:line="240" w:lineRule="auto"/>
              <w:rPr>
                <w:b/>
                <w:szCs w:val="24"/>
              </w:rPr>
            </w:pPr>
          </w:p>
          <w:p w14:paraId="6DE74B73" w14:textId="77777777" w:rsidR="0083351E" w:rsidRPr="005A18AE" w:rsidRDefault="0083351E" w:rsidP="00B24189">
            <w:pPr>
              <w:spacing w:after="0" w:line="240" w:lineRule="auto"/>
              <w:rPr>
                <w:b/>
                <w:szCs w:val="24"/>
              </w:rPr>
            </w:pPr>
            <w:r w:rsidRPr="005A18AE">
              <w:rPr>
                <w:szCs w:val="24"/>
              </w:rPr>
              <w:t>Nacionalinė visuomenės sveikatos priežiūros laboratorija</w:t>
            </w:r>
          </w:p>
        </w:tc>
      </w:tr>
      <w:tr w:rsidR="0083351E" w:rsidRPr="005A18AE" w14:paraId="3D739F69" w14:textId="77777777" w:rsidTr="00FC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951" w:type="dxa"/>
          <w:wAfter w:w="1451" w:type="dxa"/>
          <w:cantSplit/>
        </w:trPr>
        <w:tc>
          <w:tcPr>
            <w:tcW w:w="6237" w:type="dxa"/>
            <w:gridSpan w:val="4"/>
            <w:vAlign w:val="bottom"/>
          </w:tcPr>
          <w:p w14:paraId="7230F4CA" w14:textId="77777777" w:rsidR="0083351E" w:rsidRPr="005A18AE" w:rsidRDefault="0083351E" w:rsidP="00B24189">
            <w:pPr>
              <w:spacing w:after="0" w:line="240" w:lineRule="auto"/>
              <w:rPr>
                <w:sz w:val="12"/>
                <w:szCs w:val="12"/>
              </w:rPr>
            </w:pPr>
          </w:p>
        </w:tc>
        <w:tc>
          <w:tcPr>
            <w:tcW w:w="5245" w:type="dxa"/>
            <w:gridSpan w:val="12"/>
            <w:shd w:val="clear" w:color="auto" w:fill="auto"/>
          </w:tcPr>
          <w:p w14:paraId="5B2BE16B" w14:textId="77777777" w:rsidR="0083351E" w:rsidRPr="005A18AE" w:rsidRDefault="0083351E" w:rsidP="00B24189">
            <w:pPr>
              <w:spacing w:after="0" w:line="240" w:lineRule="auto"/>
              <w:rPr>
                <w:b/>
                <w:sz w:val="12"/>
                <w:szCs w:val="12"/>
              </w:rPr>
            </w:pPr>
          </w:p>
        </w:tc>
      </w:tr>
      <w:tr w:rsidR="0083351E" w:rsidRPr="005A18AE" w14:paraId="4CCB6CF2" w14:textId="77777777" w:rsidTr="00FC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951" w:type="dxa"/>
          <w:wAfter w:w="1451" w:type="dxa"/>
          <w:cantSplit/>
        </w:trPr>
        <w:tc>
          <w:tcPr>
            <w:tcW w:w="6237" w:type="dxa"/>
            <w:gridSpan w:val="4"/>
            <w:vAlign w:val="bottom"/>
          </w:tcPr>
          <w:p w14:paraId="17B75B4F" w14:textId="6E5AC6D4" w:rsidR="0083351E" w:rsidRPr="005A18AE" w:rsidRDefault="002A6CB4" w:rsidP="00B24189">
            <w:pPr>
              <w:spacing w:after="0" w:line="240" w:lineRule="auto"/>
              <w:rPr>
                <w:szCs w:val="24"/>
              </w:rPr>
            </w:pPr>
            <w:r>
              <w:rPr>
                <w:szCs w:val="24"/>
              </w:rPr>
              <w:t>Direktorė</w:t>
            </w:r>
          </w:p>
          <w:p w14:paraId="7036A935" w14:textId="2AD10718" w:rsidR="0083351E" w:rsidRPr="005A18AE" w:rsidRDefault="007E09BD" w:rsidP="00B24189">
            <w:pPr>
              <w:spacing w:after="0" w:line="240" w:lineRule="auto"/>
              <w:rPr>
                <w:szCs w:val="24"/>
              </w:rPr>
            </w:pPr>
            <w:r>
              <w:rPr>
                <w:szCs w:val="24"/>
              </w:rPr>
              <w:t>Miglė Natkaitė</w:t>
            </w:r>
          </w:p>
        </w:tc>
        <w:tc>
          <w:tcPr>
            <w:tcW w:w="5245" w:type="dxa"/>
            <w:gridSpan w:val="12"/>
            <w:shd w:val="clear" w:color="auto" w:fill="auto"/>
          </w:tcPr>
          <w:p w14:paraId="18388ECF" w14:textId="0B69BB40" w:rsidR="0083351E" w:rsidRPr="005A18AE" w:rsidRDefault="007E09BD" w:rsidP="00FC01A8">
            <w:pPr>
              <w:spacing w:after="0" w:line="240" w:lineRule="auto"/>
              <w:rPr>
                <w:b/>
                <w:szCs w:val="24"/>
              </w:rPr>
            </w:pPr>
            <w:r w:rsidRPr="007E09BD">
              <w:rPr>
                <w:szCs w:val="24"/>
              </w:rPr>
              <w:t>Virusologinių tyrimų poskyrio vedėja-medicinos biologė, laikinai einanti Klinikinių tyrimų skyriaus vedėjo pavaduotojo pareigas, laikinai vykdanti direktoriaus funkcijas</w:t>
            </w:r>
            <w:r w:rsidR="00FC01A8">
              <w:rPr>
                <w:szCs w:val="24"/>
              </w:rPr>
              <w:t xml:space="preserve"> </w:t>
            </w:r>
            <w:r w:rsidRPr="007E09BD">
              <w:rPr>
                <w:szCs w:val="24"/>
              </w:rPr>
              <w:t>Svajūnė Muralytė</w:t>
            </w:r>
            <w:r w:rsidRPr="007E09BD">
              <w:rPr>
                <w:b/>
                <w:szCs w:val="24"/>
              </w:rPr>
              <w:t xml:space="preserve"> </w:t>
            </w:r>
          </w:p>
        </w:tc>
      </w:tr>
      <w:tr w:rsidR="0083351E" w:rsidRPr="005A18AE" w14:paraId="6427A958" w14:textId="77777777" w:rsidTr="00FC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951" w:type="dxa"/>
          <w:wAfter w:w="1451" w:type="dxa"/>
          <w:trHeight w:val="255"/>
        </w:trPr>
        <w:tc>
          <w:tcPr>
            <w:tcW w:w="6237" w:type="dxa"/>
            <w:gridSpan w:val="4"/>
          </w:tcPr>
          <w:p w14:paraId="331F6046" w14:textId="77777777" w:rsidR="0083351E" w:rsidRPr="005A18AE" w:rsidRDefault="0083351E" w:rsidP="00B24189">
            <w:pPr>
              <w:spacing w:after="0" w:line="240" w:lineRule="auto"/>
              <w:rPr>
                <w:sz w:val="12"/>
                <w:szCs w:val="12"/>
              </w:rPr>
            </w:pPr>
          </w:p>
          <w:p w14:paraId="55BD2788" w14:textId="77777777" w:rsidR="0083351E" w:rsidRPr="005A18AE" w:rsidRDefault="0083351E" w:rsidP="00B24189">
            <w:pPr>
              <w:spacing w:after="0" w:line="240" w:lineRule="auto"/>
              <w:rPr>
                <w:szCs w:val="24"/>
              </w:rPr>
            </w:pPr>
            <w:r w:rsidRPr="005A18AE">
              <w:rPr>
                <w:szCs w:val="24"/>
              </w:rPr>
              <w:t>Parašas</w:t>
            </w:r>
            <w:r w:rsidRPr="005A18AE">
              <w:rPr>
                <w:szCs w:val="24"/>
              </w:rPr>
              <w:tab/>
              <w:t>______________________</w:t>
            </w:r>
          </w:p>
          <w:p w14:paraId="54A27EE5" w14:textId="625E2181" w:rsidR="0083351E" w:rsidRPr="00FC01A8" w:rsidRDefault="00FC01A8" w:rsidP="00FC01A8">
            <w:pPr>
              <w:spacing w:after="0" w:line="240" w:lineRule="auto"/>
              <w:rPr>
                <w:szCs w:val="24"/>
              </w:rPr>
            </w:pPr>
            <w:r>
              <w:rPr>
                <w:szCs w:val="24"/>
              </w:rPr>
              <w:t>A.V.</w:t>
            </w:r>
          </w:p>
        </w:tc>
        <w:tc>
          <w:tcPr>
            <w:tcW w:w="5245" w:type="dxa"/>
            <w:gridSpan w:val="12"/>
            <w:shd w:val="clear" w:color="auto" w:fill="auto"/>
            <w:noWrap/>
          </w:tcPr>
          <w:p w14:paraId="78EB0602" w14:textId="77777777" w:rsidR="0083351E" w:rsidRPr="005A18AE" w:rsidRDefault="0083351E" w:rsidP="00B24189">
            <w:pPr>
              <w:spacing w:after="0" w:line="240" w:lineRule="auto"/>
              <w:rPr>
                <w:sz w:val="12"/>
                <w:szCs w:val="12"/>
              </w:rPr>
            </w:pPr>
          </w:p>
          <w:p w14:paraId="6B526D5D" w14:textId="77777777" w:rsidR="0083351E" w:rsidRPr="005A18AE" w:rsidRDefault="0083351E" w:rsidP="00B24189">
            <w:pPr>
              <w:spacing w:after="0" w:line="240" w:lineRule="auto"/>
              <w:rPr>
                <w:szCs w:val="24"/>
              </w:rPr>
            </w:pPr>
            <w:r w:rsidRPr="005A18AE">
              <w:rPr>
                <w:szCs w:val="24"/>
              </w:rPr>
              <w:t>Parašas</w:t>
            </w:r>
            <w:r w:rsidRPr="005A18AE">
              <w:rPr>
                <w:szCs w:val="24"/>
              </w:rPr>
              <w:tab/>
              <w:t>______________________</w:t>
            </w:r>
          </w:p>
          <w:p w14:paraId="543A85B1" w14:textId="49B31F1F" w:rsidR="0083351E" w:rsidRPr="005A18AE" w:rsidRDefault="00FC01A8" w:rsidP="00B24189">
            <w:pPr>
              <w:spacing w:after="0" w:line="240" w:lineRule="auto"/>
              <w:rPr>
                <w:szCs w:val="24"/>
              </w:rPr>
            </w:pPr>
            <w:r>
              <w:rPr>
                <w:szCs w:val="24"/>
              </w:rPr>
              <w:t>A.V.</w:t>
            </w:r>
          </w:p>
        </w:tc>
      </w:tr>
    </w:tbl>
    <w:p w14:paraId="7E548316" w14:textId="77777777" w:rsidR="00804EA6" w:rsidRDefault="00804EA6" w:rsidP="00FC01A8"/>
    <w:sectPr w:rsidR="00804EA6" w:rsidSect="0037199C">
      <w:pgSz w:w="15840" w:h="12240" w:orient="landscape"/>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270B1"/>
    <w:multiLevelType w:val="hybridMultilevel"/>
    <w:tmpl w:val="01021C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3425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1E"/>
    <w:rsid w:val="000C5E78"/>
    <w:rsid w:val="000F6126"/>
    <w:rsid w:val="00102B81"/>
    <w:rsid w:val="0010368E"/>
    <w:rsid w:val="00164C43"/>
    <w:rsid w:val="002164E9"/>
    <w:rsid w:val="0023710E"/>
    <w:rsid w:val="002A6CB4"/>
    <w:rsid w:val="002C38A0"/>
    <w:rsid w:val="00341301"/>
    <w:rsid w:val="0037199C"/>
    <w:rsid w:val="006328E3"/>
    <w:rsid w:val="006B7DD2"/>
    <w:rsid w:val="006F236F"/>
    <w:rsid w:val="00706AF9"/>
    <w:rsid w:val="00774D81"/>
    <w:rsid w:val="007E09BD"/>
    <w:rsid w:val="00804EA6"/>
    <w:rsid w:val="008100AF"/>
    <w:rsid w:val="0083351E"/>
    <w:rsid w:val="00A11BD1"/>
    <w:rsid w:val="00A35324"/>
    <w:rsid w:val="00C031EC"/>
    <w:rsid w:val="00C04C16"/>
    <w:rsid w:val="00C17B72"/>
    <w:rsid w:val="00C433BE"/>
    <w:rsid w:val="00C454B4"/>
    <w:rsid w:val="00D525AE"/>
    <w:rsid w:val="00DD0B66"/>
    <w:rsid w:val="00EB0900"/>
    <w:rsid w:val="00ED2AA2"/>
    <w:rsid w:val="00ED553C"/>
    <w:rsid w:val="00FC0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88E4"/>
  <w15:chartTrackingRefBased/>
  <w15:docId w15:val="{68C6E39B-BCB4-463D-BC8E-B7C362F2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51E"/>
    <w:pPr>
      <w:spacing w:after="200" w:line="276" w:lineRule="auto"/>
    </w:pPr>
    <w:rPr>
      <w:rFonts w:ascii="Times New Roman" w:eastAsia="Calibri" w:hAnsi="Times New Roman" w:cs="Times New Roman"/>
      <w:kern w:val="0"/>
      <w:sz w:val="24"/>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833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83351E"/>
    <w:rPr>
      <w:rFonts w:ascii="Courier New" w:eastAsia="Times New Roman" w:hAnsi="Courier New" w:cs="Courier New"/>
      <w:kern w:val="0"/>
      <w:sz w:val="20"/>
      <w:szCs w:val="20"/>
      <w:lang w:val="lt-LT" w:eastAsia="lt-LT"/>
      <w14:ligatures w14:val="none"/>
    </w:rPr>
  </w:style>
  <w:style w:type="paragraph" w:styleId="ListParagraph">
    <w:name w:val="List Paragraph"/>
    <w:basedOn w:val="Normal"/>
    <w:uiPriority w:val="34"/>
    <w:qFormat/>
    <w:rsid w:val="00FC0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9</Pages>
  <Words>8726</Words>
  <Characters>4975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NVSPL58</dc:creator>
  <cp:keywords/>
  <dc:description/>
  <cp:lastModifiedBy>LB</cp:lastModifiedBy>
  <cp:revision>26</cp:revision>
  <dcterms:created xsi:type="dcterms:W3CDTF">2024-04-11T04:27:00Z</dcterms:created>
  <dcterms:modified xsi:type="dcterms:W3CDTF">2024-07-30T08:04:00Z</dcterms:modified>
</cp:coreProperties>
</file>