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EE7BE" w14:textId="0330B1F5" w:rsidR="00FC3D71" w:rsidRPr="00FC3D71" w:rsidRDefault="00FC3D71" w:rsidP="00FC3D71">
      <w:pPr>
        <w:ind w:firstLine="709"/>
        <w:jc w:val="right"/>
        <w:rPr>
          <w:rFonts w:ascii="Times New Roman" w:hAnsi="Times New Roman" w:cs="Times New Roman"/>
          <w:bCs/>
          <w:i/>
          <w:sz w:val="24"/>
          <w:szCs w:val="24"/>
        </w:rPr>
      </w:pPr>
      <w:r w:rsidRPr="00FC3D71">
        <w:rPr>
          <w:rFonts w:ascii="Times New Roman" w:hAnsi="Times New Roman" w:cs="Times New Roman"/>
          <w:bCs/>
          <w:i/>
          <w:sz w:val="24"/>
          <w:szCs w:val="24"/>
        </w:rPr>
        <w:t>Pirkimo sąlygų 2 priedas</w:t>
      </w:r>
    </w:p>
    <w:p w14:paraId="54BE6389" w14:textId="77777777" w:rsidR="00FC3D71" w:rsidRDefault="00FC3D71" w:rsidP="002F7421">
      <w:pPr>
        <w:ind w:firstLine="709"/>
        <w:jc w:val="center"/>
        <w:rPr>
          <w:rFonts w:ascii="Times New Roman" w:hAnsi="Times New Roman" w:cs="Times New Roman"/>
          <w:b/>
          <w:bCs/>
          <w:sz w:val="24"/>
          <w:szCs w:val="24"/>
        </w:rPr>
      </w:pPr>
    </w:p>
    <w:p w14:paraId="67C590F0" w14:textId="3EA18028" w:rsidR="002F7421" w:rsidRPr="002F7421" w:rsidRDefault="002F7421" w:rsidP="002F7421">
      <w:p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UŽSIENIO STAŽUOČIŲ ORGANIZAVIMO PASLAUGŲ PIRKIMO</w:t>
      </w:r>
    </w:p>
    <w:p w14:paraId="215644D8" w14:textId="77777777" w:rsidR="002F7421" w:rsidRPr="002F7421" w:rsidRDefault="002F7421" w:rsidP="002F7421">
      <w:p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TECHNINĖ SPECIFIKACIJA</w:t>
      </w:r>
    </w:p>
    <w:p w14:paraId="059BDD67" w14:textId="77777777" w:rsidR="002F7421" w:rsidRPr="002F7421" w:rsidRDefault="002F7421" w:rsidP="002F7421">
      <w:pPr>
        <w:ind w:firstLine="709"/>
        <w:jc w:val="center"/>
        <w:rPr>
          <w:rFonts w:ascii="Times New Roman" w:hAnsi="Times New Roman" w:cs="Times New Roman"/>
          <w:sz w:val="24"/>
          <w:szCs w:val="24"/>
        </w:rPr>
      </w:pPr>
    </w:p>
    <w:p w14:paraId="47895E1B" w14:textId="77777777" w:rsidR="002F7421" w:rsidRPr="002F7421" w:rsidRDefault="002F7421" w:rsidP="002F7421">
      <w:pPr>
        <w:numPr>
          <w:ilvl w:val="0"/>
          <w:numId w:val="1"/>
        </w:num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BENDROSIOS NUOSTATOS</w:t>
      </w:r>
    </w:p>
    <w:p w14:paraId="7BEC19A8"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Perkančioji organizacija: Nacionalinė švietimo agentūra.</w:t>
      </w:r>
    </w:p>
    <w:p w14:paraId="2BA138CB"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 Informacija apie projektą: Projektas „Mokytis padedančio pasiekimų ir pažangos vertinimo stiprinimas“, Nr. 10-062-P-0001 (toliau – projektas) atitinka Lietuvos Respublikos švietimo, mokslo ir sporto ministerijos 2021–2030 m. plėtros programos pažangos priemonę 12-003-03-01-03 „Užtikrinti visiems prieinamą šiuolaikinį ugdymo turinį“. Projektas skirtas spręsti problemas, kurios detalizuotos ir aprašytos pažangos priemonėje 12-003-03-01-03 „Užtikrinti visiems prieinamą šiuolaikinį ugdymo turinį“: netolygi ugdymo kokybė ir fragmentuota jos užtikrinimo sistema turi neigiamą įtaką mokinių ugdymosi rezultatams, trūksta mokinių poreikius atliepiančio šiuolaikinio ugdymo ir jų pasiekimų bei pažangos vertinimo. Projekto veiklomis bus siekiama pažangos priemonėje nustatytų rodiklių.</w:t>
      </w:r>
    </w:p>
    <w:p w14:paraId="630C99D6"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Projekto metu</w:t>
      </w:r>
      <w:r w:rsidRPr="002F7421">
        <w:rPr>
          <w:rFonts w:ascii="Times New Roman" w:hAnsi="Times New Roman" w:cs="Times New Roman"/>
          <w:b/>
          <w:bCs/>
          <w:sz w:val="24"/>
          <w:szCs w:val="24"/>
        </w:rPr>
        <w:t xml:space="preserve"> </w:t>
      </w:r>
      <w:r w:rsidRPr="002F7421">
        <w:rPr>
          <w:rFonts w:ascii="Times New Roman" w:hAnsi="Times New Roman" w:cs="Times New Roman"/>
          <w:sz w:val="24"/>
          <w:szCs w:val="24"/>
        </w:rPr>
        <w:t>bus organizuojamos trumpalaikės stažuotės užsienio šalyse.</w:t>
      </w:r>
    </w:p>
    <w:p w14:paraId="75769BA1"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Projekto tikslinė grupė – pedagoginiai darbuotojai (išskyrus aukštųjų mokyklų darbuotojus), Nacionalinės švietimo agentūros specialistai, kiti švietimo sistemos specialistai. </w:t>
      </w:r>
    </w:p>
    <w:p w14:paraId="623D571D"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Projekto tikslas – stiprinti formuojamąjį ir apibendrinamąjį vertinimą diegiant atnaujintas ugdymo programas. </w:t>
      </w:r>
    </w:p>
    <w:p w14:paraId="6643D577"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Pirkimas skaidomas į pirkimo objekto dalis.</w:t>
      </w:r>
    </w:p>
    <w:p w14:paraId="53611F94" w14:textId="77777777" w:rsidR="002F7421" w:rsidRPr="002F7421" w:rsidRDefault="002F7421" w:rsidP="002F7421">
      <w:pPr>
        <w:ind w:firstLine="709"/>
        <w:jc w:val="left"/>
        <w:rPr>
          <w:rFonts w:ascii="Times New Roman" w:hAnsi="Times New Roman" w:cs="Times New Roman"/>
          <w:sz w:val="24"/>
          <w:szCs w:val="24"/>
        </w:rPr>
      </w:pPr>
    </w:p>
    <w:p w14:paraId="50055971" w14:textId="77777777" w:rsidR="002F7421" w:rsidRPr="002F7421" w:rsidRDefault="002F7421" w:rsidP="002F7421">
      <w:pPr>
        <w:numPr>
          <w:ilvl w:val="0"/>
          <w:numId w:val="1"/>
        </w:num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PIRKIMO OBJEKTAS</w:t>
      </w:r>
    </w:p>
    <w:p w14:paraId="7845145F" w14:textId="77777777" w:rsidR="002F7421" w:rsidRPr="002F7421" w:rsidRDefault="002F7421" w:rsidP="002F7421">
      <w:pPr>
        <w:ind w:firstLine="709"/>
        <w:jc w:val="left"/>
        <w:rPr>
          <w:rFonts w:ascii="Times New Roman" w:hAnsi="Times New Roman" w:cs="Times New Roman"/>
          <w:sz w:val="24"/>
          <w:szCs w:val="24"/>
        </w:rPr>
      </w:pPr>
    </w:p>
    <w:p w14:paraId="0D2B75EE"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Perkamas objektas: užsienio stažuotės (toliau – stažuotė) programos parengimo ir įgyvendinimo paslaugos, vertimo paslaugos (toliau – Paslaugos). </w:t>
      </w:r>
    </w:p>
    <w:p w14:paraId="5757D0D9"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Pirkimas skaidomas į pirkimo objekto dalis:</w:t>
      </w:r>
    </w:p>
    <w:p w14:paraId="5EF4072C"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 I pirkimo objekto dalis – 1 (viena) stažuotė Olandijoje. Perkamo stažuotės programos parengimo ir įgyvendinimo paslaugos.  </w:t>
      </w:r>
    </w:p>
    <w:p w14:paraId="52C403DE"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II pirkimo objekto dalis – perkamos nuoseklaus vertimo iš anglų kalbos paslaugos stažuotės Olandijoje metu.</w:t>
      </w:r>
    </w:p>
    <w:p w14:paraId="44D5302B" w14:textId="77777777" w:rsidR="002F7421" w:rsidRPr="002F7421" w:rsidRDefault="002F7421" w:rsidP="002F7421">
      <w:pPr>
        <w:ind w:firstLine="709"/>
        <w:jc w:val="left"/>
        <w:rPr>
          <w:rFonts w:ascii="Times New Roman" w:hAnsi="Times New Roman" w:cs="Times New Roman"/>
          <w:sz w:val="24"/>
          <w:szCs w:val="24"/>
        </w:rPr>
      </w:pPr>
    </w:p>
    <w:p w14:paraId="41A5B744" w14:textId="77777777" w:rsidR="002F7421" w:rsidRPr="002F7421" w:rsidRDefault="002F7421" w:rsidP="002F7421">
      <w:pPr>
        <w:numPr>
          <w:ilvl w:val="0"/>
          <w:numId w:val="1"/>
        </w:num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REIKALAVIMAI STAŽUOTĖS ORGANIZAVIMO PASLAUGOMS</w:t>
      </w:r>
    </w:p>
    <w:p w14:paraId="0D7476C9" w14:textId="77777777" w:rsidR="002F7421" w:rsidRPr="002F7421" w:rsidRDefault="002F7421" w:rsidP="002F7421">
      <w:pPr>
        <w:ind w:firstLine="709"/>
        <w:jc w:val="left"/>
        <w:rPr>
          <w:rFonts w:ascii="Times New Roman" w:hAnsi="Times New Roman" w:cs="Times New Roman"/>
          <w:sz w:val="24"/>
          <w:szCs w:val="24"/>
        </w:rPr>
      </w:pPr>
    </w:p>
    <w:p w14:paraId="47FDB0A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 Stažuotės tikslas –siekiant tinkamai pasirengti sukurti naują išorinio mokinių pasiekimų vertinimo 2 metų ciklo modelį, numatyta pažintinė stažuotė Olandijoje žinomose testų rengimo institucijose ir kitose institucijose, susijusiose su egzaminų organizavimu ir įgyvendinimu;</w:t>
      </w:r>
    </w:p>
    <w:p w14:paraId="6A6E898C"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bCs/>
          <w:sz w:val="24"/>
          <w:szCs w:val="24"/>
        </w:rPr>
        <w:t xml:space="preserve">Paslaugų teikėjas turės parengti </w:t>
      </w:r>
      <w:r w:rsidRPr="002F7421">
        <w:rPr>
          <w:rFonts w:ascii="Times New Roman" w:hAnsi="Times New Roman" w:cs="Times New Roman"/>
          <w:sz w:val="24"/>
          <w:szCs w:val="24"/>
        </w:rPr>
        <w:t>mokymų programą, sudaryti lankomų institucijų sąrašą, susitarti su įvairiomis įstaigomis ir specialistais dėl mokymų programos įgyvendinimo ir lydėti grupę iki įstaigų bei dalyvauti susitikimuose su institucijų atstovais;</w:t>
      </w:r>
    </w:p>
    <w:p w14:paraId="2D9FB75F"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Paslaugų teikėjas turės palydėti stažuotės dalyvius iki nurodytų institucijų, parinkti transportą iš/į oro uosto iki viešbučių, atsižvelgiant į stažuotės darbotvarkę, palydėti iki institucijų, nurodytų pagal darbotvarkę ir iki viešbučių. Paslaugų teikėjas turi paskirti stažuotės organizatorių, </w:t>
      </w:r>
      <w:r w:rsidRPr="002F7421">
        <w:rPr>
          <w:rFonts w:ascii="Times New Roman" w:hAnsi="Times New Roman" w:cs="Times New Roman"/>
          <w:sz w:val="24"/>
          <w:szCs w:val="24"/>
        </w:rPr>
        <w:lastRenderedPageBreak/>
        <w:t>kuris turi visą laiką lydėti grupę ir rūpintis dalyvių logistika bei spręsti iškilusias problemas, susijusias su logistika, tačiau už transportą ir transporto bilietus sumokės Paslaugų teikėjas;</w:t>
      </w:r>
    </w:p>
    <w:p w14:paraId="634A867C"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Paslaugų teikėjas turės padengti visas organizatoriaus kelionės, darbo, pragyvenimo ir kitas stažuotės metu patirtas išlaidas;</w:t>
      </w:r>
    </w:p>
    <w:p w14:paraId="3D162E1F"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Stažuotės Olandijoje trukmė 5 (penkios) dienos. Dvi dienos skiriamos atvykimui  ir išvykimui ir trys dienos – vizitams į institucijas. </w:t>
      </w:r>
    </w:p>
    <w:p w14:paraId="16F4246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Kiekvienoje stažuotėje dalyvaus po 7 (septynis) asmenis (dalyvių skaičius gali nežymiai keistis, mažėti arba didėti vienu asmeniu), todėl už suteiktas paslaugas su Paslaugų teikėju bus atsiskaitoma pagal faktinį stažuotės dalyvių skaičių.</w:t>
      </w:r>
    </w:p>
    <w:p w14:paraId="2F24F4F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Perkančioji organizacija informuos Paslaugų teikėją apie stažuočių datas ir tikslų dalyvių skaičių prieš 20 dienų iki stažuotės pradžios.</w:t>
      </w:r>
    </w:p>
    <w:p w14:paraId="37D632AC"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dalyvių atranka, vietinio pervežimo ir maitinimo išlaidomis bei dalyvių kelionių skrydžių bilietais ir apgyvendinimu rūpinasi Perkančioji organizacija.</w:t>
      </w:r>
    </w:p>
    <w:p w14:paraId="2F62B7E4"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Pasirašius paslaugų sutartį Paslaugų teikėjas per 10 dienų nuo sutarties pasirašymo turi paskirti atsakingą asmenį, į kurį Perkančioji organizacija galėtų kreiptis dėl teikiamų paslaugų ir atsiskaitymų, taip pat kilus problemoms stažuotės organizavimo metu.</w:t>
      </w:r>
    </w:p>
    <w:p w14:paraId="793583A3"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Paslaugų teikėjas turi suorganizuoti susitikimą (kontaktinį ar nuotolinį) su Perkančiosios organizacijos atstovu prieš stažuotę likus ne mažiau kaip 5 (penkioms) darbo dienoms iki numatomos stažuotės pradžios ir aptarti bei detalizuoti stažuotės vykdymo eigą.</w:t>
      </w:r>
    </w:p>
    <w:p w14:paraId="1507EDF1" w14:textId="77777777" w:rsidR="002F7421" w:rsidRPr="002F7421" w:rsidRDefault="002F7421" w:rsidP="002F7421">
      <w:pPr>
        <w:ind w:firstLine="709"/>
        <w:jc w:val="left"/>
        <w:rPr>
          <w:rFonts w:ascii="Times New Roman" w:hAnsi="Times New Roman" w:cs="Times New Roman"/>
          <w:sz w:val="24"/>
          <w:szCs w:val="24"/>
        </w:rPr>
      </w:pPr>
    </w:p>
    <w:p w14:paraId="6C3FF56A" w14:textId="5BC8DB2B" w:rsidR="002F7421" w:rsidRPr="002F7421" w:rsidRDefault="002F7421" w:rsidP="002F7421">
      <w:pPr>
        <w:numPr>
          <w:ilvl w:val="0"/>
          <w:numId w:val="1"/>
        </w:num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REIKALAVIMAI STAŽUOTĖS PROGRAMOS IR DARBOTVARKĖS PARENGIMUI IR ĮGYVENDINIMUI (I PIRKIMO OBJEKTO DALIS)</w:t>
      </w:r>
    </w:p>
    <w:p w14:paraId="6CB6CC8E" w14:textId="77777777" w:rsidR="002F7421" w:rsidRPr="002F7421" w:rsidRDefault="002F7421" w:rsidP="002F7421">
      <w:pPr>
        <w:ind w:firstLine="709"/>
        <w:jc w:val="left"/>
        <w:rPr>
          <w:rFonts w:ascii="Times New Roman" w:hAnsi="Times New Roman" w:cs="Times New Roman"/>
          <w:b/>
          <w:bCs/>
          <w:sz w:val="24"/>
          <w:szCs w:val="24"/>
        </w:rPr>
      </w:pPr>
    </w:p>
    <w:p w14:paraId="3BD256E7"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Stažuotės programa turi būti vientisa, įgyvendinama  vizituojamoje šalyje ir sudaryta taip, kad būtų pasiektas stažuotės tikslas; </w:t>
      </w:r>
    </w:p>
    <w:p w14:paraId="0F5CA460"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programą turi sudaryti ne mažiau kaip 24 akademinių valandų trukmė;</w:t>
      </w:r>
    </w:p>
    <w:p w14:paraId="701AC326"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įgyvendinimo laikotarpis: nuo sutarties įsigaliojimo pradžios per 4 mėnesius, Šalių rašytiniu susitarimų stažuotės pradžios laikotarpis gali būti pratęsiamas ne ilgesniam kaip 4 mėnesių laikotrapiui</w:t>
      </w:r>
    </w:p>
    <w:p w14:paraId="4DBD858F"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bCs/>
          <w:sz w:val="24"/>
          <w:szCs w:val="24"/>
        </w:rPr>
        <w:t>Stažuotės programa turi būti aprašyta pagal pridėtą formą (Techninės specifikacijos</w:t>
      </w:r>
      <w:r w:rsidRPr="002F7421">
        <w:rPr>
          <w:rFonts w:ascii="Times New Roman" w:hAnsi="Times New Roman" w:cs="Times New Roman"/>
          <w:sz w:val="24"/>
          <w:szCs w:val="24"/>
        </w:rPr>
        <w:t xml:space="preserve">  1 priedas).</w:t>
      </w:r>
    </w:p>
    <w:p w14:paraId="7AB9A96B"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Stažuotės programos  pagrindu turi būti parengta detali stažuotės darbotvarkė užtikrinanti stažuotės tikslo pasiekimą; </w:t>
      </w:r>
    </w:p>
    <w:p w14:paraId="3FA57258"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darbotvarkė turi būti išsami ir sudaryta visom 5 (penkioms) stažuotės dienoms: atvykimo dienos, trijų stažuotės dienų šalyje ir išvykimo į Lietuvą dienos.</w:t>
      </w:r>
    </w:p>
    <w:p w14:paraId="49207934"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metu aplankytinos įstaigos, kurias Paslaugų tikėjas privalo įtraukti į stažuotės programą: </w:t>
      </w:r>
    </w:p>
    <w:p w14:paraId="7DD6948E"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Olandijoje testų ir užduočių rengimo institutas – CITO (The institute for test development that drafts tests ant exams) arba alternatyvi ir testavimo ir egzaminų valdyba –  CvTE (Board of Tests and Examinations) arba alternatyvi, įstaiga (ar įstaigos, jeigu jų yra daugiau nei viena), kuri stažuotės šalyje yra atsakinga už išorinio mokinių pasiekimų vertinimo (egzaminų) užduočių parengimą ir taiko užduočių parengimo per dviejų ar trijų metų ciklą modelį ir kuri galėtų šį modelį pristatyti NŠA delegacijai, išsamiai aptardama, be kita ko, šiuos klausimus: </w:t>
      </w:r>
    </w:p>
    <w:p w14:paraId="2C0E1588"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pagrindiniai pasiekimų patikrinimo grandinės dalyviai, pradedant užduočių užsakovu, baigiant egzaminuojamaisiais; </w:t>
      </w:r>
    </w:p>
    <w:p w14:paraId="335CC551"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lastRenderedPageBreak/>
        <w:t>vidurinės mokyklos baigimo egzaminų sistema (kiek ir kokie egzaminai privalomi, ar laikomi tik 12 klasėje, kuriuo laiku laikomi per mokslo metus ir pan.); </w:t>
      </w:r>
    </w:p>
    <w:p w14:paraId="090A9623"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2 (3) metų užduočių rengimo ciklas ir pagrindiniai šio proceso principai; </w:t>
      </w:r>
    </w:p>
    <w:p w14:paraId="762E6ACB"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užduočių rengimo, atrinkimo, išbandymo principai, procedūros ir etapai; </w:t>
      </w:r>
    </w:p>
    <w:p w14:paraId="6DC3E2C8"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užduočių rengėjų ir recenzentų (jeigu pastarųjų esama) atrankos principai; mokytojų įsitraukimas į užduočių rengimo procesą; </w:t>
      </w:r>
    </w:p>
    <w:p w14:paraId="0EE0085F"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užduočių kokybės užtikrinimo principai ir procedūros; </w:t>
      </w:r>
    </w:p>
    <w:p w14:paraId="43ADE5C6"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reikalavimai statistiniams parametrams, kuriuos būtina numatyti užduoties kokybei užtikrinti; </w:t>
      </w:r>
    </w:p>
    <w:p w14:paraId="0154BECA"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statistinių ir psichometrinių duomenų rinkimo ir kaupimo procedūros;  </w:t>
      </w:r>
    </w:p>
    <w:p w14:paraId="2B280767"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užduočių rengimo ir išbandymo procesus koordinuojančių ir administruojančių asmenų, funkcijos ir atsakomybės; </w:t>
      </w:r>
    </w:p>
    <w:p w14:paraId="39B0C0DA"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žmogiškųjų ir finansinių išteklių, būtinų užduotims parengti ir išbandyti bei administruoti visus procesus, apskaičiavimo algoritmas pagal mokomuosius dalykus, jų skaičių bei jų išorinio mokinių pasiekimų vertinimo (egzaminų) struktūrą; </w:t>
      </w:r>
    </w:p>
    <w:p w14:paraId="4CE346A5"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konfidencialumo (užduočių ir jų rengimo proceso dalyvių) reikalavimai ir užtikrinimo procedūros; </w:t>
      </w:r>
    </w:p>
    <w:p w14:paraId="461A0933"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pagrindinės suvaldytinos rizikos, įskaitant mažos šalies rizikas išbandant egzaminų užduotis. </w:t>
      </w:r>
    </w:p>
    <w:p w14:paraId="6FDFBA86"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kiti pasiekimų patikrinimo grandinės dalyviai – priklausomai nuo to, kiek tų dalyvių esama, pvz., švietimo įstaigos, kurios dalyvauja vykdant nacionalinius mokinių pasiekimų patikrinimus (egzaminus), kurios pasidalintų savo patirtimi vykdant egzaminus. </w:t>
      </w:r>
    </w:p>
    <w:p w14:paraId="75038E14"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priklausomai nuo to, kiek įstaigų bus suplanuota aplankyti pagal 4.5.1 punktų reikalavimus, likus laiko gali būti numatyti susitikimai su vienos ar dviejų mokyklų atstovais, kurie papasakotų apie pasiekimų patikrinimo eigą, patirtį ir iššūkius mokyklų perspektyvos. </w:t>
      </w:r>
    </w:p>
    <w:p w14:paraId="246E889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programa turi būti parengta per 20 dienų nuo sutarties pasirašymo ir pateikti derinti Perkančiajai organizacijai;</w:t>
      </w:r>
    </w:p>
    <w:p w14:paraId="3F7A8496"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Perkančioji organizacija per </w:t>
      </w:r>
      <w:r w:rsidRPr="002F7421">
        <w:rPr>
          <w:rFonts w:ascii="Times New Roman" w:hAnsi="Times New Roman" w:cs="Times New Roman"/>
          <w:bCs/>
          <w:sz w:val="24"/>
          <w:szCs w:val="24"/>
        </w:rPr>
        <w:t>5 (penkias)</w:t>
      </w:r>
      <w:r w:rsidRPr="002F7421">
        <w:rPr>
          <w:rFonts w:ascii="Times New Roman" w:hAnsi="Times New Roman" w:cs="Times New Roman"/>
          <w:b/>
          <w:sz w:val="24"/>
          <w:szCs w:val="24"/>
        </w:rPr>
        <w:t xml:space="preserve"> </w:t>
      </w:r>
      <w:r w:rsidRPr="002F7421">
        <w:rPr>
          <w:rFonts w:ascii="Times New Roman" w:hAnsi="Times New Roman" w:cs="Times New Roman"/>
          <w:sz w:val="24"/>
          <w:szCs w:val="24"/>
        </w:rPr>
        <w:t>darbo dienas pateikia pastabas stažuotės programai.</w:t>
      </w:r>
    </w:p>
    <w:p w14:paraId="5A3D3AC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Atsižvelgęs į Perkančiosios organizacijos pateiktas pastabas,  Paslaugų teikėjas per </w:t>
      </w:r>
      <w:r w:rsidRPr="002F7421">
        <w:rPr>
          <w:rFonts w:ascii="Times New Roman" w:hAnsi="Times New Roman" w:cs="Times New Roman"/>
          <w:bCs/>
          <w:sz w:val="24"/>
          <w:szCs w:val="24"/>
        </w:rPr>
        <w:t>5</w:t>
      </w:r>
      <w:r w:rsidRPr="002F7421">
        <w:rPr>
          <w:rFonts w:ascii="Times New Roman" w:hAnsi="Times New Roman" w:cs="Times New Roman"/>
          <w:sz w:val="24"/>
          <w:szCs w:val="24"/>
        </w:rPr>
        <w:t xml:space="preserve"> (penkias) darbo dienas turi pateikti pataisytą stažuotės programos variantą.</w:t>
      </w:r>
    </w:p>
    <w:p w14:paraId="7A046DF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Perkančioji organizacija pasilieka teisę prašyti Teikėjo patikslinti stažuotės programą po pataisytos darbotvarkės pateikimo.</w:t>
      </w:r>
    </w:p>
    <w:p w14:paraId="16FB3A68"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Darbotvarkė Perkančiajai organizacijai turi būti pateikta </w:t>
      </w:r>
      <w:r w:rsidRPr="002F7421">
        <w:rPr>
          <w:rFonts w:ascii="Times New Roman" w:hAnsi="Times New Roman" w:cs="Times New Roman"/>
          <w:bCs/>
          <w:sz w:val="24"/>
          <w:szCs w:val="24"/>
        </w:rPr>
        <w:t>10</w:t>
      </w:r>
      <w:r w:rsidRPr="002F7421">
        <w:rPr>
          <w:rFonts w:ascii="Times New Roman" w:hAnsi="Times New Roman" w:cs="Times New Roman"/>
          <w:sz w:val="24"/>
          <w:szCs w:val="24"/>
        </w:rPr>
        <w:t xml:space="preserve"> (dešimt) kalendorinių dienų iki stažuotės pradžios elektroniniu paštu.</w:t>
      </w:r>
    </w:p>
    <w:p w14:paraId="3EFC588F"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Perkančioji organizacija per </w:t>
      </w:r>
      <w:r w:rsidRPr="002F7421">
        <w:rPr>
          <w:rFonts w:ascii="Times New Roman" w:hAnsi="Times New Roman" w:cs="Times New Roman"/>
          <w:bCs/>
          <w:sz w:val="24"/>
          <w:szCs w:val="24"/>
        </w:rPr>
        <w:t>5 (penkias)</w:t>
      </w:r>
      <w:r w:rsidRPr="002F7421">
        <w:rPr>
          <w:rFonts w:ascii="Times New Roman" w:hAnsi="Times New Roman" w:cs="Times New Roman"/>
          <w:b/>
          <w:sz w:val="24"/>
          <w:szCs w:val="24"/>
        </w:rPr>
        <w:t xml:space="preserve"> </w:t>
      </w:r>
      <w:r w:rsidRPr="002F7421">
        <w:rPr>
          <w:rFonts w:ascii="Times New Roman" w:hAnsi="Times New Roman" w:cs="Times New Roman"/>
          <w:sz w:val="24"/>
          <w:szCs w:val="24"/>
        </w:rPr>
        <w:t>darbo dienas pateikia pastabas darbotvarkei.</w:t>
      </w:r>
    </w:p>
    <w:p w14:paraId="71DE494D"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Atsižvelgęs į Perkančiosios organizacijos pateiktas pastabas, Teikėjas per </w:t>
      </w:r>
      <w:r w:rsidRPr="002F7421">
        <w:rPr>
          <w:rFonts w:ascii="Times New Roman" w:hAnsi="Times New Roman" w:cs="Times New Roman"/>
          <w:bCs/>
          <w:sz w:val="24"/>
          <w:szCs w:val="24"/>
        </w:rPr>
        <w:t>5</w:t>
      </w:r>
      <w:r w:rsidRPr="002F7421">
        <w:rPr>
          <w:rFonts w:ascii="Times New Roman" w:hAnsi="Times New Roman" w:cs="Times New Roman"/>
          <w:sz w:val="24"/>
          <w:szCs w:val="24"/>
        </w:rPr>
        <w:t xml:space="preserve"> (penkias) darbo dienas turi pateikti pataisytą stažuotės darbotvarkės variantą.</w:t>
      </w:r>
    </w:p>
    <w:p w14:paraId="77AF09A1"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Perkančioji organizacija pasilieka teisę prašyti Tiekėjo patikslinti darbotvarkę po pataisytos darbotvarkės pateikimo.</w:t>
      </w:r>
    </w:p>
    <w:p w14:paraId="11114CAB"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Teikėjas privalo užtikrinti, kad visoje dokumentacijoje (darbotvarkėje, mokomojoje medžiagoje, dokumentų formose ir kt.) privalo būti naudojami viešinimo ženklai, nurodytas projekto pavadinimas ir kiti logotipai pagal naujausius galiojančius teisės aktus. </w:t>
      </w:r>
    </w:p>
    <w:p w14:paraId="5FB6F43E"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Teikėjas (-ai), pildydamas (-i) Perkančiosios organizacijos pateiktas dokumentų formas, privalo atsižvelgti į reikalavimus jų pildymui, formas Perkančioji organizacija pateiks per 10 dienų nuo sutarties pasirašymo.</w:t>
      </w:r>
    </w:p>
    <w:p w14:paraId="08C4CA3D" w14:textId="77777777" w:rsidR="002F7421" w:rsidRPr="002F7421" w:rsidRDefault="002F7421" w:rsidP="002F7421">
      <w:pPr>
        <w:ind w:firstLine="709"/>
        <w:jc w:val="left"/>
        <w:rPr>
          <w:rFonts w:ascii="Times New Roman" w:hAnsi="Times New Roman" w:cs="Times New Roman"/>
          <w:sz w:val="24"/>
          <w:szCs w:val="24"/>
        </w:rPr>
      </w:pPr>
    </w:p>
    <w:p w14:paraId="008F463A" w14:textId="77777777" w:rsidR="002F7421" w:rsidRPr="002F7421" w:rsidRDefault="002F7421" w:rsidP="002F7421">
      <w:pPr>
        <w:numPr>
          <w:ilvl w:val="0"/>
          <w:numId w:val="1"/>
        </w:numPr>
        <w:ind w:firstLine="709"/>
        <w:jc w:val="center"/>
        <w:rPr>
          <w:rFonts w:ascii="Times New Roman" w:hAnsi="Times New Roman" w:cs="Times New Roman"/>
          <w:sz w:val="24"/>
          <w:szCs w:val="24"/>
        </w:rPr>
      </w:pPr>
      <w:r w:rsidRPr="002F7421">
        <w:rPr>
          <w:rFonts w:ascii="Times New Roman" w:hAnsi="Times New Roman" w:cs="Times New Roman"/>
          <w:b/>
          <w:bCs/>
          <w:sz w:val="24"/>
          <w:szCs w:val="24"/>
        </w:rPr>
        <w:t>REIKALAVIMAI VERTIMO PASLAUGOMS (II PIRKIMO OBJEKTO DALIS</w:t>
      </w:r>
      <w:r w:rsidRPr="002F7421">
        <w:rPr>
          <w:rFonts w:ascii="Times New Roman" w:hAnsi="Times New Roman" w:cs="Times New Roman"/>
          <w:sz w:val="24"/>
          <w:szCs w:val="24"/>
        </w:rPr>
        <w:t>)</w:t>
      </w:r>
    </w:p>
    <w:p w14:paraId="1385DE2A" w14:textId="77777777" w:rsidR="002F7421" w:rsidRPr="002F7421" w:rsidRDefault="002F7421" w:rsidP="002F7421">
      <w:pPr>
        <w:ind w:firstLine="709"/>
        <w:jc w:val="left"/>
        <w:rPr>
          <w:rFonts w:ascii="Times New Roman" w:hAnsi="Times New Roman" w:cs="Times New Roman"/>
          <w:sz w:val="24"/>
          <w:szCs w:val="24"/>
        </w:rPr>
      </w:pPr>
    </w:p>
    <w:p w14:paraId="11A8A27D" w14:textId="79057210" w:rsidR="002F7421" w:rsidRPr="002F7421" w:rsidRDefault="002B4FD5" w:rsidP="002F7421">
      <w:pPr>
        <w:numPr>
          <w:ilvl w:val="1"/>
          <w:numId w:val="1"/>
        </w:numPr>
        <w:ind w:left="0" w:firstLine="709"/>
        <w:jc w:val="left"/>
        <w:rPr>
          <w:rFonts w:ascii="Times New Roman" w:hAnsi="Times New Roman" w:cs="Times New Roman"/>
          <w:sz w:val="24"/>
          <w:szCs w:val="24"/>
        </w:rPr>
      </w:pPr>
      <w:r>
        <w:rPr>
          <w:rFonts w:ascii="Times New Roman" w:hAnsi="Times New Roman" w:cs="Times New Roman"/>
          <w:sz w:val="24"/>
          <w:szCs w:val="24"/>
        </w:rPr>
        <w:t>V</w:t>
      </w:r>
      <w:r w:rsidR="002F7421" w:rsidRPr="002F7421">
        <w:rPr>
          <w:rFonts w:ascii="Times New Roman" w:hAnsi="Times New Roman" w:cs="Times New Roman"/>
          <w:sz w:val="24"/>
          <w:szCs w:val="24"/>
        </w:rPr>
        <w:t>ertėjas turės versti iš anglų kalbos į lietuvių kalbą ir iš lietuvių kalbos į anglų kalbą nuosekliuoju būdu, visai grupei, kurią sudaro preliminariai 7 (septyni) asmenys, 3 stažuotės dienas preliminariai po 8 val.;</w:t>
      </w:r>
    </w:p>
    <w:p w14:paraId="0D6E615A"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atsiskaitoma bus pagal faktinį vertėjavimo valandų skaičių;</w:t>
      </w:r>
    </w:p>
    <w:p w14:paraId="5E9983E9"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vertėjas turės lydėti grupę, vykti kartu su grupe į visas institucijas, kurios nurodytos darbotvarkėje, jeigu nurodytos institucijos keisis darbotvarkės įgyvendinimo metu, vertėjas turės lydėti grupę ir vertėjauti naujai nurodytose institucijose;</w:t>
      </w:r>
    </w:p>
    <w:p w14:paraId="42666B68" w14:textId="1984F20F" w:rsid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Paslaugų teikėjas turės padengti visas vertėjo kelionės, darbo, pragyvenimo, transporto ir kitas stažuotės metu patirtas išlaidas. Taip pat į pasiūlymo kainą turi būti įskaičiuoti visi mokesčiai ir rinkliavos.</w:t>
      </w:r>
    </w:p>
    <w:p w14:paraId="1C46E744" w14:textId="28226E04" w:rsidR="002B4FD5" w:rsidRPr="002F7421" w:rsidRDefault="002B4FD5" w:rsidP="002F7421">
      <w:pPr>
        <w:numPr>
          <w:ilvl w:val="1"/>
          <w:numId w:val="1"/>
        </w:numPr>
        <w:ind w:left="0" w:firstLine="709"/>
        <w:jc w:val="left"/>
        <w:rPr>
          <w:rFonts w:ascii="Times New Roman" w:hAnsi="Times New Roman" w:cs="Times New Roman"/>
          <w:sz w:val="24"/>
          <w:szCs w:val="24"/>
        </w:rPr>
      </w:pPr>
      <w:r>
        <w:rPr>
          <w:rFonts w:ascii="Times New Roman" w:hAnsi="Times New Roman" w:cs="Times New Roman"/>
          <w:sz w:val="24"/>
          <w:szCs w:val="24"/>
        </w:rPr>
        <w:t>Vertėjo paslaugos teikiamos nuo atskiro Perkančiosios organizacijos</w:t>
      </w:r>
      <w:r w:rsidR="001B0C83">
        <w:rPr>
          <w:rFonts w:ascii="Times New Roman" w:hAnsi="Times New Roman" w:cs="Times New Roman"/>
          <w:sz w:val="24"/>
          <w:szCs w:val="24"/>
        </w:rPr>
        <w:t xml:space="preserve"> užsakymo.</w:t>
      </w:r>
      <w:r w:rsidR="004F5EC2">
        <w:rPr>
          <w:rFonts w:ascii="Times New Roman" w:hAnsi="Times New Roman" w:cs="Times New Roman"/>
          <w:sz w:val="24"/>
          <w:szCs w:val="24"/>
        </w:rPr>
        <w:t xml:space="preserve"> </w:t>
      </w:r>
      <w:r w:rsidR="002C2370" w:rsidRPr="002F7421">
        <w:rPr>
          <w:rFonts w:ascii="Times New Roman" w:hAnsi="Times New Roman" w:cs="Times New Roman"/>
          <w:sz w:val="24"/>
          <w:szCs w:val="24"/>
        </w:rPr>
        <w:t>Perkančioji organizacija informuos</w:t>
      </w:r>
      <w:r w:rsidR="001B0C83">
        <w:rPr>
          <w:rFonts w:ascii="Times New Roman" w:hAnsi="Times New Roman" w:cs="Times New Roman"/>
          <w:sz w:val="24"/>
          <w:szCs w:val="24"/>
        </w:rPr>
        <w:t xml:space="preserve"> Paslaugų teikėją apie stažuotės tikslią datą</w:t>
      </w:r>
      <w:r w:rsidR="002C2370" w:rsidRPr="002F7421">
        <w:rPr>
          <w:rFonts w:ascii="Times New Roman" w:hAnsi="Times New Roman" w:cs="Times New Roman"/>
          <w:sz w:val="24"/>
          <w:szCs w:val="24"/>
        </w:rPr>
        <w:t xml:space="preserve"> prieš 20 dienų iki stažuotės pradžios.</w:t>
      </w:r>
    </w:p>
    <w:p w14:paraId="6E334A32" w14:textId="77777777" w:rsidR="002F7421" w:rsidRPr="002F7421" w:rsidRDefault="002F7421" w:rsidP="002F7421">
      <w:pPr>
        <w:ind w:firstLine="709"/>
        <w:jc w:val="left"/>
        <w:rPr>
          <w:rFonts w:ascii="Times New Roman" w:hAnsi="Times New Roman" w:cs="Times New Roman"/>
          <w:sz w:val="24"/>
          <w:szCs w:val="24"/>
        </w:rPr>
      </w:pPr>
    </w:p>
    <w:p w14:paraId="40B26310" w14:textId="77777777" w:rsidR="002F7421" w:rsidRPr="002F7421" w:rsidRDefault="002F7421" w:rsidP="002F7421">
      <w:pPr>
        <w:numPr>
          <w:ilvl w:val="0"/>
          <w:numId w:val="1"/>
        </w:numPr>
        <w:ind w:firstLine="709"/>
        <w:jc w:val="center"/>
        <w:rPr>
          <w:rFonts w:ascii="Times New Roman" w:hAnsi="Times New Roman" w:cs="Times New Roman"/>
          <w:b/>
          <w:sz w:val="24"/>
          <w:szCs w:val="24"/>
        </w:rPr>
      </w:pPr>
      <w:r w:rsidRPr="002F7421">
        <w:rPr>
          <w:rFonts w:ascii="Times New Roman" w:hAnsi="Times New Roman" w:cs="Times New Roman"/>
          <w:b/>
          <w:sz w:val="24"/>
          <w:szCs w:val="24"/>
        </w:rPr>
        <w:t>APLINKOS APSAUGOS (ŽALIEJI)  REIKALAVIMAI</w:t>
      </w:r>
    </w:p>
    <w:p w14:paraId="168F433E" w14:textId="77777777" w:rsidR="002F7421" w:rsidRPr="002F7421" w:rsidRDefault="002F7421" w:rsidP="002F7421">
      <w:pPr>
        <w:ind w:firstLine="709"/>
        <w:jc w:val="left"/>
        <w:rPr>
          <w:rFonts w:ascii="Times New Roman" w:hAnsi="Times New Roman" w:cs="Times New Roman"/>
          <w:b/>
          <w:sz w:val="24"/>
          <w:szCs w:val="24"/>
        </w:rPr>
      </w:pPr>
    </w:p>
    <w:p w14:paraId="1113609E"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w:t>
      </w:r>
      <w:r w:rsidRPr="002F7421">
        <w:rPr>
          <w:rFonts w:ascii="Times New Roman" w:hAnsi="Times New Roman" w:cs="Times New Roman"/>
          <w:b/>
          <w:sz w:val="24"/>
          <w:szCs w:val="24"/>
        </w:rPr>
        <w:t xml:space="preserve">pirkimo objekto </w:t>
      </w:r>
      <w:r w:rsidRPr="002F7421">
        <w:rPr>
          <w:rFonts w:ascii="Times New Roman" w:hAnsi="Times New Roman" w:cs="Times New Roman"/>
          <w:sz w:val="24"/>
          <w:szCs w:val="24"/>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hyperlink r:id="rId7" w:anchor="_ftn1" w:tgtFrame="_blank" w:history="1">
        <w:r w:rsidRPr="002F7421">
          <w:rPr>
            <w:rStyle w:val="Hipersaitas"/>
            <w:rFonts w:ascii="Times New Roman" w:hAnsi="Times New Roman" w:cs="Times New Roman"/>
            <w:sz w:val="24"/>
            <w:szCs w:val="24"/>
            <w:vertAlign w:val="superscript"/>
          </w:rPr>
          <w:t>[1]</w:t>
        </w:r>
      </w:hyperlink>
      <w:r w:rsidRPr="002F7421">
        <w:rPr>
          <w:rFonts w:ascii="Times New Roman" w:hAnsi="Times New Roman" w:cs="Times New Roman"/>
          <w:sz w:val="24"/>
          <w:szCs w:val="24"/>
        </w:rPr>
        <w:t xml:space="preserve">, </w:t>
      </w:r>
      <w:r w:rsidRPr="002F7421">
        <w:rPr>
          <w:rFonts w:ascii="Times New Roman" w:hAnsi="Times New Roman" w:cs="Times New Roman"/>
          <w:b/>
          <w:sz w:val="24"/>
          <w:szCs w:val="24"/>
        </w:rPr>
        <w:t>todėl dalis pirkimo objekto atitinka šį reikalavimą</w:t>
      </w:r>
      <w:r w:rsidRPr="002F7421">
        <w:rPr>
          <w:rFonts w:ascii="Times New Roman" w:hAnsi="Times New Roman" w:cs="Times New Roman"/>
          <w:sz w:val="24"/>
          <w:szCs w:val="24"/>
        </w:rPr>
        <w:t>;</w:t>
      </w:r>
    </w:p>
    <w:p w14:paraId="2F6E3EA1"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jeigu paslaugos teikimui būtina naudoti popierių, jis turi atitikti aplinkos apsaugos kriterijus popieriui ir jo gaminiams, nustatytus Aprašo 2 priedo 1 punkte</w:t>
      </w:r>
      <w:r w:rsidRPr="002F7421">
        <w:rPr>
          <w:rFonts w:ascii="Times New Roman" w:hAnsi="Times New Roman" w:cs="Times New Roman"/>
          <w:sz w:val="24"/>
          <w:szCs w:val="24"/>
          <w:vertAlign w:val="superscript"/>
        </w:rPr>
        <w:footnoteReference w:id="1"/>
      </w:r>
      <w:r w:rsidRPr="002F7421">
        <w:rPr>
          <w:rFonts w:ascii="Times New Roman" w:hAnsi="Times New Roman" w:cs="Times New Roman"/>
          <w:sz w:val="24"/>
          <w:szCs w:val="24"/>
        </w:rPr>
        <w:t xml:space="preserve">. </w:t>
      </w:r>
    </w:p>
    <w:p w14:paraId="7BB219E4"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siekiant, kad teikiant paslaugas būtų sunaudojama mažiau gamtos išteklių ir taip būtų laikomasi Aprašo 4.4.4.1 papunktyje</w:t>
      </w:r>
      <w:r w:rsidRPr="002F7421">
        <w:rPr>
          <w:rFonts w:ascii="Times New Roman" w:hAnsi="Times New Roman" w:cs="Times New Roman"/>
          <w:sz w:val="24"/>
          <w:szCs w:val="24"/>
          <w:vertAlign w:val="superscript"/>
        </w:rPr>
        <w:footnoteReference w:id="2"/>
      </w:r>
      <w:r w:rsidRPr="002F7421">
        <w:rPr>
          <w:rFonts w:ascii="Times New Roman" w:hAnsi="Times New Roman" w:cs="Times New Roman"/>
          <w:sz w:val="24"/>
          <w:szCs w:val="24"/>
        </w:rPr>
        <w:t xml:space="preserve"> nustatyto aplinkosauginio principo, Paslaugų teikimui būtina spausdinti dokumentacija, turi būti spausdinama ant abiejų lapo pusių.</w:t>
      </w:r>
    </w:p>
    <w:p w14:paraId="7A982880" w14:textId="77777777" w:rsidR="002F7421" w:rsidRPr="002F7421" w:rsidRDefault="002F7421" w:rsidP="002F7421">
      <w:pPr>
        <w:ind w:firstLine="709"/>
        <w:jc w:val="left"/>
        <w:rPr>
          <w:rFonts w:ascii="Times New Roman" w:hAnsi="Times New Roman" w:cs="Times New Roman"/>
          <w:sz w:val="24"/>
          <w:szCs w:val="24"/>
        </w:rPr>
      </w:pPr>
    </w:p>
    <w:p w14:paraId="6CE27C72" w14:textId="77777777" w:rsidR="002F7421" w:rsidRPr="002F7421" w:rsidRDefault="002F7421" w:rsidP="002F7421">
      <w:pPr>
        <w:ind w:firstLine="709"/>
        <w:jc w:val="left"/>
        <w:rPr>
          <w:rFonts w:ascii="Times New Roman" w:hAnsi="Times New Roman" w:cs="Times New Roman"/>
          <w:sz w:val="24"/>
          <w:szCs w:val="24"/>
        </w:rPr>
        <w:sectPr w:rsidR="002F7421" w:rsidRPr="002F7421" w:rsidSect="00FC3D71">
          <w:footerReference w:type="default" r:id="rId8"/>
          <w:footerReference w:type="first" r:id="rId9"/>
          <w:pgSz w:w="11907" w:h="16840"/>
          <w:pgMar w:top="709" w:right="567" w:bottom="1701" w:left="1701" w:header="567" w:footer="567" w:gutter="0"/>
          <w:cols w:space="1296"/>
        </w:sectPr>
      </w:pPr>
    </w:p>
    <w:p w14:paraId="47CD1015" w14:textId="77777777" w:rsidR="002F7421" w:rsidRPr="002F7421" w:rsidRDefault="002F7421" w:rsidP="002F7421">
      <w:pPr>
        <w:ind w:left="6480" w:firstLine="709"/>
        <w:jc w:val="left"/>
        <w:rPr>
          <w:rFonts w:ascii="Times New Roman" w:hAnsi="Times New Roman" w:cs="Times New Roman"/>
          <w:bCs/>
          <w:sz w:val="24"/>
          <w:szCs w:val="24"/>
        </w:rPr>
      </w:pPr>
      <w:r w:rsidRPr="002F7421">
        <w:rPr>
          <w:rFonts w:ascii="Times New Roman" w:hAnsi="Times New Roman" w:cs="Times New Roman"/>
          <w:bCs/>
          <w:sz w:val="24"/>
          <w:szCs w:val="24"/>
        </w:rPr>
        <w:t xml:space="preserve">Techninės specifikacijos </w:t>
      </w:r>
    </w:p>
    <w:p w14:paraId="20EEDA69" w14:textId="77777777" w:rsidR="002F7421" w:rsidRPr="002F7421" w:rsidRDefault="002F7421" w:rsidP="002F7421">
      <w:pPr>
        <w:ind w:left="6480" w:firstLine="709"/>
        <w:jc w:val="left"/>
        <w:rPr>
          <w:rFonts w:ascii="Times New Roman" w:hAnsi="Times New Roman" w:cs="Times New Roman"/>
          <w:bCs/>
          <w:sz w:val="24"/>
          <w:szCs w:val="24"/>
        </w:rPr>
      </w:pPr>
      <w:r w:rsidRPr="002F7421">
        <w:rPr>
          <w:rFonts w:ascii="Times New Roman" w:hAnsi="Times New Roman" w:cs="Times New Roman"/>
          <w:bCs/>
          <w:sz w:val="24"/>
          <w:szCs w:val="24"/>
        </w:rPr>
        <w:t>1 priedas</w:t>
      </w:r>
    </w:p>
    <w:p w14:paraId="063DAD63" w14:textId="77777777" w:rsidR="002F7421" w:rsidRPr="002F7421" w:rsidRDefault="002F7421" w:rsidP="002F7421">
      <w:pPr>
        <w:ind w:firstLine="709"/>
        <w:jc w:val="left"/>
        <w:rPr>
          <w:rFonts w:ascii="Times New Roman" w:hAnsi="Times New Roman" w:cs="Times New Roman"/>
          <w:bCs/>
          <w:sz w:val="24"/>
          <w:szCs w:val="24"/>
        </w:rPr>
      </w:pPr>
    </w:p>
    <w:p w14:paraId="07316E22" w14:textId="77777777" w:rsidR="002F7421" w:rsidRDefault="002F7421" w:rsidP="002F7421">
      <w:pPr>
        <w:ind w:firstLine="709"/>
        <w:jc w:val="center"/>
        <w:rPr>
          <w:rFonts w:ascii="Times New Roman" w:hAnsi="Times New Roman" w:cs="Times New Roman"/>
          <w:bCs/>
          <w:sz w:val="24"/>
          <w:szCs w:val="24"/>
        </w:rPr>
      </w:pPr>
      <w:r w:rsidRPr="002F7421">
        <w:rPr>
          <w:rFonts w:ascii="Times New Roman" w:hAnsi="Times New Roman" w:cs="Times New Roman"/>
          <w:bCs/>
          <w:sz w:val="24"/>
          <w:szCs w:val="24"/>
        </w:rPr>
        <w:t>(stažuotės užsienyje programos forma)</w:t>
      </w:r>
    </w:p>
    <w:p w14:paraId="261F4DC0" w14:textId="77777777" w:rsidR="002F7421" w:rsidRDefault="002F7421" w:rsidP="002F7421">
      <w:pPr>
        <w:ind w:firstLine="709"/>
        <w:jc w:val="center"/>
        <w:rPr>
          <w:rFonts w:ascii="Times New Roman" w:hAnsi="Times New Roman" w:cs="Times New Roman"/>
          <w:bCs/>
          <w:sz w:val="24"/>
          <w:szCs w:val="24"/>
        </w:rPr>
      </w:pPr>
    </w:p>
    <w:p w14:paraId="241AAC99" w14:textId="77777777" w:rsidR="002F7421" w:rsidRPr="002F7421" w:rsidRDefault="002F7421" w:rsidP="002F7421">
      <w:pPr>
        <w:ind w:firstLine="709"/>
        <w:jc w:val="center"/>
        <w:rPr>
          <w:rFonts w:ascii="Times New Roman" w:hAnsi="Times New Roman" w:cs="Times New Roman"/>
          <w:bCs/>
          <w:sz w:val="24"/>
          <w:szCs w:val="24"/>
        </w:rPr>
      </w:pPr>
    </w:p>
    <w:p w14:paraId="0E5AC68D"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Teikėjas (Teikėjo rekvizitai, vardas ir pavardė).</w:t>
      </w:r>
    </w:p>
    <w:p w14:paraId="4B7FCB8A"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pavadinimas.</w:t>
      </w:r>
    </w:p>
    <w:p w14:paraId="00B04F71"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rengėjas(-ai).</w:t>
      </w:r>
    </w:p>
    <w:p w14:paraId="06E46185"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anotacija (aktualumas, reikalingumas tikslinei grupei).</w:t>
      </w:r>
    </w:p>
    <w:p w14:paraId="027DD907"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tikslas.</w:t>
      </w:r>
    </w:p>
    <w:p w14:paraId="30FB98E1" w14:textId="77777777" w:rsid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modulių turinys, trukmė, naudojami mokymo(si) metodai (būdai)</w:t>
      </w:r>
    </w:p>
    <w:p w14:paraId="38FF8ACC" w14:textId="77777777" w:rsidR="00C13A25" w:rsidRPr="002F7421" w:rsidRDefault="00C13A25" w:rsidP="002F7421">
      <w:pPr>
        <w:numPr>
          <w:ilvl w:val="0"/>
          <w:numId w:val="5"/>
        </w:numPr>
        <w:ind w:left="0" w:firstLine="851"/>
        <w:jc w:val="left"/>
        <w:rPr>
          <w:rFonts w:ascii="Times New Roman" w:hAnsi="Times New Roman" w:cs="Times New Roman"/>
          <w:bCs/>
          <w:sz w:val="24"/>
          <w:szCs w:val="24"/>
        </w:rPr>
      </w:pPr>
    </w:p>
    <w:tbl>
      <w:tblPr>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2145"/>
        <w:gridCol w:w="1332"/>
        <w:gridCol w:w="1056"/>
        <w:gridCol w:w="1606"/>
        <w:gridCol w:w="987"/>
        <w:gridCol w:w="1840"/>
      </w:tblGrid>
      <w:tr w:rsidR="00C13A25" w:rsidRPr="002F7421" w14:paraId="73515501" w14:textId="77777777" w:rsidTr="00C13A25">
        <w:trPr>
          <w:trHeight w:val="474"/>
        </w:trPr>
        <w:tc>
          <w:tcPr>
            <w:tcW w:w="649" w:type="dxa"/>
            <w:tcBorders>
              <w:top w:val="single" w:sz="4" w:space="0" w:color="000000"/>
              <w:left w:val="single" w:sz="4" w:space="0" w:color="000000"/>
              <w:bottom w:val="single" w:sz="4" w:space="0" w:color="000000"/>
              <w:right w:val="single" w:sz="4" w:space="0" w:color="auto"/>
            </w:tcBorders>
            <w:vAlign w:val="center"/>
            <w:hideMark/>
          </w:tcPr>
          <w:p w14:paraId="3F24BBD5"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Eil.</w:t>
            </w:r>
          </w:p>
          <w:p w14:paraId="7F46A32B"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Nr.</w:t>
            </w:r>
          </w:p>
        </w:tc>
        <w:tc>
          <w:tcPr>
            <w:tcW w:w="2145" w:type="dxa"/>
            <w:tcBorders>
              <w:top w:val="single" w:sz="4" w:space="0" w:color="000000"/>
              <w:left w:val="single" w:sz="4" w:space="0" w:color="auto"/>
              <w:bottom w:val="single" w:sz="4" w:space="0" w:color="000000"/>
              <w:right w:val="single" w:sz="4" w:space="0" w:color="auto"/>
            </w:tcBorders>
            <w:vAlign w:val="center"/>
            <w:hideMark/>
          </w:tcPr>
          <w:p w14:paraId="53EEA766"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Tema</w:t>
            </w:r>
          </w:p>
        </w:tc>
        <w:tc>
          <w:tcPr>
            <w:tcW w:w="1332" w:type="dxa"/>
            <w:tcBorders>
              <w:top w:val="single" w:sz="4" w:space="0" w:color="000000"/>
              <w:left w:val="single" w:sz="4" w:space="0" w:color="auto"/>
              <w:bottom w:val="single" w:sz="4" w:space="0" w:color="000000"/>
              <w:right w:val="single" w:sz="4" w:space="0" w:color="auto"/>
            </w:tcBorders>
            <w:vAlign w:val="center"/>
            <w:hideMark/>
          </w:tcPr>
          <w:p w14:paraId="0598DAC9"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Teorija</w:t>
            </w:r>
          </w:p>
        </w:tc>
        <w:tc>
          <w:tcPr>
            <w:tcW w:w="1056" w:type="dxa"/>
            <w:tcBorders>
              <w:top w:val="single" w:sz="4" w:space="0" w:color="000000"/>
              <w:left w:val="single" w:sz="4" w:space="0" w:color="auto"/>
              <w:bottom w:val="single" w:sz="4" w:space="0" w:color="000000"/>
              <w:right w:val="single" w:sz="4" w:space="0" w:color="auto"/>
            </w:tcBorders>
            <w:vAlign w:val="center"/>
            <w:hideMark/>
          </w:tcPr>
          <w:p w14:paraId="540E059E"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Praktika</w:t>
            </w:r>
          </w:p>
        </w:tc>
        <w:tc>
          <w:tcPr>
            <w:tcW w:w="1606" w:type="dxa"/>
            <w:tcBorders>
              <w:top w:val="single" w:sz="4" w:space="0" w:color="000000"/>
              <w:left w:val="single" w:sz="4" w:space="0" w:color="auto"/>
              <w:bottom w:val="single" w:sz="4" w:space="0" w:color="000000"/>
              <w:right w:val="single" w:sz="4" w:space="0" w:color="auto"/>
            </w:tcBorders>
            <w:vAlign w:val="center"/>
            <w:hideMark/>
          </w:tcPr>
          <w:p w14:paraId="38FA6BDF"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Savarankiškas</w:t>
            </w:r>
          </w:p>
          <w:p w14:paraId="7A090BF2"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darbas</w:t>
            </w:r>
          </w:p>
        </w:tc>
        <w:tc>
          <w:tcPr>
            <w:tcW w:w="987" w:type="dxa"/>
            <w:tcBorders>
              <w:top w:val="single" w:sz="4" w:space="0" w:color="000000"/>
              <w:left w:val="single" w:sz="4" w:space="0" w:color="auto"/>
              <w:bottom w:val="single" w:sz="4" w:space="0" w:color="000000"/>
              <w:right w:val="single" w:sz="4" w:space="0" w:color="auto"/>
            </w:tcBorders>
            <w:vAlign w:val="center"/>
            <w:hideMark/>
          </w:tcPr>
          <w:p w14:paraId="481C3D1F"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Iš viso</w:t>
            </w:r>
          </w:p>
        </w:tc>
        <w:tc>
          <w:tcPr>
            <w:tcW w:w="1840" w:type="dxa"/>
            <w:tcBorders>
              <w:top w:val="single" w:sz="4" w:space="0" w:color="000000"/>
              <w:left w:val="single" w:sz="4" w:space="0" w:color="auto"/>
              <w:bottom w:val="single" w:sz="4" w:space="0" w:color="000000"/>
              <w:right w:val="single" w:sz="4" w:space="0" w:color="000000"/>
            </w:tcBorders>
            <w:vAlign w:val="center"/>
            <w:hideMark/>
          </w:tcPr>
          <w:p w14:paraId="7E61B1FD"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Mokymo(si)</w:t>
            </w:r>
          </w:p>
          <w:p w14:paraId="04F62E0D"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metodai</w:t>
            </w:r>
          </w:p>
        </w:tc>
      </w:tr>
      <w:tr w:rsidR="00C13A25" w:rsidRPr="002F7421" w14:paraId="606CE290" w14:textId="538CD05B" w:rsidTr="00C13A25">
        <w:trPr>
          <w:trHeight w:val="234"/>
        </w:trPr>
        <w:tc>
          <w:tcPr>
            <w:tcW w:w="649" w:type="dxa"/>
            <w:tcBorders>
              <w:top w:val="single" w:sz="4" w:space="0" w:color="000000"/>
              <w:left w:val="single" w:sz="4" w:space="0" w:color="000000"/>
              <w:bottom w:val="single" w:sz="4" w:space="0" w:color="000000"/>
              <w:right w:val="single" w:sz="4" w:space="0" w:color="auto"/>
            </w:tcBorders>
            <w:hideMark/>
          </w:tcPr>
          <w:p w14:paraId="1236EE9E" w14:textId="3E7C8AA7" w:rsidR="00C13A25" w:rsidRPr="002F7421" w:rsidRDefault="00C13A25" w:rsidP="00C13A25">
            <w:pPr>
              <w:ind w:firstLine="0"/>
              <w:jc w:val="left"/>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15E349F3" w14:textId="77777777" w:rsidR="00C13A25" w:rsidRPr="002F7421" w:rsidRDefault="00C13A25" w:rsidP="00C13A25">
            <w:pPr>
              <w:ind w:firstLine="0"/>
              <w:jc w:val="left"/>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37C1DC05" w14:textId="77777777" w:rsidR="00C13A25" w:rsidRPr="002F7421" w:rsidRDefault="00C13A25" w:rsidP="00C13A25">
            <w:pPr>
              <w:ind w:firstLine="0"/>
              <w:jc w:val="left"/>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47FFBB39" w14:textId="77777777" w:rsidR="00C13A25" w:rsidRPr="002F7421" w:rsidRDefault="00C13A25" w:rsidP="00C13A25">
            <w:pPr>
              <w:ind w:firstLine="0"/>
              <w:jc w:val="left"/>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69F7E4A5" w14:textId="77777777" w:rsidR="00C13A25" w:rsidRPr="002F7421" w:rsidRDefault="00C13A25" w:rsidP="00C13A25">
            <w:pPr>
              <w:ind w:firstLine="0"/>
              <w:jc w:val="left"/>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360B3323" w14:textId="77777777" w:rsidR="00C13A25" w:rsidRPr="002F7421" w:rsidRDefault="00C13A25" w:rsidP="00C13A25">
            <w:pPr>
              <w:ind w:firstLine="0"/>
              <w:jc w:val="left"/>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5C2208DA" w14:textId="77777777" w:rsidR="00C13A25" w:rsidRPr="002F7421" w:rsidRDefault="00C13A25" w:rsidP="00C13A25">
            <w:pPr>
              <w:ind w:firstLine="0"/>
              <w:jc w:val="left"/>
              <w:rPr>
                <w:rFonts w:ascii="Times New Roman" w:hAnsi="Times New Roman" w:cs="Times New Roman"/>
                <w:bCs/>
                <w:sz w:val="24"/>
                <w:szCs w:val="24"/>
              </w:rPr>
            </w:pPr>
          </w:p>
        </w:tc>
      </w:tr>
      <w:tr w:rsidR="00C13A25" w:rsidRPr="002F7421" w14:paraId="70D3C38A" w14:textId="77777777" w:rsidTr="00C13A25">
        <w:trPr>
          <w:trHeight w:val="239"/>
        </w:trPr>
        <w:tc>
          <w:tcPr>
            <w:tcW w:w="649" w:type="dxa"/>
            <w:tcBorders>
              <w:top w:val="single" w:sz="4" w:space="0" w:color="000000"/>
              <w:left w:val="single" w:sz="4" w:space="0" w:color="000000"/>
              <w:bottom w:val="single" w:sz="4" w:space="0" w:color="000000"/>
              <w:right w:val="single" w:sz="4" w:space="0" w:color="000000"/>
            </w:tcBorders>
          </w:tcPr>
          <w:p w14:paraId="4C3C8CDF"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49F529B1"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5D4D4D9B"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79A71922"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1A7C27C9"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280F1C5E"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66C00D86" w14:textId="77777777" w:rsidR="002F7421" w:rsidRPr="002F7421" w:rsidRDefault="002F7421" w:rsidP="002F7421">
            <w:pPr>
              <w:ind w:firstLine="709"/>
              <w:jc w:val="left"/>
              <w:rPr>
                <w:rFonts w:ascii="Times New Roman" w:hAnsi="Times New Roman" w:cs="Times New Roman"/>
                <w:bCs/>
                <w:sz w:val="24"/>
                <w:szCs w:val="24"/>
              </w:rPr>
            </w:pPr>
          </w:p>
        </w:tc>
      </w:tr>
      <w:tr w:rsidR="00C13A25" w:rsidRPr="002F7421" w14:paraId="68740F9B" w14:textId="77777777" w:rsidTr="00C13A25">
        <w:trPr>
          <w:trHeight w:val="234"/>
        </w:trPr>
        <w:tc>
          <w:tcPr>
            <w:tcW w:w="649" w:type="dxa"/>
            <w:tcBorders>
              <w:top w:val="single" w:sz="4" w:space="0" w:color="000000"/>
              <w:left w:val="single" w:sz="4" w:space="0" w:color="000000"/>
              <w:bottom w:val="single" w:sz="4" w:space="0" w:color="000000"/>
              <w:right w:val="single" w:sz="4" w:space="0" w:color="auto"/>
            </w:tcBorders>
          </w:tcPr>
          <w:p w14:paraId="07017AA0"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5EC9F868"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054B9509"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3FA13949"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271F7625"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7D042DFF"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2465978F" w14:textId="77777777" w:rsidR="002F7421" w:rsidRPr="002F7421" w:rsidRDefault="002F7421" w:rsidP="002F7421">
            <w:pPr>
              <w:ind w:firstLine="709"/>
              <w:jc w:val="left"/>
              <w:rPr>
                <w:rFonts w:ascii="Times New Roman" w:hAnsi="Times New Roman" w:cs="Times New Roman"/>
                <w:bCs/>
                <w:sz w:val="24"/>
                <w:szCs w:val="24"/>
              </w:rPr>
            </w:pPr>
          </w:p>
        </w:tc>
      </w:tr>
      <w:tr w:rsidR="00C13A25" w:rsidRPr="002F7421" w14:paraId="36FF1B77" w14:textId="5C2B9914" w:rsidTr="00C13A25">
        <w:trPr>
          <w:trHeight w:val="238"/>
        </w:trPr>
        <w:tc>
          <w:tcPr>
            <w:tcW w:w="649" w:type="dxa"/>
            <w:tcBorders>
              <w:top w:val="single" w:sz="4" w:space="0" w:color="000000"/>
              <w:left w:val="single" w:sz="4" w:space="0" w:color="000000"/>
              <w:bottom w:val="single" w:sz="4" w:space="0" w:color="000000"/>
              <w:right w:val="single" w:sz="4" w:space="0" w:color="auto"/>
            </w:tcBorders>
          </w:tcPr>
          <w:p w14:paraId="47879229" w14:textId="77777777" w:rsidR="00C13A25" w:rsidRPr="002F7421" w:rsidRDefault="00C13A25"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4CAE2651" w14:textId="77777777" w:rsidR="00C13A25" w:rsidRPr="002F7421" w:rsidRDefault="00C13A25"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350F5B8E" w14:textId="77777777" w:rsidR="00C13A25" w:rsidRPr="002F7421" w:rsidRDefault="00C13A25"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0501196F" w14:textId="77777777" w:rsidR="00C13A25" w:rsidRPr="002F7421" w:rsidRDefault="00C13A25"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0804E89C" w14:textId="77777777" w:rsidR="00C13A25" w:rsidRPr="002F7421" w:rsidRDefault="00C13A25"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057A8865" w14:textId="77777777" w:rsidR="00C13A25" w:rsidRPr="002F7421" w:rsidRDefault="00C13A25"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0F9C6FFB" w14:textId="77777777" w:rsidR="00C13A25" w:rsidRPr="002F7421" w:rsidRDefault="00C13A25" w:rsidP="002F7421">
            <w:pPr>
              <w:ind w:firstLine="709"/>
              <w:jc w:val="left"/>
              <w:rPr>
                <w:rFonts w:ascii="Times New Roman" w:hAnsi="Times New Roman" w:cs="Times New Roman"/>
                <w:bCs/>
                <w:sz w:val="24"/>
                <w:szCs w:val="24"/>
              </w:rPr>
            </w:pPr>
          </w:p>
        </w:tc>
      </w:tr>
      <w:tr w:rsidR="00C13A25" w:rsidRPr="002F7421" w14:paraId="14488F06" w14:textId="77777777" w:rsidTr="00C13A25">
        <w:trPr>
          <w:trHeight w:val="236"/>
        </w:trPr>
        <w:tc>
          <w:tcPr>
            <w:tcW w:w="649" w:type="dxa"/>
            <w:tcBorders>
              <w:top w:val="single" w:sz="4" w:space="0" w:color="000000"/>
              <w:left w:val="single" w:sz="4" w:space="0" w:color="000000"/>
              <w:bottom w:val="single" w:sz="4" w:space="0" w:color="000000"/>
              <w:right w:val="single" w:sz="4" w:space="0" w:color="000000"/>
            </w:tcBorders>
          </w:tcPr>
          <w:p w14:paraId="73CD85A2"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2E8C9D26"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63759A09"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31A3464E"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5FCCDB8D"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510F996C"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5E7D9EF9" w14:textId="77777777" w:rsidR="002F7421" w:rsidRPr="002F7421" w:rsidRDefault="002F7421" w:rsidP="002F7421">
            <w:pPr>
              <w:ind w:firstLine="709"/>
              <w:jc w:val="left"/>
              <w:rPr>
                <w:rFonts w:ascii="Times New Roman" w:hAnsi="Times New Roman" w:cs="Times New Roman"/>
                <w:bCs/>
                <w:sz w:val="24"/>
                <w:szCs w:val="24"/>
              </w:rPr>
            </w:pPr>
          </w:p>
        </w:tc>
      </w:tr>
      <w:tr w:rsidR="00C13A25" w:rsidRPr="002F7421" w14:paraId="29AE61BC" w14:textId="77777777" w:rsidTr="00C13A25">
        <w:trPr>
          <w:trHeight w:val="238"/>
        </w:trPr>
        <w:tc>
          <w:tcPr>
            <w:tcW w:w="649" w:type="dxa"/>
            <w:tcBorders>
              <w:top w:val="single" w:sz="4" w:space="0" w:color="000000"/>
              <w:left w:val="single" w:sz="4" w:space="0" w:color="000000"/>
              <w:bottom w:val="single" w:sz="4" w:space="0" w:color="000000"/>
              <w:right w:val="single" w:sz="4" w:space="0" w:color="000000"/>
            </w:tcBorders>
          </w:tcPr>
          <w:p w14:paraId="3EA3A77B"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275CEC68"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32E619A3"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40726379"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7F5EE9F3"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77421D0A"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3E60FBF3" w14:textId="77777777" w:rsidR="002F7421" w:rsidRPr="002F7421" w:rsidRDefault="002F7421" w:rsidP="002F7421">
            <w:pPr>
              <w:ind w:firstLine="709"/>
              <w:jc w:val="left"/>
              <w:rPr>
                <w:rFonts w:ascii="Times New Roman" w:hAnsi="Times New Roman" w:cs="Times New Roman"/>
                <w:bCs/>
                <w:sz w:val="24"/>
                <w:szCs w:val="24"/>
              </w:rPr>
            </w:pPr>
          </w:p>
        </w:tc>
      </w:tr>
      <w:tr w:rsidR="00C13A25" w:rsidRPr="002F7421" w14:paraId="69203931" w14:textId="77777777" w:rsidTr="00C13A25">
        <w:trPr>
          <w:trHeight w:val="238"/>
        </w:trPr>
        <w:tc>
          <w:tcPr>
            <w:tcW w:w="649" w:type="dxa"/>
            <w:tcBorders>
              <w:top w:val="single" w:sz="4" w:space="0" w:color="000000"/>
              <w:left w:val="single" w:sz="4" w:space="0" w:color="000000"/>
              <w:bottom w:val="single" w:sz="4" w:space="0" w:color="000000"/>
              <w:right w:val="single" w:sz="4" w:space="0" w:color="000000"/>
            </w:tcBorders>
          </w:tcPr>
          <w:p w14:paraId="21E83593"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645C1ECB"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3D163C25"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190E2E96"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501DED7C"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272C8258"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71912AB4" w14:textId="77777777" w:rsidR="002F7421" w:rsidRPr="002F7421" w:rsidRDefault="002F7421" w:rsidP="002F7421">
            <w:pPr>
              <w:ind w:firstLine="709"/>
              <w:jc w:val="left"/>
              <w:rPr>
                <w:rFonts w:ascii="Times New Roman" w:hAnsi="Times New Roman" w:cs="Times New Roman"/>
                <w:bCs/>
                <w:sz w:val="24"/>
                <w:szCs w:val="24"/>
              </w:rPr>
            </w:pPr>
          </w:p>
        </w:tc>
      </w:tr>
    </w:tbl>
    <w:p w14:paraId="143F0C1B" w14:textId="77777777" w:rsidR="002F7421" w:rsidRPr="002F7421" w:rsidRDefault="002F7421" w:rsidP="002F7421">
      <w:pPr>
        <w:ind w:firstLine="709"/>
        <w:jc w:val="left"/>
        <w:rPr>
          <w:rFonts w:ascii="Times New Roman" w:hAnsi="Times New Roman" w:cs="Times New Roman"/>
          <w:bCs/>
          <w:sz w:val="24"/>
          <w:szCs w:val="24"/>
        </w:rPr>
      </w:pPr>
    </w:p>
    <w:p w14:paraId="51C03296" w14:textId="77777777" w:rsidR="002F7421" w:rsidRPr="002F7421" w:rsidRDefault="002F7421" w:rsidP="002F7421">
      <w:pPr>
        <w:numPr>
          <w:ilvl w:val="0"/>
          <w:numId w:val="5"/>
        </w:numPr>
        <w:ind w:firstLine="709"/>
        <w:jc w:val="left"/>
        <w:rPr>
          <w:rFonts w:ascii="Times New Roman" w:hAnsi="Times New Roman" w:cs="Times New Roman"/>
          <w:bCs/>
          <w:sz w:val="24"/>
          <w:szCs w:val="24"/>
        </w:rPr>
      </w:pPr>
      <w:r w:rsidRPr="002F7421">
        <w:rPr>
          <w:rFonts w:ascii="Times New Roman" w:hAnsi="Times New Roman" w:cs="Times New Roman"/>
          <w:bCs/>
          <w:sz w:val="24"/>
          <w:szCs w:val="24"/>
        </w:rPr>
        <w:t>Nuorodos į elektroninius išteklius.</w:t>
      </w:r>
    </w:p>
    <w:p w14:paraId="556188F8" w14:textId="13EEC7A6" w:rsidR="002F7421" w:rsidRPr="002F7421" w:rsidRDefault="002F7421" w:rsidP="002F7421">
      <w:pPr>
        <w:numPr>
          <w:ilvl w:val="0"/>
          <w:numId w:val="5"/>
        </w:numPr>
        <w:ind w:firstLine="709"/>
        <w:jc w:val="left"/>
        <w:rPr>
          <w:rFonts w:ascii="Times New Roman" w:hAnsi="Times New Roman" w:cs="Times New Roman"/>
          <w:bCs/>
          <w:sz w:val="24"/>
          <w:szCs w:val="24"/>
        </w:rPr>
      </w:pPr>
      <w:r w:rsidRPr="002F7421">
        <w:rPr>
          <w:rFonts w:ascii="Times New Roman" w:hAnsi="Times New Roman" w:cs="Times New Roman"/>
          <w:bCs/>
          <w:sz w:val="24"/>
          <w:szCs w:val="24"/>
        </w:rPr>
        <w:t>Pried</w:t>
      </w:r>
      <w:r w:rsidRPr="002F7421">
        <w:rPr>
          <w:rFonts w:ascii="Times New Roman" w:hAnsi="Times New Roman" w:cs="Times New Roman"/>
          <w:sz w:val="24"/>
          <w:szCs w:val="24"/>
        </w:rPr>
        <w:t>as (-ai).</w:t>
      </w:r>
    </w:p>
    <w:p w14:paraId="47324AC4" w14:textId="77777777" w:rsidR="00DA6CFD" w:rsidRDefault="00DA6CFD"/>
    <w:sectPr w:rsidR="00DA6CFD" w:rsidSect="0014207D">
      <w:footerReference w:type="default" r:id="rId10"/>
      <w:pgSz w:w="11907" w:h="16840" w:code="9"/>
      <w:pgMar w:top="1701" w:right="567" w:bottom="1701"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00A4C" w14:textId="77777777" w:rsidR="000D0496" w:rsidRDefault="000D0496" w:rsidP="002F7421">
      <w:pPr>
        <w:spacing w:line="240" w:lineRule="auto"/>
      </w:pPr>
      <w:r>
        <w:separator/>
      </w:r>
    </w:p>
  </w:endnote>
  <w:endnote w:type="continuationSeparator" w:id="0">
    <w:p w14:paraId="5090933E" w14:textId="77777777" w:rsidR="000D0496" w:rsidRDefault="000D0496" w:rsidP="002F7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859530"/>
      <w:docPartObj>
        <w:docPartGallery w:val="Page Numbers (Bottom of Page)"/>
        <w:docPartUnique/>
      </w:docPartObj>
    </w:sdtPr>
    <w:sdtEndPr>
      <w:rPr>
        <w:noProof/>
      </w:rPr>
    </w:sdtEndPr>
    <w:sdtContent>
      <w:p w14:paraId="1B212031" w14:textId="57AB434D" w:rsidR="00C13A25" w:rsidRDefault="00C13A25">
        <w:pPr>
          <w:pStyle w:val="Porat"/>
          <w:jc w:val="center"/>
        </w:pPr>
        <w:r>
          <w:fldChar w:fldCharType="begin"/>
        </w:r>
        <w:r>
          <w:instrText xml:space="preserve"> PAGE   \* MERGEFORMAT </w:instrText>
        </w:r>
        <w:r>
          <w:fldChar w:fldCharType="separate"/>
        </w:r>
        <w:r w:rsidR="00E04375">
          <w:rPr>
            <w:noProof/>
          </w:rPr>
          <w:t>4</w:t>
        </w:r>
        <w:r>
          <w:rPr>
            <w:noProof/>
          </w:rPr>
          <w:fldChar w:fldCharType="end"/>
        </w:r>
      </w:p>
    </w:sdtContent>
  </w:sdt>
  <w:p w14:paraId="636AC89C" w14:textId="77777777" w:rsidR="00C13A25" w:rsidRDefault="00C13A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495660"/>
      <w:docPartObj>
        <w:docPartGallery w:val="Page Numbers (Bottom of Page)"/>
        <w:docPartUnique/>
      </w:docPartObj>
    </w:sdtPr>
    <w:sdtEndPr>
      <w:rPr>
        <w:noProof/>
      </w:rPr>
    </w:sdtEndPr>
    <w:sdtContent>
      <w:p w14:paraId="153BBA50" w14:textId="4CC417B4" w:rsidR="00C13A25" w:rsidRDefault="00C13A25">
        <w:pPr>
          <w:pStyle w:val="Porat"/>
          <w:jc w:val="center"/>
        </w:pPr>
        <w:r>
          <w:fldChar w:fldCharType="begin"/>
        </w:r>
        <w:r>
          <w:instrText xml:space="preserve"> PAGE   \* MERGEFORMAT </w:instrText>
        </w:r>
        <w:r>
          <w:fldChar w:fldCharType="separate"/>
        </w:r>
        <w:r>
          <w:rPr>
            <w:noProof/>
          </w:rPr>
          <w:t>1</w:t>
        </w:r>
        <w:r>
          <w:rPr>
            <w:noProof/>
          </w:rPr>
          <w:fldChar w:fldCharType="end"/>
        </w:r>
      </w:p>
    </w:sdtContent>
  </w:sdt>
  <w:p w14:paraId="406C4910" w14:textId="77777777" w:rsidR="00C13A25" w:rsidRDefault="00C13A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8461756"/>
      <w:docPartObj>
        <w:docPartGallery w:val="Page Numbers (Bottom of Page)"/>
        <w:docPartUnique/>
      </w:docPartObj>
    </w:sdtPr>
    <w:sdtEndPr>
      <w:rPr>
        <w:noProof/>
      </w:rPr>
    </w:sdtEndPr>
    <w:sdtContent>
      <w:p w14:paraId="6676E9F6" w14:textId="460AD176" w:rsidR="0014207D" w:rsidRDefault="0014207D">
        <w:pPr>
          <w:pStyle w:val="Porat"/>
          <w:jc w:val="center"/>
        </w:pPr>
        <w:r>
          <w:fldChar w:fldCharType="begin"/>
        </w:r>
        <w:r>
          <w:instrText xml:space="preserve"> PAGE   \* MERGEFORMAT </w:instrText>
        </w:r>
        <w:r>
          <w:fldChar w:fldCharType="separate"/>
        </w:r>
        <w:r w:rsidR="00E04375">
          <w:rPr>
            <w:noProof/>
          </w:rPr>
          <w:t>1</w:t>
        </w:r>
        <w:r>
          <w:rPr>
            <w:noProof/>
          </w:rPr>
          <w:fldChar w:fldCharType="end"/>
        </w:r>
      </w:p>
    </w:sdtContent>
  </w:sdt>
  <w:p w14:paraId="7AFA73CE" w14:textId="77777777" w:rsidR="0014207D" w:rsidRDefault="001420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5FC9F" w14:textId="77777777" w:rsidR="000D0496" w:rsidRDefault="000D0496" w:rsidP="002F7421">
      <w:pPr>
        <w:spacing w:line="240" w:lineRule="auto"/>
      </w:pPr>
      <w:r>
        <w:separator/>
      </w:r>
    </w:p>
  </w:footnote>
  <w:footnote w:type="continuationSeparator" w:id="0">
    <w:p w14:paraId="5E52EE7A" w14:textId="77777777" w:rsidR="000D0496" w:rsidRDefault="000D0496" w:rsidP="002F7421">
      <w:pPr>
        <w:spacing w:line="240" w:lineRule="auto"/>
      </w:pPr>
      <w:r>
        <w:continuationSeparator/>
      </w:r>
    </w:p>
  </w:footnote>
  <w:footnote w:id="1">
    <w:p w14:paraId="19D08230" w14:textId="77777777" w:rsidR="002F7421" w:rsidRPr="00E04375" w:rsidRDefault="002F7421" w:rsidP="002F7421">
      <w:pPr>
        <w:spacing w:line="240" w:lineRule="auto"/>
        <w:ind w:right="-284" w:firstLine="142"/>
        <w:textAlignment w:val="baseline"/>
        <w:rPr>
          <w:rFonts w:ascii="Times New Roman" w:hAnsi="Times New Roman" w:cs="Times New Roman"/>
          <w:sz w:val="20"/>
          <w:szCs w:val="20"/>
          <w:lang w:eastAsia="lt-LT"/>
        </w:rPr>
      </w:pPr>
      <w:bookmarkStart w:id="0" w:name="_Hlk172746858"/>
      <w:r>
        <w:rPr>
          <w:rStyle w:val="Puslapioinaosnuoroda"/>
        </w:rPr>
        <w:footnoteRef/>
      </w:r>
      <w:r>
        <w:t xml:space="preserve"> </w:t>
      </w:r>
      <w:r w:rsidRPr="00E04375">
        <w:rPr>
          <w:rFonts w:ascii="Times New Roman" w:eastAsia="Cumberland" w:hAnsi="Times New Roman" w:cs="Times New Roman"/>
          <w:color w:val="000000"/>
          <w:sz w:val="20"/>
          <w:szCs w:val="20"/>
          <w:lang w:eastAsia="lt-LT"/>
        </w:rPr>
        <w:t>Popierius ir jo gaminiai:</w:t>
      </w:r>
    </w:p>
    <w:p w14:paraId="6F1F3B15" w14:textId="77777777" w:rsidR="002F7421" w:rsidRPr="00E04375" w:rsidRDefault="002F7421" w:rsidP="002F7421">
      <w:pPr>
        <w:spacing w:line="240" w:lineRule="auto"/>
        <w:ind w:right="-284" w:firstLine="142"/>
        <w:textAlignment w:val="baseline"/>
        <w:rPr>
          <w:rFonts w:ascii="Times New Roman" w:eastAsia="Cumberland" w:hAnsi="Times New Roman" w:cs="Times New Roman"/>
          <w:color w:val="000000"/>
          <w:sz w:val="20"/>
          <w:szCs w:val="20"/>
          <w:lang w:eastAsia="lt-LT"/>
        </w:rPr>
      </w:pPr>
      <w:r w:rsidRPr="00E04375">
        <w:rPr>
          <w:rFonts w:ascii="Times New Roman" w:eastAsia="Cumberland" w:hAnsi="Times New Roman" w:cs="Times New Roman"/>
          <w:color w:val="000000"/>
          <w:sz w:val="20"/>
          <w:szCs w:val="20"/>
          <w:lang w:eastAsia="lt-LT"/>
        </w:rPr>
        <w:t xml:space="preserve">1.1. gaminys turi būti pagamintas iš 100 proc. perdirbto popieriaus (naudoto popieriaus ir (ar) gamybos atliekų) plaušų arba </w:t>
      </w:r>
      <w:r w:rsidRPr="00E04375">
        <w:rPr>
          <w:rFonts w:ascii="Times New Roman" w:hAnsi="Times New Roman" w:cs="Times New Roman"/>
          <w:sz w:val="20"/>
          <w:szCs w:val="20"/>
          <w:lang w:eastAsia="lt-LT"/>
        </w:rPr>
        <w:t xml:space="preserve">ne mažiau kaip 30 proc. pirminės medienos plaušų, gautų iš miškų, sertifikuotų naudojant </w:t>
      </w:r>
      <w:r w:rsidRPr="00E04375">
        <w:rPr>
          <w:rFonts w:ascii="Times New Roman" w:hAnsi="Times New Roman" w:cs="Times New Roman"/>
          <w:i/>
          <w:iCs/>
          <w:color w:val="000000"/>
          <w:sz w:val="20"/>
          <w:szCs w:val="20"/>
          <w:lang w:eastAsia="lt-LT"/>
        </w:rPr>
        <w:t>Forest Stewardship Council</w:t>
      </w:r>
      <w:r w:rsidRPr="00E04375">
        <w:rPr>
          <w:rFonts w:ascii="Times New Roman" w:hAnsi="Times New Roman" w:cs="Times New Roman"/>
          <w:color w:val="000000"/>
          <w:sz w:val="20"/>
          <w:szCs w:val="20"/>
          <w:lang w:eastAsia="lt-LT"/>
        </w:rPr>
        <w:t xml:space="preserve"> (toliau – FSC)</w:t>
      </w:r>
      <w:r w:rsidRPr="00E04375">
        <w:rPr>
          <w:rFonts w:ascii="Times New Roman" w:hAnsi="Times New Roman" w:cs="Times New Roman"/>
          <w:sz w:val="20"/>
          <w:szCs w:val="20"/>
          <w:lang w:eastAsia="lt-LT"/>
        </w:rPr>
        <w:t xml:space="preserve"> ar </w:t>
      </w:r>
      <w:r w:rsidRPr="00E04375">
        <w:rPr>
          <w:rFonts w:ascii="Times New Roman" w:hAnsi="Times New Roman" w:cs="Times New Roman"/>
          <w:color w:val="000000"/>
          <w:sz w:val="20"/>
          <w:szCs w:val="20"/>
          <w:lang w:eastAsia="lt-LT"/>
        </w:rPr>
        <w:t xml:space="preserve">Miškų sertifikavimo sistemų pripažinimo programą (angl. </w:t>
      </w:r>
      <w:r w:rsidRPr="00E04375">
        <w:rPr>
          <w:rFonts w:ascii="Times New Roman" w:hAnsi="Times New Roman" w:cs="Times New Roman"/>
          <w:i/>
          <w:iCs/>
          <w:color w:val="000000"/>
          <w:sz w:val="20"/>
          <w:szCs w:val="20"/>
          <w:lang w:eastAsia="lt-LT"/>
        </w:rPr>
        <w:t>Programme for the Endorsement of Forest Certification schemes</w:t>
      </w:r>
      <w:r w:rsidRPr="00E04375">
        <w:rPr>
          <w:rFonts w:ascii="Times New Roman" w:hAnsi="Times New Roman" w:cs="Times New Roman"/>
          <w:color w:val="000000"/>
          <w:sz w:val="20"/>
          <w:szCs w:val="20"/>
          <w:lang w:eastAsia="lt-LT"/>
        </w:rPr>
        <w:t xml:space="preserve"> (toliau – PEFC)</w:t>
      </w:r>
      <w:r w:rsidRPr="00E04375">
        <w:rPr>
          <w:rFonts w:ascii="Times New Roman" w:hAnsi="Times New Roman" w:cs="Times New Roman"/>
          <w:sz w:val="20"/>
          <w:szCs w:val="20"/>
          <w:lang w:eastAsia="lt-LT"/>
        </w:rPr>
        <w:t xml:space="preserve"> arba lygiavertes miškų sertifikavimo sistemas, kita dalis – iš perdirbto popieriaus plaušų</w:t>
      </w:r>
      <w:r w:rsidRPr="00E04375">
        <w:rPr>
          <w:rFonts w:ascii="Times New Roman" w:eastAsia="Cumberland" w:hAnsi="Times New Roman" w:cs="Times New Roman"/>
          <w:color w:val="000000"/>
          <w:sz w:val="20"/>
          <w:szCs w:val="20"/>
          <w:lang w:eastAsia="lt-LT"/>
        </w:rPr>
        <w:t>;</w:t>
      </w:r>
    </w:p>
    <w:p w14:paraId="1C2A980E" w14:textId="77777777" w:rsidR="002F7421" w:rsidRPr="00E04375" w:rsidRDefault="002F7421" w:rsidP="002F7421">
      <w:pPr>
        <w:spacing w:line="240" w:lineRule="auto"/>
        <w:ind w:right="-284" w:firstLine="142"/>
        <w:textAlignment w:val="baseline"/>
        <w:rPr>
          <w:rFonts w:ascii="Times New Roman" w:hAnsi="Times New Roman" w:cs="Times New Roman"/>
        </w:rPr>
      </w:pPr>
      <w:r w:rsidRPr="00E04375">
        <w:rPr>
          <w:rFonts w:ascii="Times New Roman" w:hAnsi="Times New Roman" w:cs="Times New Roman"/>
          <w:color w:val="000000"/>
          <w:sz w:val="20"/>
          <w:szCs w:val="20"/>
          <w:shd w:val="clear" w:color="auto" w:fill="FFFFFF"/>
          <w:lang w:eastAsia="lt-LT"/>
        </w:rPr>
        <w:t>1.2. gaminys turi būti nebalintas arba balintas nenaudojant chloro dujų.</w:t>
      </w:r>
      <w:bookmarkEnd w:id="0"/>
    </w:p>
  </w:footnote>
  <w:footnote w:id="2">
    <w:p w14:paraId="29181BA4" w14:textId="77777777" w:rsidR="002F7421" w:rsidRPr="00E04375" w:rsidRDefault="002F7421" w:rsidP="002F7421">
      <w:pPr>
        <w:pStyle w:val="Puslapioinaostekstas"/>
        <w:rPr>
          <w:rFonts w:ascii="Times New Roman" w:hAnsi="Times New Roman" w:cs="Times New Roman"/>
          <w:lang w:val="en-US"/>
        </w:rPr>
      </w:pPr>
      <w:r w:rsidRPr="00E04375">
        <w:rPr>
          <w:rStyle w:val="Puslapioinaosnuoroda"/>
          <w:rFonts w:ascii="Times New Roman" w:hAnsi="Times New Roman" w:cs="Times New Roman"/>
        </w:rPr>
        <w:footnoteRef/>
      </w:r>
      <w:r w:rsidRPr="00E04375">
        <w:rPr>
          <w:rFonts w:ascii="Times New Roman" w:hAnsi="Times New Roman" w:cs="Times New Roman"/>
        </w:rPr>
        <w:t xml:space="preserve"> </w:t>
      </w:r>
      <w:r w:rsidRPr="00E04375">
        <w:rPr>
          <w:rFonts w:ascii="Times New Roman" w:hAnsi="Times New Roman" w:cs="Times New Roman"/>
          <w:bCs/>
          <w:lang w:eastAsia="lt-LT"/>
        </w:rPr>
        <w:t>Prekei pagaminti ir (ar) tiekti, paslaugai teikti ar darbams atlikti sunaudojama mažiau gamtos išteklių ir (ar) sudėtyje yra pakartotinai panaudotų ir (ar) perdirbtų medžiagų.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8DB"/>
    <w:multiLevelType w:val="multilevel"/>
    <w:tmpl w:val="FE8C0D84"/>
    <w:lvl w:ilvl="0">
      <w:start w:val="1"/>
      <w:numFmt w:val="decimal"/>
      <w:lvlText w:val="%1."/>
      <w:lvlJc w:val="left"/>
      <w:pPr>
        <w:ind w:left="360" w:hanging="360"/>
      </w:pPr>
      <w:rPr>
        <w:b/>
        <w:bCs/>
      </w:rPr>
    </w:lvl>
    <w:lvl w:ilvl="1">
      <w:start w:val="1"/>
      <w:numFmt w:val="decimal"/>
      <w:lvlText w:val="%1.%2."/>
      <w:lvlJc w:val="left"/>
      <w:pPr>
        <w:ind w:left="156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3C02FB"/>
    <w:multiLevelType w:val="hybridMultilevel"/>
    <w:tmpl w:val="D200E6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47779F1"/>
    <w:multiLevelType w:val="hybridMultilevel"/>
    <w:tmpl w:val="2C3A06AC"/>
    <w:lvl w:ilvl="0" w:tplc="B8AAE552">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A0B4283"/>
    <w:multiLevelType w:val="hybridMultilevel"/>
    <w:tmpl w:val="B824CC48"/>
    <w:lvl w:ilvl="0" w:tplc="0DA820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B404FB"/>
    <w:multiLevelType w:val="hybridMultilevel"/>
    <w:tmpl w:val="5BA4386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9EC3698"/>
    <w:multiLevelType w:val="hybridMultilevel"/>
    <w:tmpl w:val="A300B3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9421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602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5168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675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4038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3248700">
    <w:abstractNumId w:val="4"/>
  </w:num>
  <w:num w:numId="7" w16cid:durableId="202231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51"/>
    <w:rsid w:val="000D0496"/>
    <w:rsid w:val="0014207D"/>
    <w:rsid w:val="001B0C83"/>
    <w:rsid w:val="002B4FD5"/>
    <w:rsid w:val="002C2370"/>
    <w:rsid w:val="002F7421"/>
    <w:rsid w:val="00327829"/>
    <w:rsid w:val="00397276"/>
    <w:rsid w:val="004E6D2F"/>
    <w:rsid w:val="004F5EC2"/>
    <w:rsid w:val="006466AD"/>
    <w:rsid w:val="006A7851"/>
    <w:rsid w:val="006F01F2"/>
    <w:rsid w:val="006F7C5D"/>
    <w:rsid w:val="007C6152"/>
    <w:rsid w:val="007D029A"/>
    <w:rsid w:val="0098448E"/>
    <w:rsid w:val="00AA2B56"/>
    <w:rsid w:val="00AF196E"/>
    <w:rsid w:val="00C13A25"/>
    <w:rsid w:val="00DA6CFD"/>
    <w:rsid w:val="00DB3202"/>
    <w:rsid w:val="00DB712F"/>
    <w:rsid w:val="00E04375"/>
    <w:rsid w:val="00E93842"/>
    <w:rsid w:val="00EE7E5E"/>
    <w:rsid w:val="00FC3D71"/>
    <w:rsid w:val="00FE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90AE"/>
  <w15:chartTrackingRefBased/>
  <w15:docId w15:val="{7B49F27C-6A23-4050-8B33-A9C31D09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76" w:lineRule="auto"/>
        <w:ind w:firstLine="7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7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7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78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78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78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785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785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785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785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78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78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78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78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78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78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78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78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78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7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78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7851"/>
    <w:pPr>
      <w:numPr>
        <w:ilvl w:val="1"/>
      </w:numPr>
      <w:spacing w:after="160"/>
      <w:ind w:firstLine="73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78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785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A7851"/>
    <w:rPr>
      <w:i/>
      <w:iCs/>
      <w:color w:val="404040" w:themeColor="text1" w:themeTint="BF"/>
    </w:rPr>
  </w:style>
  <w:style w:type="paragraph" w:styleId="Sraopastraipa">
    <w:name w:val="List Paragraph"/>
    <w:basedOn w:val="prastasis"/>
    <w:uiPriority w:val="34"/>
    <w:qFormat/>
    <w:rsid w:val="006A7851"/>
    <w:pPr>
      <w:ind w:left="720"/>
      <w:contextualSpacing/>
    </w:pPr>
  </w:style>
  <w:style w:type="character" w:styleId="Rykuspabraukimas">
    <w:name w:val="Intense Emphasis"/>
    <w:basedOn w:val="Numatytasispastraiposriftas"/>
    <w:uiPriority w:val="21"/>
    <w:qFormat/>
    <w:rsid w:val="006A7851"/>
    <w:rPr>
      <w:i/>
      <w:iCs/>
      <w:color w:val="0F4761" w:themeColor="accent1" w:themeShade="BF"/>
    </w:rPr>
  </w:style>
  <w:style w:type="paragraph" w:styleId="Iskirtacitata">
    <w:name w:val="Intense Quote"/>
    <w:basedOn w:val="prastasis"/>
    <w:next w:val="prastasis"/>
    <w:link w:val="IskirtacitataDiagrama"/>
    <w:uiPriority w:val="30"/>
    <w:qFormat/>
    <w:rsid w:val="006A7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7851"/>
    <w:rPr>
      <w:i/>
      <w:iCs/>
      <w:color w:val="0F4761" w:themeColor="accent1" w:themeShade="BF"/>
    </w:rPr>
  </w:style>
  <w:style w:type="character" w:styleId="Rykinuoroda">
    <w:name w:val="Intense Reference"/>
    <w:basedOn w:val="Numatytasispastraiposriftas"/>
    <w:uiPriority w:val="32"/>
    <w:qFormat/>
    <w:rsid w:val="006A785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2F7421"/>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F7421"/>
    <w:rPr>
      <w:sz w:val="20"/>
      <w:szCs w:val="20"/>
    </w:rPr>
  </w:style>
  <w:style w:type="table" w:styleId="Lentelstinklelis">
    <w:name w:val="Table Grid"/>
    <w:basedOn w:val="prastojilentel"/>
    <w:uiPriority w:val="39"/>
    <w:rsid w:val="002F74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semiHidden/>
    <w:unhideWhenUsed/>
    <w:rsid w:val="002F7421"/>
    <w:rPr>
      <w:vertAlign w:val="superscript"/>
    </w:rPr>
  </w:style>
  <w:style w:type="character" w:styleId="Hipersaitas">
    <w:name w:val="Hyperlink"/>
    <w:basedOn w:val="Numatytasispastraiposriftas"/>
    <w:uiPriority w:val="99"/>
    <w:unhideWhenUsed/>
    <w:rsid w:val="002F7421"/>
    <w:rPr>
      <w:color w:val="467886" w:themeColor="hyperlink"/>
      <w:u w:val="single"/>
    </w:rPr>
  </w:style>
  <w:style w:type="character" w:customStyle="1" w:styleId="Neapdorotaspaminjimas1">
    <w:name w:val="Neapdorotas paminėjimas1"/>
    <w:basedOn w:val="Numatytasispastraiposriftas"/>
    <w:uiPriority w:val="99"/>
    <w:semiHidden/>
    <w:unhideWhenUsed/>
    <w:rsid w:val="002F7421"/>
    <w:rPr>
      <w:color w:val="605E5C"/>
      <w:shd w:val="clear" w:color="auto" w:fill="E1DFDD"/>
    </w:rPr>
  </w:style>
  <w:style w:type="paragraph" w:styleId="Antrats">
    <w:name w:val="header"/>
    <w:basedOn w:val="prastasis"/>
    <w:link w:val="AntratsDiagrama"/>
    <w:uiPriority w:val="99"/>
    <w:unhideWhenUsed/>
    <w:rsid w:val="00C13A2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13A25"/>
  </w:style>
  <w:style w:type="paragraph" w:styleId="Porat">
    <w:name w:val="footer"/>
    <w:basedOn w:val="prastasis"/>
    <w:link w:val="PoratDiagrama"/>
    <w:uiPriority w:val="99"/>
    <w:unhideWhenUsed/>
    <w:rsid w:val="00C13A25"/>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1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208142">
      <w:bodyDiv w:val="1"/>
      <w:marLeft w:val="0"/>
      <w:marRight w:val="0"/>
      <w:marTop w:val="0"/>
      <w:marBottom w:val="0"/>
      <w:divBdr>
        <w:top w:val="none" w:sz="0" w:space="0" w:color="auto"/>
        <w:left w:val="none" w:sz="0" w:space="0" w:color="auto"/>
        <w:bottom w:val="none" w:sz="0" w:space="0" w:color="auto"/>
        <w:right w:val="none" w:sz="0" w:space="0" w:color="auto"/>
      </w:divBdr>
    </w:div>
    <w:div w:id="13857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c-word-edit.officeapps.live.com/we/wordeditorframe.aspx?ui=en%2DUS&amp;rs=lt%2DLT&amp;wopisrc=https%3A%2F%2Fvkekk-my.sharepoint.com%2Fpersonal%2Faistija_vaisnoriene_vert_lt%2F_vti_bin%2Fwopi.ashx%2Ffiles%2F6cf7f3da446d4c0e960646e0b7b5fcb1&amp;wdlor=c11385AD9%2DC964%2D4232%2D925E%2DCB30C5C072A4&amp;wdenableroaming=1&amp;mscc=0&amp;wdodb=1&amp;hid=375098A0-703A-6000-48E2-BAFFC8022419&amp;wdorigin=Outlook-Body&amp;wdhostclicktime=1676963911716&amp;jsapi=1&amp;jsapiver=v1&amp;newsession=1&amp;corrid=0be9f5e6-f395-4084-a1b8-b21391b2efa6&amp;usid=0be9f5e6-f395-4084-a1b8-b21391b2efa6&amp;sftc=1&amp;cac=1&amp;mtf=1&amp;sfp=1&amp;instantedit=1&amp;wopicomplete=1&amp;wdredirectionreason=Unified_SingleFlush&amp;rct=Normal&amp;ctp=LeastProtec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7942</Words>
  <Characters>4528</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Abraskeviciene</dc:creator>
  <cp:lastModifiedBy>Žydrė Jucevičienė</cp:lastModifiedBy>
  <cp:revision>2</cp:revision>
  <dcterms:created xsi:type="dcterms:W3CDTF">2024-09-12T13:57:00Z</dcterms:created>
  <dcterms:modified xsi:type="dcterms:W3CDTF">2024-09-12T13:57:00Z</dcterms:modified>
</cp:coreProperties>
</file>