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20" w:after="120"/>
        <w:jc w:val="center"/>
        <w:rPr>
          <w:rFonts w:cs="" w:cstheme="majorBidi"/>
          <w:b/>
          <w:caps/>
          <w:sz w:val="20"/>
        </w:rPr>
      </w:pPr>
      <w:r>
        <w:rPr>
          <w:rFonts w:cs="" w:cstheme="majorBidi"/>
          <w:b/>
          <w:caps/>
          <w:sz w:val="20"/>
        </w:rPr>
        <w:t>PASLAUGŲ pirkimo-pardavimo sutartis</w:t>
      </w:r>
    </w:p>
    <w:p>
      <w:pPr>
        <w:pStyle w:val="Normal"/>
        <w:spacing w:lineRule="auto" w:line="276" w:before="120" w:after="120"/>
        <w:jc w:val="center"/>
        <w:rPr>
          <w:rFonts w:cs="" w:asciiTheme="majorBidi" w:cstheme="majorBidi" w:hAnsiTheme="majorBidi"/>
          <w:b/>
          <w:caps/>
          <w:sz w:val="20"/>
        </w:rPr>
      </w:pPr>
      <w:r>
        <w:rPr>
          <w:rFonts w:cs="" w:cstheme="majorBidi"/>
          <w:b/>
          <w:caps/>
          <w:sz w:val="20"/>
        </w:rPr>
        <w:t>2024 m.  rugsėjo mėn. 10 d. Nr. MS-2024/28</w:t>
      </w:r>
    </w:p>
    <w:p>
      <w:pPr>
        <w:pStyle w:val="Normal"/>
        <w:spacing w:lineRule="auto" w:line="276" w:before="120" w:after="120"/>
        <w:jc w:val="center"/>
        <w:rPr>
          <w:rFonts w:cs="" w:asciiTheme="majorBidi" w:cstheme="majorBidi" w:hAnsiTheme="majorBidi"/>
          <w:sz w:val="20"/>
        </w:rPr>
      </w:pPr>
      <w:r>
        <w:rPr>
          <w:rFonts w:cs="" w:cstheme="majorBidi"/>
          <w:b/>
          <w:caps/>
          <w:sz w:val="20"/>
        </w:rPr>
        <w:t>Bendrosios sąlygos</w:t>
      </w:r>
    </w:p>
    <w:p>
      <w:pPr>
        <w:pStyle w:val="Normal"/>
        <w:spacing w:lineRule="auto" w:line="276" w:before="120" w:after="120"/>
        <w:rPr>
          <w:rFonts w:cs="" w:asciiTheme="majorBidi" w:cstheme="majorBidi" w:hAnsiTheme="majorBidi"/>
          <w:sz w:val="20"/>
        </w:rPr>
      </w:pPr>
      <w:r>
        <w:rPr>
          <w:rFonts w:cs="" w:asciiTheme="majorBidi" w:cstheme="majorBidi" w:hAnsiTheme="majorBidi"/>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SĄVOKOS</w:t>
      </w:r>
    </w:p>
    <w:p>
      <w:pPr>
        <w:pStyle w:val="ListParagraph"/>
        <w:numPr>
          <w:ilvl w:val="1"/>
          <w:numId w:val="2"/>
        </w:numPr>
        <w:tabs>
          <w:tab w:val="clear" w:pos="1296"/>
          <w:tab w:val="left" w:pos="709" w:leader="none"/>
        </w:tabs>
        <w:spacing w:lineRule="auto" w:line="276" w:before="120" w:after="0"/>
        <w:ind w:hanging="0" w:left="0"/>
        <w:contextualSpacing w:val="false"/>
        <w:rPr>
          <w:rFonts w:cs="" w:asciiTheme="majorBidi" w:cstheme="majorBidi" w:hAnsiTheme="majorBidi"/>
          <w:sz w:val="20"/>
        </w:rPr>
      </w:pPr>
      <w:r>
        <w:rPr>
          <w:rFonts w:cs="" w:cstheme="majorBidi"/>
          <w:sz w:val="20"/>
        </w:rPr>
        <w:t>Sutartyje vartojamos sąvokos: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Bendrosios sąlygos</w:t>
      </w:r>
      <w:r>
        <w:rPr>
          <w:rFonts w:eastAsia="Arial" w:cs="" w:cstheme="majorBidi"/>
          <w:sz w:val="20"/>
        </w:rPr>
        <w:t xml:space="preserve"> – Sutarties dalis, kurioje aptariamos bendrosios paslaugų sutarties vykdymo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Unicode MS" w:cs="" w:cstheme="majorBidi"/>
          <w:b/>
          <w:bCs/>
          <w:sz w:val="20"/>
          <w:lang w:eastAsia="lt-LT" w:bidi="lt-LT"/>
        </w:rPr>
        <w:t xml:space="preserve">Pasiūlymas </w:t>
      </w:r>
      <w:r>
        <w:rPr>
          <w:rFonts w:eastAsia="Arial Unicode MS" w:cs="" w:cstheme="majorBidi"/>
          <w:sz w:val="20"/>
          <w:lang w:eastAsia="lt-LT" w:bidi="lt-LT"/>
        </w:rPr>
        <w:t>– vykdant viešojo pirkimo procedūras Tiekėjo pateiktų dokumentų ir duomenų visuma Paslaugoms teikti pagal viešojo pirkimo dokumentuose nustatytas sąlygas;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Paslaugos</w:t>
      </w:r>
      <w:r>
        <w:rPr>
          <w:rFonts w:eastAsia="Arial" w:cs="" w:cstheme="majorBidi"/>
          <w:sz w:val="20"/>
        </w:rPr>
        <w:t xml:space="preserve"> </w:t>
      </w:r>
      <w:r>
        <w:rPr>
          <w:rFonts w:eastAsia="Cambria" w:cs="" w:cstheme="majorBidi"/>
          <w:caps/>
          <w:sz w:val="20"/>
        </w:rPr>
        <w:t>–</w:t>
      </w:r>
      <w:r>
        <w:rPr>
          <w:rFonts w:eastAsia="Cambria" w:cs="" w:cstheme="majorBidi"/>
          <w:b/>
          <w:bCs/>
          <w:caps/>
          <w:sz w:val="20"/>
        </w:rPr>
        <w:t xml:space="preserve"> </w:t>
      </w:r>
      <w:r>
        <w:rPr>
          <w:rFonts w:eastAsia="Cambria" w:cs="" w:cstheme="majorBidi"/>
          <w:sz w:val="20"/>
        </w:rPr>
        <w:t>p</w:t>
      </w:r>
      <w:r>
        <w:rPr>
          <w:rFonts w:eastAsia="Arial Unicode MS" w:cs="" w:cstheme="majorBidi"/>
          <w:sz w:val="20"/>
          <w:lang w:eastAsia="lt-LT" w:bidi="lt-LT"/>
        </w:rPr>
        <w:t>aslaugos apibrėžtos Specialiosiose sąlygose, jos prieduose ir kitos paslaugos, kurias Tiekėjas įsipareigoja teikti Pirkėjui pagal šią Sutartį ir galiojančių teisės aktų reikalavimus;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Paslaugų perdavimo-priėmimo aktas </w:t>
      </w:r>
      <w:r>
        <w:rPr>
          <w:rFonts w:eastAsia="Arial" w:cs="" w:cstheme="majorBidi"/>
          <w:sz w:val="20"/>
        </w:rPr>
        <w:t xml:space="preserve">– </w:t>
      </w:r>
      <w:r>
        <w:rPr>
          <w:rFonts w:eastAsia="Arial Unicode MS" w:cs="" w:cstheme="majorBidi"/>
          <w:sz w:val="20"/>
          <w:lang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 – perdavimo aktas gali </w:t>
      </w:r>
      <w:r>
        <w:rPr>
          <w:rFonts w:eastAsia="Arial" w:cs="" w:cstheme="majorBidi"/>
          <w:sz w:val="20"/>
        </w:rPr>
        <w:t>būti sudaromas dėl kiekvienos dalies atskirai;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Pirkimo dokumentai </w:t>
      </w:r>
      <w:r>
        <w:rPr>
          <w:rFonts w:eastAsia="Arial" w:cs="" w:cstheme="majorBidi"/>
          <w:sz w:val="20"/>
        </w:rPr>
        <w:t xml:space="preserve">– </w:t>
      </w:r>
      <w:r>
        <w:rPr>
          <w:rFonts w:eastAsia="Arial Unicode MS" w:cs="" w:cstheme="majorBidi"/>
          <w:sz w:val="20"/>
          <w:lang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adresu: </w:t>
      </w:r>
      <w:hyperlink r:id="rId2">
        <w:r>
          <w:rPr>
            <w:rStyle w:val="Hyperlink"/>
            <w:rFonts w:eastAsia="Arial Unicode MS" w:cs="" w:cstheme="majorBidi"/>
            <w:color w:themeColor="text1" w:val="000000"/>
            <w:sz w:val="20"/>
            <w:lang w:eastAsia="lt-LT" w:bidi="lt-LT"/>
          </w:rPr>
          <w:t>https://cvpp.eviesiejipirkimai.lt/notice</w:t>
        </w:r>
      </w:hyperlink>
      <w:r>
        <w:rPr>
          <w:rFonts w:eastAsia="Arial Unicode MS" w:cs="" w:cstheme="majorBidi"/>
          <w:sz w:val="20"/>
          <w:lang w:eastAsia="lt-LT" w:bidi="lt-LT"/>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Pradinės sutarties vertė </w:t>
      </w:r>
      <w:r>
        <w:rPr>
          <w:rFonts w:eastAsia="Arial" w:cs="" w:cstheme="majorBidi"/>
          <w:sz w:val="20"/>
        </w:rPr>
        <w:t>– Specialiosiose sąlygose nurodyta</w:t>
      </w:r>
      <w:r>
        <w:rPr>
          <w:rFonts w:eastAsia="Arial" w:cs="" w:cstheme="majorBidi"/>
          <w:b/>
          <w:bCs/>
          <w:sz w:val="20"/>
        </w:rPr>
        <w:t xml:space="preserve"> </w:t>
      </w:r>
      <w:r>
        <w:rPr>
          <w:rFonts w:eastAsia="Arial" w:cs="" w:cstheme="majorBidi"/>
          <w:sz w:val="20"/>
        </w:rPr>
        <w:t>Sutarties vertė (be PVM);</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Sąskaita </w:t>
      </w:r>
      <w:r>
        <w:rPr>
          <w:rFonts w:eastAsia="Arial" w:cs="" w:cstheme="majorBidi"/>
          <w:sz w:val="20"/>
        </w:rPr>
        <w:t>–</w:t>
      </w:r>
      <w:r>
        <w:rPr>
          <w:rFonts w:eastAsia="Arial" w:cs="" w:cstheme="majorBidi"/>
          <w:b/>
          <w:bCs/>
          <w:sz w:val="20"/>
        </w:rPr>
        <w:t xml:space="preserve"> </w:t>
      </w:r>
      <w:r>
        <w:rPr>
          <w:rFonts w:cs="" w:cstheme="majorBidi"/>
          <w:sz w:val="20"/>
        </w:rPr>
        <w:t xml:space="preserve">Tiekėjo išrašoma ir Pirkėjui apmokėjimui pateikiama sąskaita faktūra, PVM sąskaita faktūra ar kitas mokėjimo dokumentas už </w:t>
      </w:r>
      <w:r>
        <w:rPr>
          <w:rFonts w:eastAsia="Arial Unicode MS" w:cs="" w:cstheme="majorBidi"/>
          <w:sz w:val="20"/>
          <w:lang w:eastAsia="lt-LT" w:bidi="lt-LT"/>
        </w:rPr>
        <w:t>tinkamai, kokybiškai ir laiku atliktas ir Tiekėjo perduotas bei Pirkėjo priimtas Paslaugas, ar bet kurias jų dalis, jei tokios dalys nustatomos Sutartyje;</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Fonts w:eastAsia="Arial" w:cs="" w:cstheme="majorBidi"/>
          <w:b/>
          <w:bCs/>
          <w:sz w:val="20"/>
        </w:rPr>
        <w:t>Specialiosios sąlygos</w:t>
      </w:r>
      <w:r>
        <w:rPr>
          <w:rFonts w:eastAsia="Arial" w:cs="" w:cstheme="majorBidi"/>
          <w:sz w:val="20"/>
        </w:rPr>
        <w:t xml:space="preserve"> – </w:t>
      </w:r>
      <w:r>
        <w:rPr>
          <w:rStyle w:val="PagrindinistekstasDiagrama"/>
          <w:rFonts w:cs="" w:cstheme="majorBidi"/>
          <w:sz w:val="20"/>
        </w:rPr>
        <w:t>Sutarties dalis, kurioje aptariamos individualios paslaugų sutarties vykdymo sąlygos: Sutarties objektas, Paslaugų kaina ir/ar įkainiai ar kiti kainodaros būdai, Paslaugų suteikimo terminai bei kitos Sutarties vykdymo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Fonts w:eastAsia="Arial" w:cs="" w:cstheme="majorBidi"/>
          <w:b/>
          <w:bCs/>
          <w:sz w:val="20"/>
        </w:rPr>
        <w:t xml:space="preserve">Susitarimas </w:t>
      </w:r>
      <w:r>
        <w:rPr>
          <w:rFonts w:eastAsia="Arial" w:cs="" w:cstheme="majorBidi"/>
          <w:sz w:val="20"/>
        </w:rPr>
        <w:t>– tai dokumentas, kurį Šalys sudaro keisdamos Sutarties sąlygas VPĮ leidžiama tvarka ir apimtimi;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Sutartis </w:t>
      </w:r>
      <w:r>
        <w:rPr>
          <w:rFonts w:eastAsia="Arial" w:cs="" w:cstheme="majorBidi"/>
          <w:sz w:val="20"/>
        </w:rPr>
        <w:t xml:space="preserve">– </w:t>
      </w:r>
      <w:r>
        <w:rPr>
          <w:rFonts w:eastAsia="Arial Unicode MS" w:cs="" w:cstheme="majorBidi"/>
          <w:sz w:val="20"/>
          <w:lang w:eastAsia="lt-LT" w:bidi="lt-LT"/>
        </w:rPr>
        <w:t>tarp Pirkėjo ir Tiekėjo sudaryta atlygintinų paslaugų sutartis, kurią sudaro Sutarties sąlygos, Specialiųjų sutarties sąlygų priedai ir Susitarimai;</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Sutarties kaina</w:t>
      </w:r>
      <w:r>
        <w:rPr>
          <w:rFonts w:eastAsia="Arial" w:cs="" w:cstheme="majorBidi"/>
          <w:sz w:val="20"/>
        </w:rPr>
        <w:t xml:space="preserve"> – pagal Sutartį Tiekėjui mokėtina galutinė suma, įskaitant visus privalomus mokesčius;</w:t>
      </w:r>
      <w:bookmarkStart w:id="0" w:name="_Hlk157691377"/>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Sutarties sąlygos </w:t>
      </w:r>
      <w:r>
        <w:rPr>
          <w:rFonts w:eastAsia="Arial" w:cs="" w:cstheme="majorBidi"/>
          <w:sz w:val="20"/>
        </w:rPr>
        <w:t>– Bendrosios sąlygos ir Specialiosios sąlygos kartu</w:t>
      </w:r>
      <w:bookmarkStart w:id="1" w:name="_Hlk157691386"/>
      <w:bookmarkEnd w:id="0"/>
      <w:r>
        <w:rPr>
          <w:rFonts w:eastAsia="Arial" w:cs="" w:cstheme="majorBidi"/>
          <w:b/>
          <w:bCs/>
          <w:sz w:val="20"/>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Šalis / (-ys)</w:t>
      </w:r>
      <w:r>
        <w:rPr>
          <w:rFonts w:eastAsia="Arial" w:cs="" w:cstheme="majorBidi"/>
          <w:sz w:val="20"/>
        </w:rPr>
        <w:t xml:space="preserve"> – Pirkėjas arba Tiekėjas (kiekvienas atskirai priklausomai nuo konteksto) arba Pirkėjas ir Tiekėjas kartu</w:t>
      </w:r>
      <w:bookmarkEnd w:id="1"/>
      <w:r>
        <w:rPr>
          <w:rFonts w:eastAsia="Arial" w:cs="" w:cstheme="majorBidi"/>
          <w:sz w:val="20"/>
        </w:rPr>
        <w:t>;</w:t>
      </w:r>
      <w:bookmarkStart w:id="2" w:name="_Hlk157691395"/>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Techninė specifikacija</w:t>
      </w:r>
      <w:r>
        <w:rPr>
          <w:rFonts w:eastAsia="Arial" w:cs="" w:cstheme="majorBidi"/>
          <w:sz w:val="20"/>
        </w:rPr>
        <w:t xml:space="preserve"> – </w:t>
      </w:r>
      <w:r>
        <w:rPr>
          <w:rFonts w:eastAsia="Arial Unicode MS" w:cs="" w:cstheme="majorBidi"/>
          <w:sz w:val="20"/>
          <w:lang w:eastAsia="lt-LT" w:bidi="lt-LT"/>
        </w:rPr>
        <w:t>dokumentas, kuriame nustatyti reikalavimai Paslaugoms</w:t>
      </w:r>
      <w:bookmarkEnd w:id="2"/>
      <w:r>
        <w:rPr>
          <w:rFonts w:eastAsia="Arial Unicode MS" w:cs="" w:cstheme="majorBidi"/>
          <w:sz w:val="20"/>
          <w:lang w:eastAsia="lt-LT" w:bidi="lt-LT"/>
        </w:rPr>
        <w:t>;</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Tiekėjas</w:t>
      </w:r>
      <w:r>
        <w:rPr>
          <w:rFonts w:eastAsia="Arial" w:cs="" w:cstheme="majorBidi"/>
          <w:sz w:val="20"/>
        </w:rPr>
        <w:t xml:space="preserve"> – fizinis arba juridinis asmuo, kuris (-ie) Specialiosiose sąlygose yra įvardytas (-i) kaip Tiekėjas (-ai), </w:t>
      </w:r>
      <w:r>
        <w:rPr>
          <w:rFonts w:cs="" w:cstheme="majorBidi"/>
          <w:sz w:val="20"/>
        </w:rPr>
        <w:t>teikiantis (-ys) Specialiosiose sąlygose nurodytas Paslaugas;</w:t>
      </w:r>
    </w:p>
    <w:p>
      <w:pPr>
        <w:pStyle w:val="ListParagraph"/>
        <w:numPr>
          <w:ilvl w:val="2"/>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b/>
          <w:bCs/>
          <w:sz w:val="20"/>
        </w:rPr>
        <w:t xml:space="preserve">Pirkėjas </w:t>
      </w:r>
      <w:r>
        <w:rPr>
          <w:rStyle w:val="PagrindinistekstasDiagrama"/>
          <w:rFonts w:cs="" w:cstheme="majorBidi"/>
          <w:sz w:val="20"/>
        </w:rPr>
        <w:t>– Specialiosiose Sutarties sąlygose įvardinta šalis, perkanti Specialiosiose sutarties sąlygose nurodytas Paslaugas iš Tiekėjo;</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b/>
          <w:bCs/>
          <w:sz w:val="20"/>
        </w:rPr>
        <w:t xml:space="preserve">VPĮ </w:t>
      </w:r>
      <w:r>
        <w:rPr>
          <w:rFonts w:eastAsia="Arial" w:cs="" w:cstheme="majorBidi"/>
          <w:sz w:val="20"/>
        </w:rPr>
        <w:t>– Lietuvos Respublikos viešųjų pirkimų įstatymas.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 xml:space="preserve">Kitų </w:t>
      </w:r>
      <w:r>
        <w:rPr>
          <w:rFonts w:eastAsia="Arial" w:cs="" w:cstheme="majorBidi"/>
          <w:sz w:val="20"/>
        </w:rPr>
        <w:t>Sutartyje didžiąja raide rašomų sąvokų reikšmės yra nurodytos Sutarties tekste.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Sutartyje neapibrėžtos sąvokos suprantamos ir aiškinamos taip, kaip jas apibrėžia VPĮ ir kiti </w:t>
      </w:r>
      <w:r>
        <w:rPr>
          <w:rFonts w:cs="" w:cstheme="majorBidi"/>
          <w:sz w:val="20"/>
        </w:rPr>
        <w:t>įstatymai bei teisės aktai</w:t>
      </w:r>
      <w:r>
        <w:rPr>
          <w:rFonts w:eastAsia="Arial" w:cs="" w:cstheme="majorBidi"/>
          <w:sz w:val="20"/>
        </w:rPr>
        <w:t>, galiojantys Sutarties sudarymo ir vykdymo metu.</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Kitos Sutartyje vartojamos sąvokos ir terminai turi bendrinę reikšmę arba artimiausią Sutarties pobūdžiui specialiąją reikšmę, jei Sutartyje nėra nustatyta ir paaiškinta kitokia jų reikšmė.</w:t>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AIŠKINIMAS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rPr>
      </w:pPr>
      <w:r>
        <w:rPr>
          <w:rFonts w:eastAsia="Arial" w:cs="" w:cstheme="majorBidi"/>
          <w:sz w:val="20"/>
        </w:rPr>
        <w:t>Sutartis yra sudaryta ir turi būti aiškinama pagal Lietuvos Respublikos teisės aktus.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Jei Bendrosios sąlygos ir (ar) Specialiosios sąlygos prieštarauja VPĮ ir kitų teisės aktų reikalavimams, taikomos VPĮ ir kitų teisės aktų nuostatos. </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Diena Sutartyje reiškia kalendorinę dieną.</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Darbo diena Sutartyje reiškia bet kurią dieną, išskyrus šeštadienį, sekmadienį ir švenčių dienas Lietuvoje, nurodytas Lietuvos Respublikos darbo kodekse.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Terminai pagal Sutartį yra skaičiuojami metais, mėnesiais, savaitėmis, darbo dienomis, kalendorinėmis dienomis ir valandomis.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Kvalifikacija, rėmimasis kitų ūkio subjektų pajėgumais, Paslaugų apimtis, peržiūra suprantami taip, kaip nustatyta VPĮ bei jį įgyvendinančiuose teisės aktuose.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Informuoti, pranešti, įspėti arba atsakyti reiškia pateikti informaciją, pranešimą, įspėjimą arba atsakymą Bendrosiose ir (ar) Specialiosiose sąlygose nustatyta tvarka.</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Patvirtinti reiškia pateikti patvirtinimą raštu arba pasirašyti dokumentą be išlygų ar su išlygomis, išskyrus atvejus, kai asmuo, pasirašydamas dokumentą, nurodo, jog atsisako jį patvirtinti.</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Jeigu Sutartyje nurodyta reikšmė skaičiais ir žodžiais skiriasi, vadovaujamasi žodžiais nurodyta reikšme.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shd w:fill="FFFFFF" w:val="clear"/>
        </w:rPr>
        <w:t>Jei pateikiamos nuorodos į teisės aktus, turi būti taikomos aktualios teisės aktų redakcijos, jeigu nenurodyta kitaip.</w:t>
      </w:r>
    </w:p>
    <w:p>
      <w:pPr>
        <w:pStyle w:val="ListParagraph"/>
        <w:tabs>
          <w:tab w:val="clear" w:pos="1296"/>
          <w:tab w:val="left" w:pos="709" w:leader="none"/>
        </w:tabs>
        <w:spacing w:lineRule="auto" w:line="276" w:before="0" w:after="0"/>
        <w:ind w:left="0"/>
        <w:contextualSpacing w:val="false"/>
        <w:jc w:val="both"/>
        <w:rPr>
          <w:rFonts w:cs="" w:asciiTheme="majorBidi" w:cstheme="majorBidi" w:hAnsiTheme="majorBidi"/>
          <w:sz w:val="20"/>
        </w:rPr>
      </w:pPr>
      <w:r>
        <w:rPr>
          <w:rFonts w:cs="" w:asciiTheme="majorBidi" w:cstheme="majorBidi" w:hAnsiTheme="majorBidi"/>
          <w:sz w:val="20"/>
        </w:rPr>
      </w:r>
    </w:p>
    <w:p>
      <w:pPr>
        <w:pStyle w:val="ListParagraph"/>
        <w:numPr>
          <w:ilvl w:val="0"/>
          <w:numId w:val="2"/>
        </w:numPr>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DOKUMENTŲ VIRŠENYBĖ</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rPr>
      </w:pPr>
      <w:r>
        <w:rPr>
          <w:rFonts w:eastAsia="Cambria" w:cs="" w:cstheme="majorBidi"/>
          <w:sz w:val="20"/>
        </w:rPr>
        <w:t>Sutartį sudarantys dokumentai turi būti suprantami kaip papildantys vienas kitą. Bet kokio Sutartį sudarančių dokumentų sąlygų neatitikimo ar neaiškumo atveju, toks neatitikimas ar neaiškumas pašalinamas dokumentus aiškinant tokia eilės tvarka:</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Techninė specifikacija;</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Specialiosios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Bendrosios sąlygos;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Pirkimo dokumentai (išskyrus techninę specifikaciją);</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Pasiūlymas;</w:t>
      </w:r>
    </w:p>
    <w:p>
      <w:pPr>
        <w:pStyle w:val="ListParagraph"/>
        <w:numPr>
          <w:ilvl w:val="2"/>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Kiti Specialiosiose sąlygose išvardinti priedai.</w:t>
      </w:r>
    </w:p>
    <w:p>
      <w:pPr>
        <w:pStyle w:val="ListParagraph"/>
        <w:numPr>
          <w:ilvl w:val="1"/>
          <w:numId w:val="2"/>
        </w:numPr>
        <w:tabs>
          <w:tab w:val="clear" w:pos="1296"/>
          <w:tab w:val="left" w:pos="709" w:leader="none"/>
        </w:tabs>
        <w:spacing w:lineRule="auto" w:line="276" w:before="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 xml:space="preserve">Tuo atveju, kai Susitarimu yra keičiama Sutarties sąlyga, naujai sutartoji Sutarties sąlyga turi viršenybę virš pakeistosios Sutarties sąlygos. </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Cambria" w:cs="" w:cstheme="majorBidi"/>
          <w:sz w:val="20"/>
        </w:rPr>
        <w:t>Jeigu Šalys susitaria dėl Sutarties sąlygų arba priedo papildymo nauja sąlyga, neatitikimo ar neaiškumo atveju tokia sąlyga turi viršenybę atitinkamai kitų Sutarties sąlygų arba kitų to priedo sąlygų atžvilgiu.</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cs="" w:cstheme="majorBidi"/>
          <w:sz w:val="20"/>
          <w:vertAlign w:val="superscript"/>
        </w:rPr>
        <w:t>1</w:t>
      </w:r>
      <w:r>
        <w:rPr>
          <w:rFonts w:eastAsia="Arial" w:cs="" w:cstheme="majorBidi"/>
          <w:sz w:val="20"/>
        </w:rPr>
        <w:t xml:space="preserve">). </w:t>
      </w:r>
    </w:p>
    <w:p>
      <w:pPr>
        <w:pStyle w:val="ListParagraph"/>
        <w:tabs>
          <w:tab w:val="clear" w:pos="1296"/>
          <w:tab w:val="left" w:pos="709" w:leader="none"/>
        </w:tabs>
        <w:spacing w:lineRule="auto" w:line="276" w:before="0" w:after="0"/>
        <w:ind w:left="0"/>
        <w:contextualSpacing w:val="false"/>
        <w:jc w:val="both"/>
        <w:rPr>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DALYKAS</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Šios Sutarties dalykas yra Paslaugos, nurodytos Specialiosiose sutarties sąlygose ir aprašytos Techninėje specifikacijoje.</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Style w:val="PagrindinistekstasDiagrama"/>
          <w:rFonts w:cs="" w:cstheme="majorBidi"/>
          <w:sz w:val="20"/>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 xml:space="preserve">Šalys, vykdydamos Sutartį, įsipareigoja laikytis visų Sutarties vykdymui taikytinų </w:t>
      </w:r>
      <w:r>
        <w:rPr>
          <w:rFonts w:cs="" w:cstheme="majorBidi"/>
          <w:sz w:val="20"/>
        </w:rPr>
        <w:t>įstatymų bei kitų teisės aktų</w:t>
      </w:r>
      <w:r>
        <w:rPr>
          <w:rFonts w:eastAsia="Arial" w:cs="" w:cstheme="majorBidi"/>
          <w:sz w:val="20"/>
        </w:rPr>
        <w:t xml:space="preserve"> reikalavimų. Šalis turi teisę reikalauti, kad kita Šalis įvykdytų visus</w:t>
      </w:r>
      <w:r>
        <w:rPr>
          <w:rFonts w:cs="" w:cstheme="majorBidi"/>
          <w:sz w:val="20"/>
        </w:rPr>
        <w:t xml:space="preserve"> įstatymų bei kitų teisės aktų</w:t>
      </w:r>
      <w:r>
        <w:rPr>
          <w:rFonts w:eastAsia="Arial" w:cs="" w:cstheme="majorBidi"/>
          <w:sz w:val="20"/>
        </w:rPr>
        <w:t xml:space="preserve"> reikalavimus, taikomus Sutarties vykdymui. Nė viena iš Sutarties sąlygų nereiškia ir negali būti aiškinama kaip Pirkėjo atsisakymas </w:t>
      </w:r>
      <w:r>
        <w:rPr>
          <w:rFonts w:cs="" w:cstheme="majorBidi"/>
          <w:sz w:val="20"/>
        </w:rPr>
        <w:t>įstatymuose bei kituose teisės aktuose</w:t>
      </w:r>
      <w:r>
        <w:rPr>
          <w:rFonts w:eastAsia="Arial" w:cs="" w:cstheme="majorBidi"/>
          <w:sz w:val="20"/>
        </w:rPr>
        <w:t xml:space="preserve"> numatytų ir Sutartimi neaptartų Pirkėjo kitų teisių ir garantijų, susijusių su netinkamu Paslaugų tiekimu ar jų kokybe, arba kaip Tiekėjo atsisakymas </w:t>
      </w:r>
      <w:r>
        <w:rPr>
          <w:rFonts w:cs="" w:cstheme="majorBidi"/>
          <w:sz w:val="20"/>
        </w:rPr>
        <w:t>įstatymuose bei kituose teisės aktuose</w:t>
      </w:r>
      <w:r>
        <w:rPr>
          <w:rFonts w:eastAsia="Arial" w:cs="" w:cstheme="majorBidi"/>
          <w:sz w:val="20"/>
        </w:rPr>
        <w:t xml:space="preserve"> numatytų ir Sutartimi neaptartų Tiekėjo kitų teisių ir garantijų dėl atlyginimo už Paslaugas gavimo.</w:t>
      </w:r>
    </w:p>
    <w:p>
      <w:pPr>
        <w:pStyle w:val="ListParagraph"/>
        <w:numPr>
          <w:ilvl w:val="1"/>
          <w:numId w:val="2"/>
        </w:numPr>
        <w:tabs>
          <w:tab w:val="clear" w:pos="1296"/>
          <w:tab w:val="left" w:pos="709" w:leader="none"/>
        </w:tabs>
        <w:spacing w:lineRule="auto" w:line="276" w:before="0" w:after="0"/>
        <w:ind w:hanging="0" w:left="0"/>
        <w:contextualSpacing w:val="false"/>
        <w:jc w:val="both"/>
        <w:rPr>
          <w:rFonts w:cs="" w:asciiTheme="majorBidi" w:cstheme="majorBidi" w:hAnsiTheme="majorBidi"/>
          <w:sz w:val="20"/>
        </w:rPr>
      </w:pPr>
      <w:r>
        <w:rPr>
          <w:rFonts w:eastAsia="Arial" w:cs="" w:cstheme="majorBidi"/>
          <w:sz w:val="20"/>
        </w:rPr>
        <w:t>Tiekėjas privalo užtikrinti, kad Paslaugos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eastAsia="Arial" w:cs="" w:cstheme="majorBidi"/>
          <w:b/>
          <w:caps/>
          <w:sz w:val="20"/>
        </w:rPr>
        <w:t>TIEKĖJAS ir kiti Sutarties vykdymui pasitelkti asmenys</w:t>
      </w:r>
    </w:p>
    <w:p>
      <w:pPr>
        <w:pStyle w:val="ListParagraph"/>
        <w:tabs>
          <w:tab w:val="clear" w:pos="1296"/>
          <w:tab w:val="left" w:pos="567" w:leader="none"/>
        </w:tabs>
        <w:spacing w:lineRule="auto" w:line="276" w:before="120" w:after="0"/>
        <w:ind w:left="0"/>
        <w:contextualSpacing w:val="false"/>
        <w:jc w:val="center"/>
        <w:rPr>
          <w:rFonts w:eastAsia="Arial" w:cs="" w:asciiTheme="majorBidi" w:cstheme="majorBidi" w:hAnsiTheme="majorBidi"/>
          <w:b/>
          <w:sz w:val="20"/>
        </w:rPr>
      </w:pPr>
      <w:r>
        <w:rPr>
          <w:rFonts w:eastAsia="Arial" w:cs="" w:cstheme="majorBidi"/>
          <w:b/>
          <w:caps/>
          <w:sz w:val="20"/>
        </w:rPr>
        <w:t>K</w:t>
      </w:r>
      <w:r>
        <w:rPr>
          <w:rFonts w:eastAsia="Arial" w:cs="" w:cstheme="majorBidi"/>
          <w:b/>
          <w:sz w:val="20"/>
        </w:rPr>
        <w:t>valifikacija ir kiti Tiekėjo pasiūlymu prisiimti įsipareigojimai</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Cs/>
          <w:sz w:val="20"/>
        </w:rPr>
      </w:pPr>
      <w:r>
        <w:rPr>
          <w:rFonts w:eastAsia="Cambria" w:cs="" w:cstheme="majorBidi"/>
          <w:sz w:val="20"/>
        </w:rPr>
        <w:t>Tiekėjas atsako už tai, kad visą Sutarties vykdymo laikotarpį Tiekėjas būtų kompetentingas, patikimas ir pajėgus (įskaitant ūkio subjektų, kurių pajėgumais remiasi Tiekėjas, pajėgumus) įvykdyti Sutarties reikalavimus: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turėtų teisę verstis ta veikla, kuri yra reikalinga Sutarčiai įvykdyti;</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atitiktų tiekėjų kvalifikacijai Pirkimo dokumentuose nustatytus Sutarties tinkamam vykdymui būtinus reikalavimus bei neturėtų Pirkimo dokumentuose nustatytų pašalinimo pagrindų;</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laikytųsi Tiekėjo pasiūlyme nurodytų įsipareigojimų, įskaitant, bet neapsiribojant – atitiktų Pirkimo dokumentuose nustatytus kokybinių kriterijų reikšmes ir parametrus;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rPr>
        <w:t>užtikrintų nustatytų kokybės vadybos sistemos ir (arba) aplinkos apsaugos vadybos sistemos standartų taikymą, jeigu to reikalaujama Pirkimo dokumentuose, ir turėtų tą patvirtinančius dokumentus;</w:t>
      </w:r>
    </w:p>
    <w:p>
      <w:pPr>
        <w:pStyle w:val="ListParagraph"/>
        <w:numPr>
          <w:ilvl w:val="2"/>
          <w:numId w:val="2"/>
        </w:numPr>
        <w:tabs>
          <w:tab w:val="clear" w:pos="1296"/>
          <w:tab w:val="left" w:pos="709" w:leader="none"/>
        </w:tabs>
        <w:spacing w:lineRule="auto" w:line="276"/>
        <w:ind w:hanging="0" w:left="0"/>
        <w:jc w:val="both"/>
        <w:rPr>
          <w:rFonts w:eastAsia="Arial" w:cs="" w:asciiTheme="majorBidi" w:cstheme="majorBidi" w:hAnsiTheme="majorBidi"/>
          <w:bCs/>
          <w:sz w:val="20"/>
        </w:rPr>
      </w:pPr>
      <w:r>
        <w:rPr>
          <w:rFonts w:eastAsia="Arial" w:cs="" w:cstheme="majorBidi"/>
          <w:sz w:val="20"/>
          <w:shd w:fill="FFFFFF" w:val="clear"/>
        </w:rPr>
        <w:t>atitiktų nacionalinio saugumo interesus bei kilmės reikalavimus, jei tokie reikalavimai buvo numatyti pirkimo dokumentuose.</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 xml:space="preserve">Tuo atveju, kai Tiekėjas yra jungtinės veiklos partneriai, jie Pirkėjui už Sutarties vykdymą atsako solidariai. </w:t>
      </w:r>
      <w:r>
        <w:rPr>
          <w:rFonts w:eastAsia="Arial" w:cs="" w:cstheme="majorBidi"/>
          <w:sz w:val="20"/>
          <w:shd w:fill="FFFFFF" w:val="clear"/>
        </w:rPr>
        <w:t xml:space="preserve">Jeigu Tiekėjas remiasi </w:t>
      </w:r>
      <w:r>
        <w:rPr>
          <w:rFonts w:eastAsia="Arial" w:cs="" w:cstheme="majorBidi"/>
          <w:sz w:val="20"/>
        </w:rPr>
        <w:t xml:space="preserve">ūkio </w:t>
      </w:r>
      <w:r>
        <w:rPr>
          <w:rFonts w:eastAsia="Arial" w:cs="" w:cstheme="majorBidi"/>
          <w:sz w:val="20"/>
          <w:shd w:fill="FFFFFF" w:val="clear"/>
        </w:rPr>
        <w:t xml:space="preserve">subjektų pajėgumais siekdamas atitikti finansinio ir ekonominio pajėgumo reikalavimus, Tiekėjas su tokiais </w:t>
      </w:r>
      <w:r>
        <w:rPr>
          <w:rFonts w:eastAsia="Arial" w:cs="" w:cstheme="majorBidi"/>
          <w:sz w:val="20"/>
        </w:rPr>
        <w:t xml:space="preserve">ūkio </w:t>
      </w:r>
      <w:r>
        <w:rPr>
          <w:rFonts w:eastAsia="Arial" w:cs="" w:cstheme="majorBidi"/>
          <w:sz w:val="20"/>
          <w:shd w:fill="FFFFFF" w:val="clear"/>
        </w:rPr>
        <w:t>subjektais už Sutarties vykdymą atsako solidariai (jeigu to buvo reikalaujama pirkimo dokumentuose).</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 xml:space="preserve">Tiekėjas taip pat atsako už tai, kad Tiekėjas, Sutartį tiesiogiai vykdantys subtiekėjai ir specialistai atitiktų jiems </w:t>
      </w:r>
      <w:r>
        <w:rPr>
          <w:rFonts w:cs="" w:cstheme="majorBidi"/>
          <w:sz w:val="20"/>
        </w:rPr>
        <w:t>įstatymų bei kitų teisės aktų</w:t>
      </w:r>
      <w:r>
        <w:rPr>
          <w:rFonts w:eastAsia="Arial" w:cs="" w:cstheme="majorBidi"/>
          <w:sz w:val="20"/>
        </w:rPr>
        <w:t xml:space="preserve"> ir (arba) pirkimo dokumentų ir Tiekėjo pasiūlyme nustatytus profesinės kvalifikacijos ir kitus reikalavimus bei turėtų teisę verstis ta veikla, kuriai jie pasitelkiami. </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cs="" w:asciiTheme="majorBidi" w:cstheme="majorBidi" w:hAnsiTheme="majorBidi"/>
          <w:sz w:val="20"/>
        </w:rPr>
      </w:pPr>
      <w:r>
        <w:rPr>
          <w:rFonts w:eastAsia="Arial" w:cs="" w:asciiTheme="majorBidi" w:cstheme="majorBidi" w:hAnsiTheme="majorBidi"/>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jc w:val="center"/>
        <w:rPr>
          <w:rFonts w:eastAsia="Arial" w:cs="" w:asciiTheme="majorBidi" w:cstheme="majorBidi" w:hAnsiTheme="majorBidi"/>
          <w:b/>
          <w:bCs/>
          <w:sz w:val="20"/>
        </w:rPr>
      </w:pPr>
      <w:r>
        <w:rPr>
          <w:rFonts w:eastAsia="Arial" w:cs="" w:cstheme="majorBidi"/>
          <w:b/>
          <w:bCs/>
          <w:sz w:val="20"/>
        </w:rPr>
        <w:t>Subtiekėjų bei specialistų pasitelkimas ir keitimas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Tiekėjas įsipareigoja užtikrinti, kad Sutartį vykdys Pirkime pasiūlyti ir kvalifikaci</w:t>
      </w:r>
      <w:r>
        <w:rPr>
          <w:rFonts w:eastAsia="Arial" w:cs="" w:cstheme="majorBidi"/>
          <w:sz w:val="20"/>
        </w:rPr>
        <w:t>jos</w:t>
      </w:r>
      <w:r>
        <w:rPr>
          <w:rFonts w:eastAsia="Arial" w:cs="" w:cstheme="majorBidi"/>
          <w:sz w:val="20"/>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s="" w:cstheme="majorBidi"/>
          <w:sz w:val="20"/>
        </w:rPr>
        <w:t xml:space="preserve">ir specialistų </w:t>
      </w:r>
      <w:r>
        <w:rPr>
          <w:rFonts w:eastAsia="Arial" w:cs="" w:cstheme="majorBidi"/>
          <w:sz w:val="20"/>
          <w:shd w:fill="FFFFFF" w:val="clear"/>
        </w:rPr>
        <w:t>veiksmus ar neveikimą.</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Sutarties vykdymui pasitelkiami Subtiekėjai ir (ar) specialistai (jeigu tokie pasitelkiami) nurodomi Specialiosiose sąlygose.</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 xml:space="preserve">Tiekėjas turi teisę Sutarties vykdymui pasitelkti naujus, Specialiosiose sąlygose nenurodytus Subtiekėjus, kurių pajėgumais </w:t>
      </w:r>
      <w:r>
        <w:rPr>
          <w:rFonts w:eastAsia="Cambria" w:cs="" w:cstheme="majorBidi"/>
          <w:sz w:val="20"/>
          <w:shd w:fill="FFFFFF" w:val="clear"/>
        </w:rPr>
        <w:t>nesirėmė pirkimo dokumentuose numatytiems kvalifikacijos reikalavimams pagrįsti</w:t>
      </w:r>
      <w:r>
        <w:rPr>
          <w:rFonts w:eastAsia="Arial" w:cs="" w:cstheme="majorBidi"/>
          <w:sz w:val="20"/>
          <w:shd w:fill="FFFFFF" w:val="clear"/>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s="" w:cstheme="majorBidi"/>
          <w:sz w:val="20"/>
          <w:shd w:fill="FFFFFF" w:val="clear"/>
        </w:rPr>
        <w:t>ne vėliau nei prieš 5 (penkias) darbo dienas</w:t>
      </w:r>
      <w:r>
        <w:rPr>
          <w:rFonts w:eastAsia="Arial" w:cs="" w:cstheme="majorBidi"/>
          <w:sz w:val="20"/>
          <w:shd w:fill="FFFFFF" w:val="clear"/>
        </w:rPr>
        <w:t xml:space="preserve"> informuotų apie minėtos informacijos pasikeitimus visu Sutarties vykdymo metu.</w:t>
      </w:r>
      <w:r>
        <w:rPr>
          <w:rFonts w:eastAsia="Arial" w:cs="" w:cstheme="majorBidi"/>
          <w:sz w:val="20"/>
        </w:rPr>
        <w:t xml:space="preserve"> </w:t>
      </w:r>
      <w:r>
        <w:rPr>
          <w:rFonts w:cs="" w:cstheme="majorBidi"/>
          <w:sz w:val="20"/>
        </w:rPr>
        <w:t xml:space="preserve">Pirkėjas (jeigu buvo taikoma pirkimo dokumentuose) turi patikrinti, ar nėra </w:t>
      </w:r>
      <w:r>
        <w:rPr>
          <w:rFonts w:eastAsia="Cambria" w:cs="" w:cstheme="majorBidi"/>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rFonts w:cs="" w:cstheme="majorBidi"/>
          <w:sz w:val="20"/>
        </w:rPr>
        <w:t xml:space="preserve"> </w:t>
      </w:r>
      <w:r>
        <w:rPr>
          <w:rFonts w:eastAsia="Cambria" w:cs="" w:cstheme="majorBidi"/>
          <w:sz w:val="20"/>
        </w:rPr>
        <w:t>Pirkėjas</w:t>
      </w:r>
      <w:r>
        <w:rPr>
          <w:rFonts w:cs="" w:cstheme="majorBidi"/>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Tiekėjas gali keisti Sutartyje nurodytus subtiekėjus ir (ar) specialistus šiame Sutarties poskyryje nustatytais atvejais ir tvarka gavęs Pirkėjo rašytinį sutikimą.</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Arial" w:cs="" w:cstheme="majorBidi"/>
          <w:sz w:val="20"/>
          <w:shd w:fill="FFFFFF" w:val="clear"/>
        </w:rPr>
        <w:t>Subtiekėjas, kurio pajėgumais Tiekėjas rėmėsi, kad atitiktų Pirkimo dokumentuose nustatytus kvalifikacijos reikalavimus, gali būti keičiamas tik šiais atvejais: </w:t>
      </w:r>
    </w:p>
    <w:p>
      <w:pPr>
        <w:pStyle w:val="ListParagraph"/>
        <w:widowControl w:val="false"/>
        <w:numPr>
          <w:ilvl w:val="2"/>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kai subtiekėjui </w:t>
      </w:r>
      <w:r>
        <w:rPr>
          <w:rFonts w:cs="" w:cstheme="majorBidi"/>
          <w:sz w:val="20"/>
        </w:rPr>
        <w:t>iškelta bankroto byla, pradėtas bankroto procesas ne teismo tvarka, jis tampa nemokus arba yra nemokumo tikimybė, sustabdo ūkinę veiklą ar susidaro analogiška situacija</w:t>
      </w:r>
      <w:r>
        <w:rPr>
          <w:rFonts w:eastAsia="Cambria" w:cs="" w:cstheme="majorBidi"/>
          <w:sz w:val="20"/>
          <w:shd w:fill="FFFFFF" w:val="clear"/>
        </w:rPr>
        <w:t>;</w:t>
      </w:r>
    </w:p>
    <w:p>
      <w:pPr>
        <w:pStyle w:val="ListParagraph"/>
        <w:widowControl w:val="false"/>
        <w:numPr>
          <w:ilvl w:val="2"/>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kai subtiekėjas dėl objektyvių priežasčių (pavyzdžiui, Subtiekėjui atsisakius dalyvauti Sutarties vykdyme, nutrūkus teisiniams santykiams su Tiekėju ir pan.) nebegali vykdyti visų ar dalies Sutartyje numatytų įsipareigojimų. </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Naujas subtiekėjas, kuris keičiamas vietoje subtiekėjo, </w:t>
      </w:r>
      <w:r>
        <w:rPr>
          <w:rFonts w:eastAsia="Arial" w:cs="" w:cstheme="majorBidi"/>
          <w:sz w:val="20"/>
          <w:shd w:fill="FFFFFF" w:val="clear"/>
        </w:rPr>
        <w:t>kurio pajėgumais Tiekėjas rėmėsi, kad atitiktų Pirkimo dokumentuose nustatytus kvalifikacijos reikalavimus (toliau – naujas subtiekėjas),</w:t>
      </w:r>
      <w:r>
        <w:rPr>
          <w:rFonts w:eastAsia="Cambria" w:cs="" w:cstheme="majorBidi"/>
          <w:sz w:val="20"/>
          <w:shd w:fill="FFFFFF" w:val="clear"/>
        </w:rPr>
        <w:t xml:space="preserve"> turi atitikti pirkimo dokumentuose nustatytus reikalavimus dėl pašalinimo pagrindų nebuvimo</w:t>
      </w:r>
      <w:r>
        <w:rPr>
          <w:rFonts w:cs="" w:cstheme="majorBidi"/>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s="" w:cstheme="majorBidi"/>
          <w:sz w:val="20"/>
          <w:shd w:fill="FFFFFF" w:val="clear"/>
        </w:rPr>
        <w:t>.</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Tiekėjo (ar subtiekėjų) specialistas, vykdysiant</w:t>
      </w:r>
      <w:r>
        <w:rPr>
          <w:rFonts w:eastAsia="Cambria" w:cs="" w:cstheme="majorBidi"/>
          <w:sz w:val="20"/>
        </w:rPr>
        <w:t>i</w:t>
      </w:r>
      <w:r>
        <w:rPr>
          <w:rFonts w:eastAsia="Cambria" w:cs="" w:cstheme="majorBidi"/>
          <w:sz w:val="20"/>
          <w:shd w:fill="FFFFFF" w:val="clear"/>
        </w:rPr>
        <w:t>s Sutartį, gali būti pakeisti šiais atvejais: </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Pirkėjo iniciatyva, jei Pirkėjas turi pagrįstų įtarimų, kad Tiekėjo Sutarties vykdymui paskirtas Subtiekėjas (specialistas) nekompetentingas vykdyti nustatytas pareigas.</w:t>
      </w:r>
    </w:p>
    <w:p>
      <w:pPr>
        <w:pStyle w:val="ListParagraph"/>
        <w:widowControl w:val="false"/>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Naujas specialistas</w:t>
      </w:r>
      <w:r>
        <w:rPr>
          <w:rFonts w:eastAsia="Cambria" w:cs="" w:cstheme="majorBidi"/>
          <w:sz w:val="20"/>
        </w:rPr>
        <w:t xml:space="preserve"> </w:t>
      </w:r>
      <w:r>
        <w:rPr>
          <w:rFonts w:eastAsia="Cambria" w:cs="" w:cstheme="majorBidi"/>
          <w:sz w:val="20"/>
          <w:shd w:fill="FFFFFF" w:val="clear"/>
        </w:rPr>
        <w:t>turi turėti ne žemesnę nei Pirkimo dokumentuose specialistui keliamą kvalifikaciją</w:t>
      </w:r>
      <w:r>
        <w:rPr>
          <w:rFonts w:eastAsia="Cambria" w:cs="" w:cstheme="majorBidi"/>
          <w:sz w:val="20"/>
        </w:rPr>
        <w:t xml:space="preserve">, Tiekėjo pasiūlyme nurodytą keičiamo specialisto kvalifikaciją pirkimo dokumentuose nustatytiems kokybiniams kriterijams pagrįsti ir </w:t>
      </w:r>
      <w:r>
        <w:rPr>
          <w:rFonts w:eastAsia="Arial" w:cs="" w:cstheme="majorBidi"/>
          <w:sz w:val="20"/>
          <w:shd w:fill="FFFFFF" w:val="clear"/>
        </w:rPr>
        <w:t>nacionalinio saugumo interesus bei kilmės reikalavimus, nurodytus pirkimo dokumentuose</w:t>
      </w:r>
      <w:r>
        <w:rPr>
          <w:rFonts w:eastAsia="Cambria" w:cs="" w:cstheme="majorBidi"/>
          <w:sz w:val="20"/>
        </w:rPr>
        <w:t xml:space="preserve"> (jei taikoma).</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Arial" w:cs="" w:asciiTheme="majorBidi" w:cstheme="majorBidi" w:hAnsiTheme="majorBidi"/>
          <w:sz w:val="20"/>
        </w:rPr>
      </w:pPr>
      <w:r>
        <w:rPr>
          <w:rFonts w:eastAsia="Cambria" w:cs="" w:cstheme="majorBidi"/>
          <w:sz w:val="20"/>
          <w:shd w:fill="FFFFFF" w:val="clear"/>
        </w:rPr>
        <w:t xml:space="preserve">Tiekėjas privalo ne vėliau nei prieš 5 (penkias) darbo dienas iki numatomo subtiekėjo, </w:t>
      </w:r>
      <w:r>
        <w:rPr>
          <w:rFonts w:eastAsia="Arial" w:cs="" w:cstheme="majorBidi"/>
          <w:sz w:val="20"/>
          <w:shd w:fill="FFFFFF" w:val="clear"/>
        </w:rPr>
        <w:t xml:space="preserve">kurio pajėgumais Tiekėjas rėmėsi, kad atitiktų Pirkimo dokumentuose nustatytus kvalifikacijos reikalavimus, ar specialisto </w:t>
      </w:r>
      <w:r>
        <w:rPr>
          <w:rFonts w:eastAsia="Cambria" w:cs="" w:cstheme="majorBidi"/>
          <w:sz w:val="20"/>
          <w:shd w:fill="FFFFFF" w:val="clear"/>
        </w:rPr>
        <w:t xml:space="preserve">keitimo pateikti Pirkėjui argumentuotą rašytinį prašymą ir šiuos dokumentus: </w:t>
      </w:r>
    </w:p>
    <w:p>
      <w:pPr>
        <w:pStyle w:val="ListParagraph"/>
        <w:widowControl w:val="false"/>
        <w:numPr>
          <w:ilvl w:val="2"/>
          <w:numId w:val="2"/>
        </w:numPr>
        <w:tabs>
          <w:tab w:val="clear" w:pos="1296"/>
          <w:tab w:val="left" w:pos="567" w:leader="none"/>
          <w:tab w:val="left" w:pos="851" w:leader="none"/>
          <w:tab w:val="left" w:pos="992" w:leader="none"/>
          <w:tab w:val="left" w:pos="1134"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prašymą pakeisti subtiekėją ar specialistą, paaiškinant keitimo aplinkybę. Pirkėjas pasilieka teisę paprašyti įrodymų, pagrindžiančių keitimo aplinkybę;</w:t>
      </w:r>
    </w:p>
    <w:p>
      <w:pPr>
        <w:pStyle w:val="ListParagraph"/>
        <w:widowControl w:val="false"/>
        <w:numPr>
          <w:ilvl w:val="2"/>
          <w:numId w:val="2"/>
        </w:numPr>
        <w:tabs>
          <w:tab w:val="clear" w:pos="1296"/>
          <w:tab w:val="left" w:pos="567" w:leader="none"/>
          <w:tab w:val="left" w:pos="851" w:leader="none"/>
          <w:tab w:val="left" w:pos="992" w:leader="none"/>
          <w:tab w:val="left" w:pos="1134" w:leader="none"/>
        </w:tabs>
        <w:spacing w:lineRule="auto" w:line="276"/>
        <w:ind w:hanging="0" w:left="0"/>
        <w:jc w:val="both"/>
        <w:rPr>
          <w:rFonts w:eastAsia="Cambria" w:cs="" w:asciiTheme="majorBidi" w:cstheme="majorBidi" w:hAnsiTheme="majorBidi"/>
          <w:sz w:val="20"/>
        </w:rPr>
      </w:pPr>
      <w:r>
        <w:rPr>
          <w:rFonts w:eastAsia="Cambria" w:cs="" w:cstheme="majorBidi"/>
          <w:sz w:val="20"/>
        </w:rPr>
        <w:t>naujo subtiekėjo ar specialisto kvalifikaciją ir pašalinimo pagrindų nebuvimą įrodančius dokumentus pagal Sutarties reikalavimus.</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Naujas subtiekėjas ar specialistas gali pradėti vykdyti jiems Tiekėjo pavestus įsipareigojimus pagal Sutartį ne anksčiau, nei bus pasirašytas Susitarimas.</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rPr>
        <w:t xml:space="preserve">Tiekėjas privalo pakeisti subtiekėją ar specialistą, jei paaiškėja, kad jis neatitinka jam Pirkimo dokumentuose keliamų reikalavimų. </w:t>
      </w:r>
    </w:p>
    <w:p>
      <w:pPr>
        <w:pStyle w:val="ListParagraph"/>
        <w:widowControl w:val="false"/>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rPr>
      </w:pPr>
      <w:r>
        <w:rPr>
          <w:rFonts w:eastAsia="Cambria" w:cs="" w:cstheme="majorBidi"/>
          <w:sz w:val="20"/>
          <w:shd w:fill="FFFFFF" w:val="clear"/>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Pr>
          <w:rFonts w:eastAsia="Cambria" w:cs="" w:cstheme="majorBidi"/>
          <w:sz w:val="20"/>
        </w:rPr>
        <w:t>, reikalavimų dėl pašalinimo pagrindų nebuvimo (jei taikoma) ir Tiekėjo pasiūlyme nurodytų sąlygų Pirkimo dokumentuose nustatytiems kokybiniams kriterijams pagrįsti</w:t>
      </w:r>
      <w:r>
        <w:rPr>
          <w:rFonts w:eastAsia="Cambria" w:cs="" w:cstheme="majorBidi"/>
          <w:sz w:val="20"/>
          <w:shd w:fill="FFFFFF" w:val="clear"/>
        </w:rPr>
        <w:t>, Tiekėjui taikoma Specialiosiose sąlygose nustatyto dydžio bauda.</w:t>
      </w:r>
    </w:p>
    <w:p>
      <w:pPr>
        <w:pStyle w:val="Normal"/>
        <w:widowControl w:val="false"/>
        <w:tabs>
          <w:tab w:val="clear" w:pos="1296"/>
          <w:tab w:val="left" w:pos="567" w:leader="none"/>
          <w:tab w:val="left" w:pos="851" w:leader="none"/>
          <w:tab w:val="left" w:pos="992" w:leader="none"/>
          <w:tab w:val="left" w:pos="1134" w:leader="none"/>
        </w:tabs>
        <w:spacing w:lineRule="auto" w:line="276"/>
        <w:rPr>
          <w:rFonts w:eastAsia="Cambria" w:cs="" w:asciiTheme="majorBidi" w:cstheme="majorBidi" w:hAnsiTheme="majorBidi"/>
          <w:b/>
          <w:bCs/>
          <w:sz w:val="20"/>
        </w:rPr>
      </w:pPr>
      <w:r>
        <w:rPr>
          <w:rFonts w:eastAsia="Cambria" w:cs="" w:asciiTheme="majorBidi" w:cstheme="majorBidi" w:hAnsiTheme="majorBidi"/>
          <w:b/>
          <w:bCs/>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jc w:val="center"/>
        <w:rPr>
          <w:rFonts w:eastAsia="Cambria" w:cs="" w:asciiTheme="majorBidi" w:cstheme="majorBidi" w:hAnsiTheme="majorBidi"/>
          <w:b/>
          <w:bCs/>
          <w:sz w:val="20"/>
        </w:rPr>
      </w:pPr>
      <w:r>
        <w:rPr>
          <w:rFonts w:eastAsia="Cambria" w:cs="" w:cstheme="majorBidi"/>
          <w:b/>
          <w:bCs/>
          <w:sz w:val="20"/>
        </w:rPr>
        <w:t>Jungtinės veiklos partnerių keitimas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pPr>
        <w:pStyle w:val="ListParagraph"/>
        <w:widowControl w:val="false"/>
        <w:numPr>
          <w:ilvl w:val="1"/>
          <w:numId w:val="2"/>
        </w:numPr>
        <w:tabs>
          <w:tab w:val="clear" w:pos="1296"/>
          <w:tab w:val="left" w:pos="709" w:leader="none"/>
        </w:tabs>
        <w:spacing w:lineRule="auto" w:line="276" w:before="0" w:after="0"/>
        <w:ind w:hanging="0"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Tiekėjas privalo ne vėliau nei prieš 10 (dešimt) darbo dienų iki numatomo partnerio keitimo arba atsisakymo pateikti Pirkėjui argumentuotą rašytinį prašymą ir šiuos dokumentus: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prašymą pakeisti Tiekėjo sudėtį ir įrodymus, pagrindžiančius bent vieną partnerio atsisakymo ar keitimo aplinkybę, nurodytą Sutartyje;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pPr>
        <w:pStyle w:val="ListParagraph"/>
        <w:widowControl w:val="false"/>
        <w:numPr>
          <w:ilvl w:val="2"/>
          <w:numId w:val="2"/>
        </w:numPr>
        <w:tabs>
          <w:tab w:val="clear" w:pos="1296"/>
          <w:tab w:val="left" w:pos="709" w:leader="none"/>
        </w:tabs>
        <w:spacing w:lineRule="auto" w:line="276" w:before="0" w:after="0"/>
        <w:ind w:hanging="11" w:left="0"/>
        <w:contextualSpacing w:val="false"/>
        <w:jc w:val="both"/>
        <w:rPr>
          <w:rFonts w:eastAsia="Cambria" w:cs="" w:asciiTheme="majorBidi" w:cstheme="majorBidi" w:hAnsiTheme="majorBidi"/>
          <w:sz w:val="20"/>
          <w:shd w:fill="FFFFFF" w:val="clear"/>
        </w:rPr>
      </w:pPr>
      <w:r>
        <w:rPr>
          <w:rFonts w:eastAsia="Cambria" w:cs="" w:cstheme="majorBidi"/>
          <w:sz w:val="20"/>
          <w:shd w:fill="FFFFFF" w:val="clear"/>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pPr>
        <w:pStyle w:val="ListParagraph"/>
        <w:keepLines/>
        <w:widowControl w:val="false"/>
        <w:numPr>
          <w:ilvl w:val="1"/>
          <w:numId w:val="2"/>
        </w:numPr>
        <w:tabs>
          <w:tab w:val="clear" w:pos="1296"/>
          <w:tab w:val="left" w:pos="567" w:leader="none"/>
          <w:tab w:val="left" w:pos="709" w:leader="none"/>
          <w:tab w:val="left" w:pos="851" w:leader="none"/>
          <w:tab w:val="left" w:pos="992" w:leader="none"/>
          <w:tab w:val="left" w:pos="1134" w:leader="none"/>
        </w:tabs>
        <w:spacing w:lineRule="auto" w:line="276" w:before="120" w:after="160"/>
        <w:ind w:hanging="0" w:left="0"/>
        <w:contextualSpacing w:val="false"/>
        <w:jc w:val="both"/>
        <w:rPr>
          <w:rFonts w:eastAsia="Cambria" w:cs="" w:asciiTheme="majorBidi" w:cstheme="majorBidi" w:hAnsiTheme="majorBidi"/>
          <w:b/>
          <w:bCs/>
          <w:sz w:val="20"/>
        </w:rPr>
      </w:pPr>
      <w:r>
        <w:rPr>
          <w:rFonts w:eastAsia="Cambria" w:cs="" w:cstheme="majorBidi"/>
          <w:sz w:val="20"/>
          <w:shd w:fill="FFFFFF" w:val="clear"/>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r>
        <w:br w:type="page"/>
      </w:r>
    </w:p>
    <w:p>
      <w:pPr>
        <w:pStyle w:val="Normal"/>
        <w:keepLines/>
        <w:widowControl w:val="false"/>
        <w:tabs>
          <w:tab w:val="clear" w:pos="1296"/>
          <w:tab w:val="left" w:pos="567" w:leader="none"/>
          <w:tab w:val="left" w:pos="851" w:leader="none"/>
          <w:tab w:val="left" w:pos="992" w:leader="none"/>
          <w:tab w:val="left" w:pos="1134" w:leader="none"/>
        </w:tabs>
        <w:spacing w:lineRule="auto" w:line="276" w:before="0" w:after="0"/>
        <w:jc w:val="center"/>
        <w:rPr>
          <w:rFonts w:eastAsia="Cambria" w:cs="" w:asciiTheme="majorBidi" w:cstheme="majorBidi" w:hAnsiTheme="majorBidi"/>
          <w:b/>
          <w:bCs/>
          <w:sz w:val="20"/>
        </w:rPr>
      </w:pPr>
      <w:r>
        <w:rPr>
          <w:rFonts w:eastAsia="Cambria" w:cs="" w:cstheme="majorBidi"/>
          <w:b/>
          <w:bCs/>
          <w:sz w:val="20"/>
        </w:rPr>
        <w:t>Susitarimai dėl tiesioginio atsiskaitymo su Subtiekėjais</w:t>
      </w:r>
    </w:p>
    <w:p>
      <w:pPr>
        <w:pStyle w:val="ListParagraph"/>
        <w:keepLines/>
        <w:widowControl w:val="false"/>
        <w:numPr>
          <w:ilvl w:val="1"/>
          <w:numId w:val="2"/>
        </w:numPr>
        <w:tabs>
          <w:tab w:val="clear" w:pos="1296"/>
          <w:tab w:val="left" w:pos="709" w:leader="none"/>
        </w:tabs>
        <w:spacing w:lineRule="auto" w:line="276" w:before="120" w:after="0"/>
        <w:ind w:hanging="0" w:left="0"/>
        <w:contextualSpacing w:val="false"/>
        <w:jc w:val="both"/>
        <w:rPr>
          <w:rStyle w:val="PagrindinistekstasDiagrama"/>
          <w:rFonts w:eastAsia="Cambria" w:cs="" w:asciiTheme="majorBidi" w:cstheme="majorBidi" w:hAnsiTheme="majorBidi"/>
          <w:b/>
          <w:bCs/>
          <w:sz w:val="20"/>
        </w:rPr>
      </w:pPr>
      <w:r>
        <w:rPr>
          <w:rStyle w:val="PagrindinistekstasDiagrama"/>
          <w:rFonts w:cs="" w:cstheme="majorBidi"/>
          <w:sz w:val="20"/>
        </w:rPr>
        <w:t xml:space="preserve">Pirkėjas turi teisę su Subtiekėjais atsiskaityti tiesiogiai. Norėdamas pasinaudoti tiesioginio atsiskaitymo galimybe, Subtiekėjas turi apie tai raštu ne vėliau kaip per 5 (penkias) kalendorines dienas informuoti Pirkėją. Tuo atveju, jeigu Pirkėjas nusprendžia su Subtiekėju atsiskaityti tiesiogiai, su Tiekėju ir Subtiekėju yra sudaroma trišalė sutartis, kurioje yra pateikiama tiesioginio atsiskaitymo su Subtiekėju tvarka: </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tiesioginis atsiskaitymas su Subtiekėju neatleidžia Tiekėjo nuo jo prisiimtų įsipareigojimų pagal Sutartį.</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atsiskaitymai su Subtiekėju atliekami trišalėje sutartyje nurodytomis kainomis.</w:t>
      </w:r>
    </w:p>
    <w:p>
      <w:pPr>
        <w:pStyle w:val="ListParagraph"/>
        <w:widowControl w:val="false"/>
        <w:numPr>
          <w:ilvl w:val="2"/>
          <w:numId w:val="2"/>
        </w:numPr>
        <w:tabs>
          <w:tab w:val="clear" w:pos="1296"/>
          <w:tab w:val="left" w:pos="709" w:leader="none"/>
        </w:tabs>
        <w:spacing w:lineRule="auto" w:line="276"/>
        <w:ind w:hanging="0" w:left="0"/>
        <w:jc w:val="both"/>
        <w:rPr>
          <w:rStyle w:val="PagrindinistekstasDiagrama"/>
          <w:rFonts w:eastAsia="Cambria" w:cs="" w:asciiTheme="majorBidi" w:cstheme="majorBidi" w:hAnsiTheme="majorBidi"/>
          <w:b/>
          <w:bCs/>
          <w:sz w:val="20"/>
        </w:rPr>
      </w:pPr>
      <w:r>
        <w:rPr>
          <w:rStyle w:val="PagrindinistekstasDiagrama"/>
          <w:rFonts w:cs="" w:cstheme="majorBidi"/>
          <w:sz w:val="20"/>
        </w:rPr>
        <w:t>jei tiesioginio atsiskaitymo metu paaiškėja, kad Subtiekėjo nurodyti faktiniai kiekiai / apimtys / mokėtinos sumos nesutampa su Sutartyje nurodytomis, atsiskaitymo rizika tenka Tiekėjui ir neatitikimai pašalinami Tiekėjo sąskaita.</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eastAsia="Arial" w:cs="" w:asciiTheme="majorBidi" w:cstheme="majorBidi" w:hAnsiTheme="majorBidi"/>
          <w:b/>
          <w:caps/>
          <w:sz w:val="20"/>
        </w:rPr>
      </w:pPr>
      <w:r>
        <w:rPr>
          <w:rFonts w:eastAsia="Arial" w:cs="" w:cstheme="majorBidi"/>
          <w:b/>
          <w:caps/>
          <w:sz w:val="20"/>
        </w:rPr>
        <w:t>Šalių bendradarbiavimas</w:t>
      </w:r>
    </w:p>
    <w:p>
      <w:pPr>
        <w:pStyle w:val="ListParagraph"/>
        <w:widowControl w:val="false"/>
        <w:tabs>
          <w:tab w:val="clear" w:pos="1296"/>
          <w:tab w:val="left" w:pos="709" w:leader="none"/>
        </w:tabs>
        <w:spacing w:lineRule="auto" w:line="276" w:before="120" w:after="0"/>
        <w:ind w:left="0"/>
        <w:contextualSpacing w:val="false"/>
        <w:jc w:val="center"/>
        <w:rPr>
          <w:rFonts w:eastAsia="Arial" w:cs="" w:asciiTheme="majorBidi" w:cstheme="majorBidi" w:hAnsiTheme="majorBidi"/>
          <w:b/>
          <w:sz w:val="20"/>
        </w:rPr>
      </w:pPr>
      <w:r>
        <w:rPr>
          <w:rFonts w:eastAsia="Arial" w:cs="" w:cstheme="majorBidi"/>
          <w:b/>
          <w:sz w:val="20"/>
        </w:rPr>
        <w:t>Šalių bendradarbiavimo pareiga</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
          <w:sz w:val="20"/>
        </w:rPr>
      </w:pPr>
      <w:r>
        <w:rPr>
          <w:rFonts w:eastAsia="Arial" w:cs="" w:cstheme="majorBidi"/>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Šalys įsipareigoja užtikrinti, kad viena kitai teiks dokumentus ir (ar) kitą informaciją, kurie yra būtini Šalių tinkamam įsipareigojimų įvykdymui pagal Sutartį.</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shd w:fill="FFFFFF" w:val="clear"/>
        </w:rPr>
        <w:t xml:space="preserve">Jeigu Šalis susiduria su </w:t>
      </w:r>
      <w:r>
        <w:rPr>
          <w:rFonts w:eastAsia="Arial" w:cs="" w:cstheme="majorBidi"/>
          <w:sz w:val="20"/>
        </w:rPr>
        <w:t>S</w:t>
      </w:r>
      <w:r>
        <w:rPr>
          <w:rFonts w:eastAsia="Arial" w:cs="" w:cstheme="majorBidi"/>
          <w:sz w:val="20"/>
          <w:shd w:fill="FFFFFF" w:val="clear"/>
        </w:rPr>
        <w:t>utarties vykdymo kliūtimi, ji turi nedelsdama, bet ne vėliau kaip per 5 (penkias) darbo dienas, įspėti kitą Šalį apie tokia</w:t>
      </w:r>
      <w:r>
        <w:rPr>
          <w:rFonts w:eastAsia="Arial" w:cs="" w:cstheme="majorBidi"/>
          <w:sz w:val="20"/>
        </w:rPr>
        <w:t>s</w:t>
      </w:r>
      <w:r>
        <w:rPr>
          <w:rFonts w:eastAsia="Arial" w:cs="" w:cstheme="majorBidi"/>
          <w:sz w:val="20"/>
          <w:shd w:fill="FFFFFF" w:val="clear"/>
        </w:rPr>
        <w:t xml:space="preserve"> kliūtis</w:t>
      </w:r>
      <w:r>
        <w:rPr>
          <w:rFonts w:eastAsia="Arial" w:cs="" w:cstheme="majorBidi"/>
          <w:sz w:val="20"/>
        </w:rPr>
        <w:t xml:space="preserve"> ir imtis visų nuo jos priklausančių protingų priemonių toms kliūtims pašalinti. </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cs="" w:asciiTheme="majorBidi" w:cstheme="majorBidi" w:hAnsiTheme="majorBidi"/>
          <w:sz w:val="20"/>
        </w:rPr>
      </w:pPr>
      <w:r>
        <w:rPr>
          <w:rFonts w:eastAsia="Arial" w:cs="" w:asciiTheme="majorBidi" w:cstheme="majorBidi" w:hAnsiTheme="majorBidi"/>
          <w:sz w:val="20"/>
        </w:rPr>
      </w:r>
    </w:p>
    <w:p>
      <w:pPr>
        <w:pStyle w:val="Normal"/>
        <w:widowControl w:val="false"/>
        <w:tabs>
          <w:tab w:val="clear" w:pos="1296"/>
          <w:tab w:val="left" w:pos="567" w:leader="none"/>
          <w:tab w:val="left" w:pos="851" w:leader="none"/>
          <w:tab w:val="left" w:pos="992" w:leader="none"/>
          <w:tab w:val="left" w:pos="1134" w:leader="none"/>
        </w:tabs>
        <w:spacing w:lineRule="auto" w:line="276" w:before="120" w:after="0"/>
        <w:ind w:firstLine="53"/>
        <w:jc w:val="center"/>
        <w:rPr>
          <w:rFonts w:eastAsia="Arial" w:cs="" w:asciiTheme="majorBidi" w:cstheme="majorBidi" w:hAnsiTheme="majorBidi"/>
          <w:b/>
          <w:bCs/>
          <w:sz w:val="20"/>
        </w:rPr>
      </w:pPr>
      <w:r>
        <w:rPr>
          <w:rFonts w:eastAsia="Arial" w:cs="" w:cstheme="majorBidi"/>
          <w:b/>
          <w:bCs/>
          <w:sz w:val="20"/>
        </w:rPr>
        <w:t>Kontaktiniai asmenys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eastAsia="Arial" w:cs="" w:asciiTheme="majorBidi" w:cstheme="majorBidi" w:hAnsiTheme="majorBidi"/>
          <w:b/>
          <w:sz w:val="20"/>
        </w:rPr>
      </w:pPr>
      <w:r>
        <w:rPr>
          <w:rFonts w:eastAsia="Arial" w:cs="" w:cstheme="majorBidi"/>
          <w:sz w:val="20"/>
        </w:rPr>
        <w:t xml:space="preserve">Kiekviena iš Šalių Sutarties sudarymo metu privalo paskirti kontaktinį asmenį, atsakingą už Sutarties vykdymą, ir nurodyti jų kontaktinius duomenis Specialiosiose sąlygose. </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cs="" w:cstheme="majorBidi"/>
          <w:sz w:val="20"/>
        </w:rPr>
        <w:t xml:space="preserve"> </w:t>
      </w:r>
      <w:r>
        <w:rPr>
          <w:rFonts w:eastAsia="Arial" w:cs="" w:cstheme="majorBidi"/>
          <w:sz w:val="20"/>
        </w:rPr>
        <w:t>vardą, pavardę, el. paštą ir telefono numerį.</w:t>
      </w:r>
    </w:p>
    <w:p>
      <w:pPr>
        <w:pStyle w:val="ListParagraph"/>
        <w:widowControl w:val="false"/>
        <w:numPr>
          <w:ilvl w:val="1"/>
          <w:numId w:val="2"/>
        </w:numPr>
        <w:tabs>
          <w:tab w:val="clear" w:pos="1296"/>
          <w:tab w:val="left" w:pos="709" w:leader="none"/>
        </w:tabs>
        <w:spacing w:lineRule="auto" w:line="276"/>
        <w:ind w:hanging="0" w:left="0"/>
        <w:jc w:val="both"/>
        <w:rPr>
          <w:rFonts w:eastAsia="Arial" w:cs="" w:asciiTheme="majorBidi" w:cstheme="majorBidi" w:hAnsiTheme="majorBidi"/>
          <w:b/>
          <w:sz w:val="20"/>
        </w:rPr>
      </w:pPr>
      <w:r>
        <w:rPr>
          <w:rFonts w:eastAsia="Arial" w:cs="" w:cstheme="majorBidi"/>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BodyText"/>
        <w:numPr>
          <w:ilvl w:val="0"/>
          <w:numId w:val="2"/>
        </w:numPr>
        <w:spacing w:lineRule="auto" w:line="276" w:before="120" w:after="0"/>
        <w:ind w:hanging="567" w:left="567"/>
        <w:jc w:val="center"/>
        <w:rPr>
          <w:rStyle w:val="PagrindinistekstasDiagrama"/>
          <w:rFonts w:cs="" w:asciiTheme="majorBidi" w:cstheme="majorBidi" w:hAnsiTheme="majorBidi"/>
          <w:b/>
          <w:bCs/>
          <w:szCs w:val="20"/>
        </w:rPr>
      </w:pPr>
      <w:r>
        <w:rPr>
          <w:rStyle w:val="PagrindinistekstasDiagrama"/>
          <w:rFonts w:cs="" w:asciiTheme="majorBidi" w:cstheme="majorBidi" w:hAnsiTheme="majorBidi"/>
          <w:b/>
          <w:bCs/>
          <w:szCs w:val="20"/>
        </w:rPr>
        <w:t>PASLAUGŲ KOKYBĖ, PERDAVIMO IR PRIĖMIMO TVARKA</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pPr>
        <w:pStyle w:val="ListParagraph"/>
        <w:keepLines/>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gavęs aukščiau nurodytą Pirkėjo pranešimą, privalo savo sąskaita pašalinti nurodytus Sutarties vykdymo pažeidimus (neatitikimus) per Pirkėjo nurodytą protingą terminą.</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Tiekėjui nepašalinus Paslaugų trūkumų per Pirkėjo nustatytą terminą, Pirkėjas turi teisę vėliau perduodamų Paslaugų nepriimti ir už jas nesumokėti bei pateikti Tiekėjui pranešimą apie jų nepriėmimą.</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sukurtų rezultatų naudojimui (jeigu taikoma).</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Tiekėjas atsako už bet kokį suteiktomis Paslaugomis sukurto rezultato, kuris buvo Paslaugų perdavimo Pirkėjui momentu, neatitikimą kokybės reikalavimams, net jeigu tas neatitikimas paaiškėja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pPr>
        <w:pStyle w:val="BodyText"/>
        <w:spacing w:lineRule="auto" w:line="276"/>
        <w:ind w:firstLine="567"/>
        <w:jc w:val="both"/>
        <w:rPr>
          <w:rStyle w:val="PagrindinistekstasDiagrama"/>
          <w:rFonts w:cs="" w:asciiTheme="majorBidi" w:cstheme="majorBidi" w:hAnsiTheme="majorBidi"/>
          <w:szCs w:val="20"/>
        </w:rPr>
      </w:pPr>
      <w:r>
        <w:rPr>
          <w:rStyle w:val="PagrindinistekstasDiagrama"/>
          <w:rFonts w:cs="" w:asciiTheme="majorBidi" w:cstheme="majorBidi" w:hAnsiTheme="majorBidi"/>
          <w:b/>
          <w:bCs/>
          <w:i/>
          <w:iCs/>
          <w:szCs w:val="20"/>
        </w:rPr>
        <w:t>Sutarties punktas taikomas, kai Specialiosiose sutarties sąlygose numatytas Paslaugų teikimas etapais/ periodiškai (</w:t>
      </w:r>
      <w:r>
        <w:rPr>
          <w:rStyle w:val="PagrindinistekstasDiagrama"/>
          <w:rFonts w:cs="Times New Roman" w:ascii="Times New Roman" w:hAnsi="Times New Roman"/>
          <w:b/>
          <w:bCs/>
          <w:i/>
          <w:iCs/>
          <w:szCs w:val="20"/>
        </w:rPr>
        <w:fldChar w:fldCharType="begin"/>
      </w:r>
      <w:r>
        <w:rPr>
          <w:rStyle w:val="PagrindinistekstasDiagrama"/>
          <w:i/>
          <w:b/>
          <w:szCs w:val="20"/>
          <w:iCs/>
          <w:bCs/>
          <w:rFonts w:cs="Times New Roman" w:ascii="Times New Roman" w:hAnsi="Times New Roman"/>
        </w:rPr>
        <w:instrText xml:space="preserve"> REF _Ref159258454 \r \h </w:instrText>
      </w:r>
      <w:r>
        <w:rPr>
          <w:rStyle w:val="PagrindinistekstasDiagrama"/>
          <w:i/>
          <w:b/>
          <w:szCs w:val="20"/>
          <w:iCs/>
          <w:bCs/>
          <w:rFonts w:cs="Times New Roman" w:ascii="Times New Roman" w:hAnsi="Times New Roman"/>
        </w:rPr>
        <w:fldChar w:fldCharType="separate"/>
      </w:r>
      <w:r>
        <w:rPr>
          <w:rStyle w:val="PagrindinistekstasDiagrama"/>
          <w:i/>
          <w:b/>
          <w:szCs w:val="20"/>
          <w:iCs/>
          <w:bCs/>
          <w:rFonts w:cs="Times New Roman" w:ascii="Times New Roman" w:hAnsi="Times New Roman"/>
        </w:rPr>
        <w:t>7.9</w:t>
      </w:r>
      <w:r>
        <w:rPr>
          <w:rStyle w:val="PagrindinistekstasDiagrama"/>
          <w:i/>
          <w:b/>
          <w:szCs w:val="20"/>
          <w:iCs/>
          <w:bCs/>
          <w:rFonts w:cs="Times New Roman" w:ascii="Times New Roman" w:hAnsi="Times New Roman"/>
        </w:rPr>
        <w:fldChar w:fldCharType="end"/>
      </w:r>
      <w:r>
        <w:rPr>
          <w:rStyle w:val="PagrindinistekstasDiagrama"/>
          <w:rFonts w:cs="" w:asciiTheme="majorBidi" w:cstheme="majorBidi" w:hAnsiTheme="majorBidi"/>
          <w:b/>
          <w:bCs/>
          <w:i/>
          <w:iCs/>
          <w:szCs w:val="20"/>
        </w:rPr>
        <w:t xml:space="preserve"> p.):</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bookmarkStart w:id="3" w:name="_Ref159258454"/>
      <w:r>
        <w:rPr>
          <w:rStyle w:val="PagrindinistekstasDiagrama"/>
          <w:rFonts w:cs="" w:cstheme="majorBidi"/>
          <w:sz w:val="20"/>
        </w:rPr>
        <w:t>Jei Paslaugos teikiamos etapais / periodiškai, nustatoma tokia Paslaugų teikimo, perdavimo ir priėmimo tvarka:</w:t>
      </w:r>
      <w:bookmarkEnd w:id="3"/>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Suteiktų Paslaugų etapas / periodas priimamas abiem Šalims pasirašius Paslaugų perdavimo-priėmimo aktą arba Sąskaitą.</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Pr>
          <w:rStyle w:val="PagrindinistekstasDiagrama"/>
          <w:rFonts w:cs="" w:cstheme="majorBidi"/>
          <w:i/>
          <w:iCs/>
          <w:sz w:val="20"/>
        </w:rPr>
        <w:t>(taikoma, jei paslaugos teikiamos etapais</w:t>
      </w:r>
      <w:r>
        <w:rPr>
          <w:rStyle w:val="PagrindinistekstasDiagrama"/>
          <w:rFonts w:cs="" w:cstheme="majorBidi"/>
          <w:sz w:val="20"/>
        </w:rPr>
        <w:t>).</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Bet kurio Paslaugų etapo atlikimo terminas, susijęs su ankstesniojo Paslaugų etapo suteikimu, nebus pratęstas, jei Pirkėjas nepasirašys ankstesniojo etapo Paslaugų priėmimo-perdavimo akto dėl Tiekėjo kaltės (</w:t>
      </w:r>
      <w:r>
        <w:rPr>
          <w:rStyle w:val="PagrindinistekstasDiagrama"/>
          <w:rFonts w:cs="" w:cstheme="majorBidi"/>
          <w:i/>
          <w:iCs/>
          <w:sz w:val="20"/>
        </w:rPr>
        <w:t>taikoma, jei paslaugos teikiamos etapais</w:t>
      </w:r>
      <w:r>
        <w:rPr>
          <w:rStyle w:val="PagrindinistekstasDiagrama"/>
          <w:rFonts w:cs="" w:cstheme="majorBidi"/>
          <w:sz w:val="20"/>
        </w:rPr>
        <w:t>).</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Pirkėjas pastabas ir etapas / periodas bus įvykdytas tinkamai, nepaisant delspinigių skaičiavimo.</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jc w:val="center"/>
        <w:rPr>
          <w:rStyle w:val="PagrindinistekstasDiagrama"/>
          <w:rFonts w:cs="" w:asciiTheme="majorBidi" w:cstheme="majorBidi" w:hAnsiTheme="majorBidi"/>
          <w:b/>
          <w:bCs/>
          <w:sz w:val="20"/>
        </w:rPr>
      </w:pPr>
      <w:r>
        <w:rPr>
          <w:rFonts w:cs="" w:cstheme="majorBidi"/>
          <w:b/>
          <w:bCs/>
          <w:sz w:val="20"/>
        </w:rPr>
        <w:t>SUTARTIES ĮVYKDYMO UŽTIKRINIMAS</w:t>
      </w:r>
    </w:p>
    <w:p>
      <w:pPr>
        <w:pStyle w:val="BodyText"/>
        <w:spacing w:lineRule="auto" w:line="276" w:before="120" w:after="0"/>
        <w:ind w:firstLine="567"/>
        <w:jc w:val="both"/>
        <w:rPr>
          <w:rFonts w:eastAsia="Arial" w:cs="" w:asciiTheme="majorBidi" w:cstheme="majorBidi" w:hAnsiTheme="majorBidi"/>
          <w:b/>
          <w:bCs/>
          <w:i/>
          <w:i/>
          <w:iCs/>
          <w:szCs w:val="20"/>
          <w:shd w:fill="FFFFFF" w:val="clear"/>
        </w:rPr>
      </w:pPr>
      <w:r>
        <w:rPr>
          <w:rStyle w:val="PagrindinistekstasDiagrama"/>
          <w:rFonts w:cs="" w:asciiTheme="majorBidi" w:cstheme="majorBidi" w:hAnsiTheme="majorBidi"/>
          <w:b/>
          <w:bCs/>
          <w:i/>
          <w:iCs/>
          <w:szCs w:val="20"/>
        </w:rPr>
        <w:t xml:space="preserve">Šio skyriaus nuostatos taikomos tuomet, kai Sutarties Specialiosiose sutarties sąlygose numatyta, jog tinkamam Sutarties įvykdymui užtikrinti Tiekėjas turi pateikti </w:t>
      </w:r>
      <w:r>
        <w:rPr>
          <w:rFonts w:eastAsia="Arial" w:cs="" w:asciiTheme="majorBidi" w:cstheme="majorBidi" w:hAnsiTheme="majorBidi"/>
          <w:b/>
          <w:bCs/>
          <w:i/>
          <w:iCs/>
          <w:szCs w:val="20"/>
          <w:shd w:fill="FFFFFF" w:val="clear"/>
        </w:rPr>
        <w:t>sutartinių įsipareigojimų įvykdymo užtikrinimą.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eastAsia="Cambria" w:cs="" w:cstheme="majorBidi"/>
          <w:sz w:val="20"/>
          <w:shd w:fill="FFFFFF" w:val="clear"/>
        </w:rPr>
        <w:t>Tiekėjas</w:t>
      </w:r>
      <w:r>
        <w:rPr>
          <w:rStyle w:val="PagrindinistekstasDiagrama"/>
          <w:rFonts w:cs="" w:cstheme="majorBidi"/>
          <w:sz w:val="20"/>
        </w:rPr>
        <w:t xml:space="preserve"> ne vėliau kaip per 5 (penkias) darbo dienas nuo Sutarties pasirašymo dienos arba per kitą Specialiosiose sutarties sąlygose nustatytą terminą</w:t>
      </w:r>
      <w:r>
        <w:rPr>
          <w:rFonts w:eastAsia="Cambria" w:cs="" w:cstheme="majorBidi"/>
          <w:sz w:val="20"/>
          <w:shd w:fill="FFFFFF" w:val="clear"/>
        </w:rPr>
        <w:t xml:space="preserve"> privalo pateikti Pirkėjo Specialiosiose sąlygose nurodytos rūšies ir dydžio Sutarties įvykdymo užtikrinimą (toliau – </w:t>
      </w:r>
      <w:r>
        <w:rPr>
          <w:rFonts w:eastAsia="Cambria" w:cs="" w:cstheme="majorBidi"/>
          <w:b/>
          <w:bCs/>
          <w:sz w:val="20"/>
          <w:shd w:fill="FFFFFF" w:val="clear"/>
        </w:rPr>
        <w:t>Sutarties įvykdymo užtikrinimas</w:t>
      </w:r>
      <w:r>
        <w:rPr>
          <w:rFonts w:eastAsia="Cambria" w:cs="" w:cstheme="majorBidi"/>
          <w:sz w:val="20"/>
          <w:shd w:fill="FFFFFF" w:val="clear"/>
        </w:rPr>
        <w:t>).</w:t>
      </w:r>
      <w:r>
        <w:rPr>
          <w:rFonts w:eastAsia="Cambria" w:cs="" w:cstheme="majorBidi"/>
          <w:sz w:val="20"/>
        </w:rPr>
        <w:t xml:space="preserve">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pPr>
        <w:pStyle w:val="ListParagraph"/>
        <w:keepLines/>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Style w:val="PagrindinistekstasDiagrama"/>
          <w:rFonts w:cs="" w:cstheme="majorBidi"/>
          <w:sz w:val="20"/>
        </w:rPr>
        <w:t>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Kredito įstaiga (ar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užtikrinimas turi įsigalioti ne vėliau negu jo pateikimo Pirkėjui dieną.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užtikrinimo suma turi būti nurodoma ir išmokama eurais.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užtikrinimas turi būti surašytas lietuvių arba kita kalba (esant Pirkėjo prašymui, turi būti pateiktas vertimas į lietuvių kalbą).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Sutarties įvykdymo užtikrinime nurodytas jo galiojimo terminas turi būti ne trumpesnis nei Sutarties galiojimo terminas.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Pr>
          <w:rStyle w:val="PagrindinistekstasDiagrama"/>
          <w:rFonts w:cs="" w:cstheme="majorBidi"/>
          <w:sz w:val="20"/>
        </w:rPr>
        <w:t xml:space="preserve"> Sutarties įvykdymo užtikrinimo galiojimo termino pratęsimo (kai Sutarties užtikrinimas pateiktas trumpesniam laikui, nei Sutarties galiojimas) tvarkos pažeidimas laikomas </w:t>
      </w:r>
      <w:r>
        <w:rPr>
          <w:rStyle w:val="PagrindinistekstasDiagrama"/>
          <w:rFonts w:cs="" w:cstheme="majorBidi"/>
          <w:b/>
          <w:bCs/>
          <w:sz w:val="20"/>
        </w:rPr>
        <w:t>esminiu Sutarties pažeidimu</w:t>
      </w:r>
      <w:r>
        <w:rPr>
          <w:rStyle w:val="PagrindinistekstasDiagrama"/>
          <w:rFonts w:cs="" w:cstheme="majorBidi"/>
          <w:sz w:val="20"/>
        </w:rPr>
        <w:t>.</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ListParagraph"/>
        <w:numPr>
          <w:ilvl w:val="1"/>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Pirkėjas gali pasinaudoti Sutarties įvykdymo užtikrinimu, esant bet kuriai iš žemiau nurodytų aplinkybių:</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nevykdo arba netinkamai vykdo savo įsipareigojimus pagal Sutartį;</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per protingai nustatytą laikotarpį neįvykdo Pirkėjo nurodymo ištaisyti Paslaugų trūkumus;</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pPr>
        <w:pStyle w:val="ListParagraph"/>
        <w:numPr>
          <w:ilvl w:val="2"/>
          <w:numId w:val="2"/>
        </w:numPr>
        <w:tabs>
          <w:tab w:val="clear" w:pos="1296"/>
          <w:tab w:val="left" w:pos="709" w:leader="none"/>
        </w:tabs>
        <w:spacing w:lineRule="auto" w:line="276"/>
        <w:ind w:hanging="0" w:left="0"/>
        <w:jc w:val="both"/>
        <w:rPr>
          <w:rFonts w:eastAsia="Cambria" w:cs="" w:asciiTheme="majorBidi" w:cstheme="majorBidi" w:hAnsiTheme="majorBidi"/>
          <w:sz w:val="20"/>
          <w:shd w:fill="FFFFFF" w:val="clear"/>
        </w:rPr>
      </w:pPr>
      <w:r>
        <w:rPr>
          <w:rFonts w:cs="" w:cstheme="majorBidi"/>
          <w:sz w:val="20"/>
        </w:rPr>
        <w:t>Tiekėjas be pateisinamos priežasties (ne Sutartyje nustatytais atvejais) vienašališkai nutraukia Sutartį.</w:t>
      </w:r>
    </w:p>
    <w:p>
      <w:pPr>
        <w:pStyle w:val="ListParagraph"/>
        <w:numPr>
          <w:ilvl w:val="1"/>
          <w:numId w:val="2"/>
        </w:numPr>
        <w:tabs>
          <w:tab w:val="clear" w:pos="1296"/>
          <w:tab w:val="left" w:pos="709" w:leader="none"/>
        </w:tabs>
        <w:spacing w:lineRule="auto" w:line="276"/>
        <w:ind w:hanging="0" w:left="0"/>
        <w:jc w:val="both"/>
        <w:textAlignment w:val="baseline"/>
        <w:rPr>
          <w:rFonts w:cs="" w:asciiTheme="majorBidi" w:cstheme="majorBidi" w:hAnsiTheme="majorBidi"/>
          <w:sz w:val="20"/>
        </w:rPr>
      </w:pPr>
      <w:r>
        <w:rPr>
          <w:rFonts w:cs="" w:cstheme="majorBidi"/>
          <w:sz w:val="20"/>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pPr>
        <w:pStyle w:val="ListParagraph"/>
        <w:tabs>
          <w:tab w:val="clear" w:pos="1296"/>
          <w:tab w:val="left" w:pos="709" w:leader="none"/>
        </w:tabs>
        <w:spacing w:lineRule="auto" w:line="276" w:before="0" w:after="0"/>
        <w:ind w:left="0"/>
        <w:contextualSpacing w:val="false"/>
        <w:jc w:val="both"/>
        <w:rPr>
          <w:rStyle w:val="PagrindinistekstasDiagrama"/>
          <w:rFonts w:cs="" w:asciiTheme="majorBidi" w:cstheme="majorBidi" w:hAnsiTheme="majorBidi"/>
          <w:sz w:val="20"/>
        </w:rPr>
      </w:pPr>
      <w:r>
        <w:rPr>
          <w:rFonts w:cs="" w:asciiTheme="majorBidi" w:cstheme="majorBidi" w:hAnsiTheme="majorBidi"/>
          <w:sz w:val="20"/>
        </w:rPr>
      </w:r>
    </w:p>
    <w:p>
      <w:pPr>
        <w:pStyle w:val="Normal"/>
        <w:spacing w:lineRule="auto" w:line="276" w:before="0" w:after="160"/>
        <w:rPr>
          <w:rStyle w:val="PagrindinistekstasDiagrama"/>
          <w:rFonts w:cs="" w:asciiTheme="majorBidi" w:cstheme="majorBidi" w:hAnsiTheme="majorBidi"/>
          <w:b/>
          <w:bCs/>
          <w:sz w:val="20"/>
        </w:rPr>
      </w:pPr>
      <w:r>
        <w:rPr>
          <w:rFonts w:cs="" w:asciiTheme="majorBidi" w:cstheme="majorBidi" w:hAnsiTheme="majorBidi"/>
          <w:b/>
          <w:bCs/>
          <w:sz w:val="20"/>
        </w:rPr>
      </w:r>
      <w:r>
        <w:br w:type="page"/>
      </w:r>
    </w:p>
    <w:p>
      <w:pPr>
        <w:pStyle w:val="ListParagraph"/>
        <w:numPr>
          <w:ilvl w:val="0"/>
          <w:numId w:val="2"/>
        </w:numPr>
        <w:tabs>
          <w:tab w:val="clear" w:pos="1296"/>
          <w:tab w:val="left" w:pos="567" w:leader="none"/>
        </w:tabs>
        <w:spacing w:lineRule="auto" w:line="276" w:before="0" w:after="0"/>
        <w:ind w:hanging="567" w:left="567"/>
        <w:contextualSpacing w:val="false"/>
        <w:jc w:val="center"/>
        <w:rPr>
          <w:rFonts w:cs="" w:asciiTheme="majorBidi" w:cstheme="majorBidi" w:hAnsiTheme="majorBidi"/>
          <w:b/>
          <w:bCs/>
          <w:sz w:val="20"/>
        </w:rPr>
      </w:pPr>
      <w:r>
        <w:rPr>
          <w:rStyle w:val="PagrindinistekstasDiagrama"/>
          <w:rFonts w:cs="" w:cstheme="majorBidi"/>
          <w:b/>
          <w:bCs/>
          <w:sz w:val="20"/>
        </w:rPr>
        <w:t>SUTARTIES KAINA IR JOS PERSKAIČIAVIMAS</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r>
        <w:rPr>
          <w:rStyle w:val="PagrindinistekstasDiagrama"/>
          <w:rFonts w:cs="" w:cstheme="majorBidi"/>
          <w:sz w:val="20"/>
        </w:rPr>
        <w:t>Sutarties kainos apskaičiavimo būdas ir Pradinės Sutarties vertė nurodyta Specialiosiose sutarties sąlygose.</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Į Sutarties kainą yra įskaičiuoti visi mokesčiai ir visos Tiekėjo išlaidos, apimančios viską, ko reikia visiškam ir tinkamam Sutarties įvykdymui (įskaitant sąskaitų faktūrų pateikimo šioje Sutartyje numatytomis priemonėmis išlaidas):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apsirūpinimo medžiagomis ar įrankiais, reikalingais Paslaugoms teikti,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transporto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darbo užmokesčio ir/ar atlyginimo Subtiekėjui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visos su dokumentų, numatytų Techninėje specifikacijoje ir Sutartyje, rengimu, vertimu (jei reikalaujama) ir pateikimu susijusios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Specialiosiose sutarties sąlygose ar Techninėje specifikacijoje nurodytos Pirkėjo darbuotojų mokymo ir konsultavimo išlaidos;</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suteiktų Paslaugų garantijos ar garantinės priežiūros laikotarpiu, nustatytu Specialiosiose sutarties sąlygose ar Techninėje specifikacijoje, išlaidos;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kitos su Paslaugos teikimu ir kitų Sutartyje numatytų įsipareigojimų vykdymu susijusios išlaidos ir mokesčiai.</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Style w:val="PagrindinistekstasDiagrama"/>
          <w:rFonts w:cs="" w:cstheme="majorBidi"/>
          <w:sz w:val="20"/>
        </w:rPr>
        <w:t>Sutarties kainos perskaičiavimas galimas Specialiosiose sąlygose nustatytais atvejais ir tvarka.</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b/>
          <w:bCs/>
          <w:i/>
          <w:i/>
          <w:iCs/>
          <w:szCs w:val="20"/>
        </w:rPr>
      </w:pPr>
      <w:r>
        <w:rPr>
          <w:rFonts w:cs="" w:asciiTheme="majorBidi" w:cstheme="majorBidi" w:hAnsiTheme="majorBidi"/>
          <w:b/>
          <w:bCs/>
          <w:i/>
          <w:iCs/>
          <w:szCs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Style w:val="PagrindinistekstasDiagrama"/>
          <w:rFonts w:cs="" w:asciiTheme="majorBidi" w:cstheme="majorBidi" w:hAnsiTheme="majorBidi"/>
          <w:sz w:val="20"/>
        </w:rPr>
      </w:pPr>
      <w:r>
        <w:rPr>
          <w:rStyle w:val="PagrindinistekstasDiagrama"/>
          <w:rFonts w:cs="" w:cstheme="majorBidi"/>
          <w:b/>
          <w:bCs/>
          <w:sz w:val="20"/>
        </w:rPr>
        <w:t>ATSISKAITYMO TVARKA</w:t>
      </w:r>
    </w:p>
    <w:p>
      <w:pPr>
        <w:pStyle w:val="ListParagraph"/>
        <w:numPr>
          <w:ilvl w:val="1"/>
          <w:numId w:val="2"/>
        </w:numPr>
        <w:tabs>
          <w:tab w:val="clear" w:pos="1296"/>
          <w:tab w:val="left" w:pos="709" w:leader="none"/>
        </w:tabs>
        <w:spacing w:lineRule="auto" w:line="276" w:before="120" w:after="0"/>
        <w:ind w:hanging="0" w:left="0"/>
        <w:contextualSpacing w:val="false"/>
        <w:jc w:val="both"/>
        <w:rPr>
          <w:rStyle w:val="PagrindinistekstasDiagrama"/>
          <w:rFonts w:cs="" w:asciiTheme="majorBidi" w:cstheme="majorBidi" w:hAnsiTheme="majorBidi"/>
          <w:sz w:val="20"/>
        </w:rPr>
      </w:pPr>
      <w:bookmarkStart w:id="4" w:name="_Ref158104801"/>
      <w:r>
        <w:rPr>
          <w:rFonts w:eastAsia="Arial" w:cs="" w:cstheme="majorBidi"/>
          <w:sz w:val="20"/>
        </w:rPr>
        <w:t>Visi mokėjimai pagal Sutartį atliekami eurais.</w:t>
      </w:r>
      <w:r>
        <w:rPr>
          <w:rFonts w:cs="" w:cstheme="majorBidi"/>
          <w:sz w:val="20"/>
        </w:rPr>
        <w:t xml:space="preserve"> </w:t>
      </w:r>
      <w:r>
        <w:rPr>
          <w:rStyle w:val="PagrindinistekstasDiagrama"/>
          <w:rFonts w:cs="" w:cstheme="majorBidi"/>
          <w:sz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Style w:val="PagrindinistekstasDiagrama"/>
          <w:rFonts w:cs="" w:cstheme="majorBidi"/>
          <w:b/>
          <w:bCs/>
          <w:sz w:val="20"/>
        </w:rPr>
        <w:t>Europos elektroninių sąskaitų faktūrų standartas</w:t>
      </w:r>
      <w:r>
        <w:rPr>
          <w:rStyle w:val="PagrindinistekstasDiagrama"/>
          <w:rFonts w:cs="" w:cstheme="majorBidi"/>
          <w:sz w:val="20"/>
        </w:rPr>
        <w:t xml:space="preserve">), teikiamos Tiekėjo pasirinktomis priemonėmis. Europos elektroninių sąskaitų faktūrų standarto neatitinkančios elektroninės sąskaitos faktūros gali būti teikiamos tik naudojantis </w:t>
      </w:r>
      <w:r>
        <w:rPr>
          <w:rFonts w:cs="" w:cstheme="majorBidi"/>
          <w:sz w:val="20"/>
        </w:rPr>
        <w:t xml:space="preserve">Sąskaitų administravimo bendrosios informacinės sistemos (SABIS) </w:t>
      </w:r>
      <w:r>
        <w:rPr>
          <w:rFonts w:eastAsia="Arial" w:cs="" w:cstheme="majorBidi"/>
          <w:sz w:val="20"/>
        </w:rPr>
        <w:t>(</w:t>
      </w:r>
      <w:hyperlink r:id="rId3">
        <w:r>
          <w:rPr>
            <w:rStyle w:val="Hyperlink"/>
            <w:rFonts w:eastAsia="Arial" w:cs="" w:cstheme="majorBidi"/>
            <w:sz w:val="20"/>
          </w:rPr>
          <w:t>sabis.nbfc.lt</w:t>
        </w:r>
      </w:hyperlink>
      <w:r>
        <w:rPr>
          <w:rFonts w:eastAsia="Arial" w:cs="" w:cstheme="majorBidi"/>
          <w:sz w:val="20"/>
        </w:rPr>
        <w:t xml:space="preserve">) </w:t>
      </w:r>
      <w:r>
        <w:rPr>
          <w:rStyle w:val="PagrindinistekstasDiagrama"/>
          <w:rFonts w:cs="" w:cstheme="majorBidi"/>
          <w:sz w:val="20"/>
        </w:rPr>
        <w:t>priemonėmis. Išankstinio mokėjimo sąskaitas (jeigu Specialiosiose sąlygose yra pasirinktas avanso mokėjimas) Tiekėjas privalo pateikti šiame Sutarties punkte nustatyta tvarka.</w:t>
      </w:r>
      <w:bookmarkEnd w:id="4"/>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Pr>
          <w:rStyle w:val="PagrindinistekstasDiagrama"/>
          <w:sz w:val="20"/>
        </w:rPr>
        <w:fldChar w:fldCharType="begin"/>
      </w:r>
      <w:r>
        <w:rPr>
          <w:rStyle w:val="PagrindinistekstasDiagrama"/>
          <w:sz w:val="20"/>
        </w:rPr>
        <w:instrText xml:space="preserve"> REF _Ref158104801 \r \h </w:instrText>
      </w:r>
      <w:r>
        <w:rPr>
          <w:rStyle w:val="PagrindinistekstasDiagrama"/>
          <w:sz w:val="20"/>
        </w:rPr>
        <w:fldChar w:fldCharType="separate"/>
      </w:r>
      <w:r>
        <w:rPr>
          <w:rStyle w:val="PagrindinistekstasDiagrama"/>
          <w:sz w:val="20"/>
        </w:rPr>
        <w:t>10.1</w:t>
      </w:r>
      <w:r>
        <w:rPr>
          <w:rStyle w:val="PagrindinistekstasDiagrama"/>
          <w:sz w:val="20"/>
        </w:rPr>
        <w:fldChar w:fldCharType="end"/>
      </w:r>
      <w:r>
        <w:rPr>
          <w:rStyle w:val="PagrindinistekstasDiagrama"/>
          <w:rFonts w:cs="" w:cstheme="majorBidi"/>
          <w:sz w:val="20"/>
        </w:rPr>
        <w:t xml:space="preserve"> punkte numatytas priemones dienos, lėšas pervesdamas į Tiekėjo banko sąskaitą, nurodytą Specialiosiose sutarties sąlygose. Šiame Sutarties punkte nurodyti mokėjimų terminai, susieti su finansavimu, gaunamu iš trečiųjų šalių, gali būti pratęsti Pirkėjo vienašališkai, tačiau bet kokiu atveju šie terminai negali viršyti 60 (šešiasdešimt) kalendorinių dienų.</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eastAsia="Arial" w:cs="" w:cstheme="majorBidi"/>
          <w:sz w:val="20"/>
        </w:rPr>
        <w:t>Už pavėluotus mokėjimus pagal Sutartį mokančioji Šalis privalo sumokėti kitai Šaliai Specialiosiose sąlygose nurodyto dydžio netesybas.</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Kai už pagal Sutartį teikiamas Paslaugas bus atsiskaitoma etapais, ar periodiškai apie tai nurodoma Specialiose sutarties sąlygose kartu su atsiskaitymo etapais / periodais už pagal Sutartį teikiamas Paslaugas tvarka ir sąlygomis</w:t>
      </w:r>
      <w:r>
        <w:rPr>
          <w:rStyle w:val="PagrindinistekstasDiagrama"/>
          <w:rFonts w:cs="" w:cstheme="majorBidi"/>
          <w:i/>
          <w:iCs/>
          <w:sz w:val="20"/>
        </w:rPr>
        <w:t>.</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5" w:name="_Ref158104837"/>
      <w:r>
        <w:rPr>
          <w:rFonts w:eastAsia="Arial" w:cs="" w:cstheme="majorBidi"/>
          <w:sz w:val="20"/>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mokėjimus Tiekėjui, atitinkančius tokių suteiktų Paslaugų vertę, iki tol, kol Tiekėjas pašalina nustatytus Paslaugų trūkumus ir Šalys tą patvirtina (atskiru susitarimu ar el. laišku).</w:t>
      </w:r>
      <w:bookmarkEnd w:id="5"/>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eastAsia="Arial" w:cs="" w:cstheme="majorBidi"/>
          <w:sz w:val="20"/>
        </w:rPr>
        <w:t>Jeigu Šalys sudaro trišalį susitarimą su Subtiekėju:</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eastAsia="Arial" w:cs="" w:cstheme="majorBidi"/>
          <w:sz w:val="20"/>
        </w:rPr>
        <w:t>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ListParagraph"/>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Fonts w:eastAsia="Arial" w:cs="" w:cstheme="majorBidi"/>
          <w:sz w:val="20"/>
        </w:rPr>
        <w:t xml:space="preserve">jeigu Pirkėjas pagal Bendrųjų sąlygų </w:t>
      </w:r>
      <w:r>
        <w:rPr>
          <w:rFonts w:eastAsia="Arial"/>
          <w:sz w:val="20"/>
        </w:rPr>
        <w:fldChar w:fldCharType="begin"/>
      </w:r>
      <w:r>
        <w:rPr>
          <w:sz w:val="20"/>
          <w:rFonts w:eastAsia="Arial"/>
        </w:rPr>
        <w:instrText xml:space="preserve"> REF _Ref158104837 \r \h </w:instrText>
      </w:r>
      <w:r>
        <w:rPr>
          <w:sz w:val="20"/>
          <w:rFonts w:eastAsia="Arial"/>
        </w:rPr>
        <w:fldChar w:fldCharType="separate"/>
      </w:r>
      <w:r>
        <w:rPr>
          <w:sz w:val="20"/>
          <w:rFonts w:eastAsia="Arial"/>
        </w:rPr>
        <w:t>10.5</w:t>
      </w:r>
      <w:r>
        <w:rPr>
          <w:sz w:val="20"/>
          <w:rFonts w:eastAsia="Arial"/>
        </w:rPr>
        <w:fldChar w:fldCharType="end"/>
      </w:r>
      <w:r>
        <w:rPr>
          <w:rFonts w:eastAsia="Arial" w:cs="" w:cstheme="majorBidi"/>
          <w:sz w:val="20"/>
        </w:rPr>
        <w:t xml:space="preserve"> punktą pareiškia pretenziją Tiekėjui dėl suteiktų Paslaugų trūkumų, Tiekėjas turi teisę nurodyti Pirkėjui kurią tokių Paslaugų dalį, pinigine išraiška, suteikė konkretus Subtiekėjas. Tokiu atveju Pirkėjas turi teisę, vadovaudamasis Bendrųjų sąlygų </w:t>
      </w:r>
      <w:r>
        <w:rPr>
          <w:rFonts w:eastAsia="Arial"/>
          <w:sz w:val="20"/>
        </w:rPr>
        <w:fldChar w:fldCharType="begin"/>
      </w:r>
      <w:r>
        <w:rPr>
          <w:sz w:val="20"/>
          <w:rFonts w:eastAsia="Arial"/>
        </w:rPr>
        <w:instrText xml:space="preserve"> REF _Ref158104837 \r \h </w:instrText>
      </w:r>
      <w:r>
        <w:rPr>
          <w:sz w:val="20"/>
          <w:rFonts w:eastAsia="Arial"/>
        </w:rPr>
        <w:fldChar w:fldCharType="separate"/>
      </w:r>
      <w:r>
        <w:rPr>
          <w:sz w:val="20"/>
          <w:rFonts w:eastAsia="Arial"/>
        </w:rPr>
        <w:t>10.5</w:t>
      </w:r>
      <w:r>
        <w:rPr>
          <w:sz w:val="20"/>
          <w:rFonts w:eastAsia="Arial"/>
        </w:rPr>
        <w:fldChar w:fldCharType="end"/>
      </w:r>
      <w:r>
        <w:rPr>
          <w:rFonts w:eastAsia="Arial" w:cs="" w:cstheme="majorBidi"/>
          <w:sz w:val="20"/>
        </w:rPr>
        <w:t xml:space="preserve"> punktu, sulaikyti mokėjimus tokiam subtiekėjui, jeigu Pirkėjas turi jam mokėtinų sumų, arba pačiam Tiekėjui.</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r>
        <w:rPr>
          <w:rStyle w:val="PagrindinistekstasDiagrama"/>
          <w:rFonts w:cs="" w:cstheme="majorBidi"/>
          <w:sz w:val="20"/>
        </w:rPr>
        <w:t>Sumokėjimo diena – tai diena, kai lėšos išskaitomos iš Pirkėjo sąskaitos. Jeigu mokėjimo termino diena sutampa su poilsio diena, tai mokėjimų pagal Sutartį mokėjimo diena laikoma po jos einanti darbo diena.</w:t>
      </w:r>
    </w:p>
    <w:p>
      <w:pPr>
        <w:pStyle w:val="ListParagraph"/>
        <w:numPr>
          <w:ilvl w:val="1"/>
          <w:numId w:val="2"/>
        </w:numPr>
        <w:tabs>
          <w:tab w:val="clear" w:pos="1296"/>
          <w:tab w:val="left" w:pos="709" w:leader="none"/>
        </w:tabs>
        <w:spacing w:lineRule="auto" w:line="276"/>
        <w:ind w:hanging="0" w:left="0"/>
        <w:jc w:val="both"/>
        <w:rPr>
          <w:rFonts w:eastAsia="Arial" w:cs="" w:asciiTheme="majorBidi" w:cstheme="majorBidi" w:hAnsiTheme="majorBidi"/>
          <w:sz w:val="20"/>
        </w:rPr>
      </w:pPr>
      <w:r>
        <w:rPr>
          <w:rFonts w:eastAsia="Arial" w:cs="" w:cstheme="majorBidi"/>
          <w:sz w:val="20"/>
        </w:rPr>
        <w:t>Jei Paslaugos teikiamos Sutarties specialiosiose sąlygose ar Techninėje specifikacijoje įtvirtintomis dalimis, aukščiau nurodyta atsiskaitymo tvarka galioja kiekvienai tokiai daliai, jei Specialiosiose sąlygose nenustatyta kitaip.</w:t>
      </w:r>
    </w:p>
    <w:p>
      <w:pPr>
        <w:pStyle w:val="Normal"/>
        <w:spacing w:lineRule="auto" w:line="276" w:before="0" w:after="160"/>
        <w:rPr>
          <w:rFonts w:eastAsia="Arial" w:cs="" w:asciiTheme="majorBidi" w:cstheme="majorBidi" w:hAnsiTheme="majorBidi"/>
          <w:sz w:val="20"/>
        </w:rPr>
      </w:pPr>
      <w:r>
        <w:rPr>
          <w:rFonts w:eastAsia="Arial" w:cs="" w:asciiTheme="majorBidi" w:cstheme="majorBidi" w:hAnsiTheme="majorBidi"/>
          <w:sz w:val="20"/>
        </w:rPr>
      </w:r>
      <w:r>
        <w:br w:type="page"/>
      </w:r>
    </w:p>
    <w:p>
      <w:pPr>
        <w:pStyle w:val="ListParagraph"/>
        <w:tabs>
          <w:tab w:val="clear" w:pos="1296"/>
          <w:tab w:val="left" w:pos="709" w:leader="none"/>
        </w:tabs>
        <w:spacing w:lineRule="auto" w:line="276" w:before="0" w:after="0"/>
        <w:ind w:left="0"/>
        <w:contextualSpacing/>
        <w:jc w:val="both"/>
        <w:rPr>
          <w:rStyle w:val="PagrindinistekstasDiagrama"/>
          <w:rFonts w:cs="" w:asciiTheme="majorBidi" w:cstheme="majorBidi" w:hAnsiTheme="majorBidi"/>
          <w:sz w:val="20"/>
        </w:rPr>
      </w:pPr>
      <w:r>
        <w:rPr>
          <w:rFonts w:cs="" w:asciiTheme="majorBidi" w:cstheme="majorBidi" w:hAnsiTheme="majorBidi"/>
          <w:sz w:val="20"/>
        </w:rPr>
      </w:r>
    </w:p>
    <w:p>
      <w:pPr>
        <w:pStyle w:val="BodyText"/>
        <w:keepLines/>
        <w:spacing w:lineRule="auto" w:line="276"/>
        <w:ind w:firstLine="567"/>
        <w:jc w:val="both"/>
        <w:rPr>
          <w:rStyle w:val="PagrindinistekstasDiagrama"/>
          <w:rFonts w:cs="" w:asciiTheme="majorBidi" w:cstheme="majorBidi" w:hAnsiTheme="majorBidi"/>
          <w:szCs w:val="20"/>
        </w:rPr>
      </w:pPr>
      <w:r>
        <w:rPr>
          <w:rStyle w:val="PagrindinistekstasDiagrama"/>
          <w:rFonts w:cs="" w:asciiTheme="majorBidi" w:cstheme="majorBidi" w:hAnsiTheme="majorBidi"/>
          <w:b/>
          <w:bCs/>
          <w:i/>
          <w:iCs/>
          <w:szCs w:val="20"/>
        </w:rPr>
        <w:t>Sutarties punktai taikomi, kai Specialiosiose sutarties sąlygose numatytas avanso mokėjimas (</w:t>
      </w:r>
      <w:r>
        <w:rPr>
          <w:rStyle w:val="PagrindinistekstasDiagrama"/>
          <w:rFonts w:cs="Times New Roman" w:ascii="Times New Roman" w:hAnsi="Times New Roman"/>
          <w:b/>
          <w:bCs/>
          <w:i/>
          <w:iCs/>
          <w:szCs w:val="20"/>
        </w:rPr>
        <w:fldChar w:fldCharType="begin"/>
      </w:r>
      <w:r>
        <w:rPr>
          <w:rStyle w:val="PagrindinistekstasDiagrama"/>
          <w:i/>
          <w:b/>
          <w:szCs w:val="20"/>
          <w:iCs/>
          <w:bCs/>
          <w:rFonts w:cs="Times New Roman" w:ascii="Times New Roman" w:hAnsi="Times New Roman"/>
        </w:rPr>
        <w:instrText xml:space="preserve"> REF _Ref158104901 \r \h </w:instrText>
      </w:r>
      <w:r>
        <w:rPr>
          <w:rStyle w:val="PagrindinistekstasDiagrama"/>
          <w:i/>
          <w:b/>
          <w:szCs w:val="20"/>
          <w:iCs/>
          <w:bCs/>
          <w:rFonts w:cs="Times New Roman" w:ascii="Times New Roman" w:hAnsi="Times New Roman"/>
        </w:rPr>
        <w:fldChar w:fldCharType="separate"/>
      </w:r>
      <w:r>
        <w:rPr>
          <w:rStyle w:val="PagrindinistekstasDiagrama"/>
          <w:i/>
          <w:b/>
          <w:szCs w:val="20"/>
          <w:iCs/>
          <w:bCs/>
          <w:rFonts w:cs="Times New Roman" w:ascii="Times New Roman" w:hAnsi="Times New Roman"/>
        </w:rPr>
        <w:t>10.9</w:t>
      </w:r>
      <w:r>
        <w:rPr>
          <w:rStyle w:val="PagrindinistekstasDiagrama"/>
          <w:i/>
          <w:b/>
          <w:szCs w:val="20"/>
          <w:iCs/>
          <w:bCs/>
          <w:rFonts w:cs="Times New Roman" w:ascii="Times New Roman" w:hAnsi="Times New Roman"/>
        </w:rPr>
        <w:fldChar w:fldCharType="end"/>
      </w:r>
      <w:r>
        <w:rPr>
          <w:rStyle w:val="PagrindinistekstasDiagrama"/>
          <w:rFonts w:cs="" w:asciiTheme="majorBidi" w:cstheme="majorBidi" w:hAnsiTheme="majorBidi"/>
          <w:b/>
          <w:bCs/>
          <w:i/>
          <w:iCs/>
          <w:szCs w:val="20"/>
        </w:rPr>
        <w:t xml:space="preserve"> – </w:t>
      </w:r>
      <w:r>
        <w:rPr>
          <w:rStyle w:val="PagrindinistekstasDiagrama"/>
          <w:rFonts w:cs="Times New Roman" w:ascii="Times New Roman" w:hAnsi="Times New Roman"/>
          <w:b/>
          <w:bCs/>
          <w:i/>
          <w:iCs/>
          <w:szCs w:val="20"/>
        </w:rPr>
        <w:fldChar w:fldCharType="begin"/>
      </w:r>
      <w:r>
        <w:rPr>
          <w:rStyle w:val="PagrindinistekstasDiagrama"/>
          <w:i/>
          <w:b/>
          <w:szCs w:val="20"/>
          <w:iCs/>
          <w:bCs/>
          <w:rFonts w:cs="Times New Roman" w:ascii="Times New Roman" w:hAnsi="Times New Roman"/>
        </w:rPr>
        <w:instrText xml:space="preserve"> REF _Ref158104913 \r \h </w:instrText>
      </w:r>
      <w:r>
        <w:rPr>
          <w:rStyle w:val="PagrindinistekstasDiagrama"/>
          <w:i/>
          <w:b/>
          <w:szCs w:val="20"/>
          <w:iCs/>
          <w:bCs/>
          <w:rFonts w:cs="Times New Roman" w:ascii="Times New Roman" w:hAnsi="Times New Roman"/>
        </w:rPr>
        <w:fldChar w:fldCharType="separate"/>
      </w:r>
      <w:r>
        <w:rPr>
          <w:rStyle w:val="PagrindinistekstasDiagrama"/>
          <w:i/>
          <w:b/>
          <w:szCs w:val="20"/>
          <w:iCs/>
          <w:bCs/>
          <w:rFonts w:cs="Times New Roman" w:ascii="Times New Roman" w:hAnsi="Times New Roman"/>
        </w:rPr>
        <w:t>10.17</w:t>
      </w:r>
      <w:r>
        <w:rPr>
          <w:rStyle w:val="PagrindinistekstasDiagrama"/>
          <w:i/>
          <w:b/>
          <w:szCs w:val="20"/>
          <w:iCs/>
          <w:bCs/>
          <w:rFonts w:cs="Times New Roman" w:ascii="Times New Roman" w:hAnsi="Times New Roman"/>
        </w:rPr>
        <w:fldChar w:fldCharType="end"/>
      </w:r>
      <w:r>
        <w:rPr>
          <w:rStyle w:val="PagrindinistekstasDiagrama"/>
          <w:rFonts w:cs="" w:asciiTheme="majorBidi" w:cstheme="majorBidi" w:hAnsiTheme="majorBidi"/>
          <w:b/>
          <w:bCs/>
          <w:i/>
          <w:iCs/>
          <w:szCs w:val="20"/>
        </w:rPr>
        <w:t xml:space="preserve"> p.):</w:t>
      </w:r>
    </w:p>
    <w:p>
      <w:pPr>
        <w:pStyle w:val="ListParagraph"/>
        <w:keepLines/>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6" w:name="_Ref158104901"/>
      <w:r>
        <w:rPr>
          <w:rStyle w:val="PagrindinistekstasDiagrama"/>
          <w:rFonts w:cs="" w:cstheme="majorBidi"/>
          <w:sz w:val="20"/>
        </w:rPr>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Pr>
          <w:rFonts w:cs="" w:cstheme="majorBidi"/>
          <w:sz w:val="20"/>
        </w:rPr>
        <w:t xml:space="preserve">banko garantiją arba draudimo bendrovės laidavimo draudimo raštą arba kitą sutartinių įsipareigojimų įvykdymo užtikrinimą ne mažesnei kaip Specialiosiose sąlygose prašomo avanso dydžio sumai (toliau – </w:t>
      </w:r>
      <w:r>
        <w:rPr>
          <w:rFonts w:cs="" w:cstheme="majorBidi"/>
          <w:b/>
          <w:bCs/>
          <w:sz w:val="20"/>
        </w:rPr>
        <w:t>Avanso užtikrinimas</w:t>
      </w:r>
      <w:r>
        <w:rPr>
          <w:rFonts w:cs="" w:cstheme="majorBidi"/>
          <w:sz w:val="20"/>
        </w:rPr>
        <w:t>).</w:t>
      </w:r>
      <w:bookmarkEnd w:id="6"/>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užtikrinimas turi būti surašytas lietuvių arba kita kalba (esant Pirkėjo prašymui, turi būti pateiktas vertimas į lietuvių kalbą).</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užtikrinime nurodytas jo galiojimo terminas turi būti ne trumpesnis negu 30 (trisdešimt) dienų po Sutartyje numatyto vėliausio sutartinių įsipareigojimų įvykdymo termino pabaigos.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Avanso užtikrinimas, neatitinkantis šiame Sutarties skyriuje nustatytų reikalavimų, nebus priimamas.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Pirkėjas sumoka Tiekėjui avansą per Specialiosiose sąlygose numatytą terminą nuo išankstinio mokėjimo sąskaitos ir Avanso užtikrinimo gavimo dienos. Sumokėto avanso suma išskaitoma iš mokėtinos sumos. </w:t>
      </w:r>
    </w:p>
    <w:p>
      <w:pPr>
        <w:pStyle w:val="ListParagraph"/>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 w:val="20"/>
        </w:rPr>
      </w:pPr>
      <w:bookmarkStart w:id="7" w:name="_Ref158104913"/>
      <w:r>
        <w:rPr>
          <w:rFonts w:cs="" w:cstheme="majorBidi"/>
          <w:sz w:val="20"/>
        </w:rPr>
        <w:t xml:space="preserve">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sąlygų </w:t>
      </w:r>
      <w:r>
        <w:rPr>
          <w:sz w:val="20"/>
        </w:rPr>
        <w:fldChar w:fldCharType="begin"/>
      </w:r>
      <w:r>
        <w:rPr>
          <w:sz w:val="20"/>
        </w:rPr>
        <w:instrText xml:space="preserve"> REF _Ref158104901 \r \h </w:instrText>
      </w:r>
      <w:r>
        <w:rPr>
          <w:sz w:val="20"/>
        </w:rPr>
        <w:fldChar w:fldCharType="separate"/>
      </w:r>
      <w:r>
        <w:rPr>
          <w:sz w:val="20"/>
        </w:rPr>
        <w:t>10.9</w:t>
      </w:r>
      <w:r>
        <w:rPr>
          <w:sz w:val="20"/>
        </w:rPr>
        <w:fldChar w:fldCharType="end"/>
      </w:r>
      <w:r>
        <w:rPr>
          <w:rFonts w:cs="" w:cstheme="majorBidi"/>
          <w:sz w:val="20"/>
        </w:rPr>
        <w:t> punktas, Tiekėjas turi sumokėti Specialiosiose sąlygose nurodyto dydžio netesybas, skaičiuojamas nuo grąžintinos avanso sumos už laikotarpį nuo avanso išmokėjimo iki jo grąžinimo.</w:t>
      </w:r>
      <w:bookmarkEnd w:id="7"/>
    </w:p>
    <w:p>
      <w:pPr>
        <w:pStyle w:val="Normal"/>
        <w:tabs>
          <w:tab w:val="clear" w:pos="1296"/>
          <w:tab w:val="left" w:pos="709" w:leader="none"/>
        </w:tabs>
        <w:spacing w:lineRule="auto" w:line="276"/>
        <w:jc w:val="both"/>
        <w:rPr>
          <w:rStyle w:val="PagrindinistekstasDiagrama"/>
          <w:rFonts w:cs="" w:asciiTheme="majorBidi" w:cstheme="majorBidi" w:hAnsiTheme="majorBidi"/>
          <w:sz w:val="20"/>
        </w:rPr>
      </w:pPr>
      <w:r>
        <w:rPr>
          <w:rFonts w:cs="" w:asciiTheme="majorBidi" w:cstheme="majorBidi" w:hAnsiTheme="majorBidi"/>
          <w:sz w:val="20"/>
        </w:rPr>
      </w:r>
    </w:p>
    <w:p>
      <w:pPr>
        <w:pStyle w:val="ListParagraph"/>
        <w:numPr>
          <w:ilvl w:val="0"/>
          <w:numId w:val="2"/>
        </w:numPr>
        <w:tabs>
          <w:tab w:val="clear" w:pos="1296"/>
          <w:tab w:val="left" w:pos="567" w:leader="none"/>
        </w:tabs>
        <w:spacing w:lineRule="auto" w:line="276" w:before="120" w:after="0"/>
        <w:ind w:hanging="567" w:left="567"/>
        <w:contextualSpacing/>
        <w:jc w:val="center"/>
        <w:rPr>
          <w:rStyle w:val="PagrindinistekstasDiagrama"/>
          <w:rFonts w:cs="" w:asciiTheme="majorBidi" w:cstheme="majorBidi" w:hAnsiTheme="majorBidi"/>
          <w:b/>
          <w:bCs/>
          <w:sz w:val="20"/>
        </w:rPr>
      </w:pPr>
      <w:r>
        <w:rPr>
          <w:rStyle w:val="PagrindinistekstasDiagrama"/>
          <w:rFonts w:cs="" w:cstheme="majorBidi"/>
          <w:b/>
          <w:bCs/>
          <w:sz w:val="20"/>
        </w:rPr>
        <w:t>ŠALIŲ TEISĖS IR PAREIGOS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rPr>
      </w:pPr>
      <w:bookmarkStart w:id="8" w:name="bookmark10"/>
      <w:r>
        <w:rPr>
          <w:rStyle w:val="Heading11"/>
          <w:rFonts w:cs="" w:cstheme="majorBidi"/>
          <w:sz w:val="20"/>
        </w:rPr>
        <w:t>Pirkėjas įsipareigoja:</w:t>
      </w:r>
      <w:bookmarkEnd w:id="8"/>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priimti Sutartyje nustatytais terminais ir tvarka Tiekėjo suteiktas Paslaugas, atitinkančias Techninės specifikacijos ir teisės aktuose nustatytus reikalavimus;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sumokėti Tiekėjui už priimtas Paslaugas Sutartyje nustatytą kainą Sutartyje nustatytomis sąlygomis ir tvarka;</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bendradarbiauti su Tiekėju: suteikti Tiekėjui Tiekėjo pagrįstai prašomą, Pirkėjo turimą informaciją ir (ar) dokumentus, būtinus Sutarčiai tinkamai ir laiku įvykdyti;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Pirkėjas įsipareigoja tinkamai vykdyti kitus įsipareigojimus, numatytus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9" w:name="bookmark12"/>
      <w:r>
        <w:rPr>
          <w:rStyle w:val="Heading11"/>
          <w:rFonts w:cs="" w:cstheme="majorBidi"/>
          <w:b/>
          <w:bCs/>
          <w:szCs w:val="20"/>
        </w:rPr>
        <w:t>Pirkėjas turi teisę:</w:t>
      </w:r>
      <w:bookmarkEnd w:id="9"/>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Tiekėjas tinkamai ir laiku vykdytų įsipareigojimus, nurodytus Sutartyje bei Lietuvos Respublikoje galiojančiuose teisės aktuose;</w:t>
      </w:r>
    </w:p>
    <w:p>
      <w:pPr>
        <w:pStyle w:val="BodyText"/>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per Sutartyje nurodytą terminą, bet ne vėliau kaip iki Paslaugų priėmimo-perdavimo akto pasirašymo, patikrinti suteiktas Paslaugas bei įforminti patikrinimo rezultatus;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neapmokėti Europos elektroninių sąskaitų faktūrų standarto neatitinkančių sąskaitų, jeigu Tiekėjas jas pateikia ne šioje Sutartyje numatytomis priemonėmis;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išskaičiuoti netesybas ir kitus dėl Tiekėjo kaltės patirtus tiesioginius nuostolius iš Tiekėjui mokėtinų sumų, prieš tai raštu informavęs Tiekėją;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sustabdyti mokėjimus Tiekėjui, jeigu Tiekėjas nevykdo arba netinkamai vykdo bet kokius Sutartimi prisiimtus ar teisės aktuose numatytus įsipareigojimus, kol šie įsipareigojimai nebus tinkamai įvykdyti;</w:t>
      </w:r>
    </w:p>
    <w:p>
      <w:pPr>
        <w:pStyle w:val="BodyText"/>
        <w:keepLines/>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pPr>
        <w:pStyle w:val="BodyText"/>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prašyti, kad Tiekėjas pateiktų visus dokumentus, numatytus Techninėje specifikacijoje ir Sutartyje;</w:t>
      </w:r>
    </w:p>
    <w:p>
      <w:pPr>
        <w:pStyle w:val="BodyText"/>
        <w:numPr>
          <w:ilvl w:val="2"/>
          <w:numId w:val="2"/>
        </w:numPr>
        <w:tabs>
          <w:tab w:val="clear" w:pos="1296"/>
          <w:tab w:val="left" w:pos="709" w:leader="none"/>
          <w:tab w:val="left" w:pos="122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Pirkėjas turi kitas teises, numatytas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10" w:name="bookmark14"/>
      <w:r>
        <w:rPr>
          <w:rStyle w:val="Heading11"/>
          <w:rFonts w:cs="" w:cstheme="majorBidi"/>
          <w:b/>
          <w:bCs/>
          <w:szCs w:val="20"/>
        </w:rPr>
        <w:t>Tiekėjas įsipareigoja:</w:t>
      </w:r>
      <w:bookmarkEnd w:id="10"/>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Sutartyje nustatytais terminais ir tvarka tinkamai ir kokybiškai suteikti Paslaugas, atitinkančias Techninės specifikacijos ir teisės aktuose nustatytus reikalavimus;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Paslaugas teikti savo rizika bei sąskaita rūpestingai bei efektyviai, įskaitant, bet neapsiribojant, pagal geriausius visuotinai pripažįstamus profesinius, techninius standartus ir praktiką, panaudodamas visus turimus ar reikiamus įgūdžius, žinias ir išteklius;</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Pirkėjo reikalavimu, per Pirkėjo nurodytą terminą pateikti Pirkėjui visą informaciją ar dokumentus ir (ar) ataskaitą apie Sutarties vykdymo eigą;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tinkamai vykdyti įsipareigojimus, numatytus Sutartyje, įskaitant ir Pirkėjo nustatytų Paslaugų teikimo trūkumų ištaisymą savo sąskaita per Pirkėjo nurodytą terminą;</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kad Sutartį vykdys tik teisę verstis atitinkama veikla turintys asmenys, įskaitant ir pasitelkiamą subtiekėją (jeigu pasitelkiamas), neatsižvelgiant į tai, ar Tiekėjo kvalifikacija dėl teisės verstis atitinkama veikla buvo tikrinama arba tikrinama ne visa apimtimi;</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pPr>
        <w:pStyle w:val="BodyText"/>
        <w:numPr>
          <w:ilvl w:val="2"/>
          <w:numId w:val="2"/>
        </w:numPr>
        <w:tabs>
          <w:tab w:val="clear" w:pos="1296"/>
          <w:tab w:val="left" w:pos="709" w:leader="none"/>
          <w:tab w:val="left" w:pos="134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saugos darbe, priešgaisrinės saugos, aplinkos apsaugos bei kitų teisės aktų nustatytų reikalavimų, taikomų teikiant Paslaugas, laikymąsi;</w:t>
      </w:r>
    </w:p>
    <w:p>
      <w:pPr>
        <w:pStyle w:val="BodyText"/>
        <w:numPr>
          <w:ilvl w:val="2"/>
          <w:numId w:val="2"/>
        </w:numPr>
        <w:tabs>
          <w:tab w:val="clear" w:pos="1296"/>
          <w:tab w:val="left" w:pos="709" w:leader="none"/>
          <w:tab w:val="left" w:pos="134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Pirkėjui raštu paprašius, ne vėliau kaip per 3 (tris) darbo dienas arba per kitą Šalių suderintą terminą nuo prašymo gavimo dienos grąžinti visus iš Pirkėjo gautus Sutarčiai vykdyti reikalingus dokumentus;</w:t>
      </w:r>
    </w:p>
    <w:p>
      <w:pPr>
        <w:pStyle w:val="BodyText"/>
        <w:numPr>
          <w:ilvl w:val="2"/>
          <w:numId w:val="2"/>
        </w:numPr>
        <w:tabs>
          <w:tab w:val="clear" w:pos="1296"/>
          <w:tab w:val="left" w:pos="709" w:leader="none"/>
          <w:tab w:val="left" w:pos="1340"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nenaudoti Pirkėjo Paslaugų (prekės) ženklų ar pavadinimo jokioje reklamoje, leidiniuose ar kt. be išankstinio raštiško Pirkėjo sutikimo;</w:t>
      </w:r>
    </w:p>
    <w:p>
      <w:pPr>
        <w:pStyle w:val="BodyText"/>
        <w:numPr>
          <w:ilvl w:val="2"/>
          <w:numId w:val="2"/>
        </w:numPr>
        <w:tabs>
          <w:tab w:val="clear" w:pos="1296"/>
          <w:tab w:val="left" w:pos="709" w:leader="none"/>
          <w:tab w:val="left" w:pos="133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užtikrinti iš Pirkėjo Sutarties vykdymo metu gautos ir su Sutarties vykdymu susijusios informacijos konfidencialumą ir apsaugą;</w:t>
      </w:r>
    </w:p>
    <w:p>
      <w:pPr>
        <w:pStyle w:val="BodyText"/>
        <w:numPr>
          <w:ilvl w:val="2"/>
          <w:numId w:val="2"/>
        </w:numPr>
        <w:tabs>
          <w:tab w:val="clear" w:pos="1296"/>
          <w:tab w:val="left" w:pos="709" w:leader="none"/>
          <w:tab w:val="left" w:pos="1335"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Tiekėjas įsipareigoja tinkamai vykdyti kitus įsipareigojimus, numatytus Sutartyje ir Lietuvos Respublikoje galiojančiuose teisės aktuose.</w:t>
      </w:r>
    </w:p>
    <w:p>
      <w:pPr>
        <w:pStyle w:val="Heading12"/>
        <w:keepNext w:val="true"/>
        <w:keepLines/>
        <w:numPr>
          <w:ilvl w:val="1"/>
          <w:numId w:val="2"/>
        </w:numPr>
        <w:tabs>
          <w:tab w:val="clear" w:pos="1296"/>
          <w:tab w:val="left" w:pos="709" w:leader="none"/>
        </w:tabs>
        <w:spacing w:lineRule="auto" w:line="276" w:before="0" w:after="0"/>
        <w:ind w:hanging="0" w:left="0"/>
        <w:jc w:val="both"/>
        <w:rPr>
          <w:rFonts w:cs="" w:asciiTheme="majorBidi" w:cstheme="majorBidi" w:hAnsiTheme="majorBidi"/>
          <w:b w:val="false"/>
          <w:bCs w:val="false"/>
          <w:szCs w:val="20"/>
        </w:rPr>
      </w:pPr>
      <w:bookmarkStart w:id="11" w:name="bookmark16"/>
      <w:r>
        <w:rPr>
          <w:rStyle w:val="Heading11"/>
          <w:rFonts w:cs="" w:cstheme="majorBidi"/>
          <w:b/>
          <w:bCs/>
          <w:szCs w:val="20"/>
        </w:rPr>
        <w:t>Tiekėjas turi teisę:</w:t>
      </w:r>
      <w:bookmarkEnd w:id="11"/>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Pirkėjas priimtų kokybiškai ir laiku suteiktas Paslaugas, atitinkančias Sutarties, taip pat Paslaugų teikimui taikomų teisės aktų nustatytus reikalavimus, bei sumokėtų už jas Sutartyje nustatytą kainą Sutartyje nustatytomis sąlygomis ir tvarka;</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reikalauti, kad Pirkėjas tinkamai ir laiku vykdytų kitus įsipareigojimus, nurodytus Sutartyje ir Lietuvos Respublikoje galiojančiuose teisės aktuose;</w:t>
      </w:r>
    </w:p>
    <w:p>
      <w:pPr>
        <w:pStyle w:val="BodyText"/>
        <w:numPr>
          <w:ilvl w:val="2"/>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prašyti, kad Pirkėjas pateiktų Pirkėjo turimus dokumentus ir (ar) kitą informaciją, kurie yra būtini Tiekėjo tinkamam Sutartimi prisiimtų įsipareigojimu įvykdymui;</w:t>
      </w:r>
    </w:p>
    <w:p>
      <w:pPr>
        <w:pStyle w:val="BodyText"/>
        <w:numPr>
          <w:ilvl w:val="2"/>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Tiekėjas turi kitas teises, numatytas Sutartyje ir Lietuvos Respublikoje galiojančiuose teisės aktuose.</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KONFIDENCIALI INFORMACIJA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bookmarkStart w:id="12" w:name="_Ref159258073"/>
      <w:r>
        <w:rPr>
          <w:rFonts w:eastAsia="Arial" w:cs="" w:cstheme="majorBidi"/>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2"/>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Šalis turi teisę atskleisti kitos Šalies konfidencialią informaciją šiais atvejais: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konfidencialią informaciją yra būtina atskleisti pagal </w:t>
      </w:r>
      <w:r>
        <w:rPr>
          <w:rFonts w:cs="" w:cstheme="majorBidi"/>
          <w:sz w:val="20"/>
        </w:rPr>
        <w:t>įstatymų bei kitų teisės aktų</w:t>
      </w:r>
      <w:r>
        <w:rPr>
          <w:rFonts w:eastAsia="Arial" w:cs="" w:cstheme="majorBidi"/>
          <w:sz w:val="20"/>
        </w:rPr>
        <w:t xml:space="preserve"> reikalavimus, įskaitant atvejus, kai to reikalauja viešojo administravimo subjektai, taip, kai jie apibrėžti Lietuvos Respublikos viešojo administravimo įstatyme.</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Prieš atskleisdama konfidencialią informaciją, Šalis privalo informuoti kitą Šalį (tiek, kiek tai nedraudžiama pagal </w:t>
      </w:r>
      <w:r>
        <w:rPr>
          <w:rFonts w:cs="" w:cstheme="majorBidi"/>
          <w:sz w:val="20"/>
        </w:rPr>
        <w:t>įstatymus bei kitus teisės aktus</w:t>
      </w:r>
      <w:r>
        <w:rPr>
          <w:rFonts w:eastAsia="Arial" w:cs="" w:cstheme="majorBidi"/>
          <w:sz w:val="20"/>
        </w:rPr>
        <w:t>) apie būtinybę arba gautą viešojo administravimo subjekto reikalavimą atskleisti konfidencialią informaciją ir imtis protingų priemonių, siekdama užtikrinti atskleistos informacijos konfidencialumą.</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Šalis atsako: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už bet kokį neteisėtą, įskaitant atsitiktinį, kitos Šalies konfidencialios informacijos ar bet kurios jos dalies atskleidimą ar perdavimą arba konfidencialios informacijos neteisėtą naudojimą;</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už tai, kad nesiėmė visų protingų veiksmų, kad išsaugotų ir apsaugotų kitos Šalies konfidencialią informaciją ar bet kurią jos dalį, užkirstų kelią tolesniam jos neteisėtam atskleidimui, perdavimui ar naudojimui.</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 xml:space="preserve">Šalis nepagrįstai atskleidusi kitos Šalies konfidencialią informaciją privalo sumokėti kitai Šaliai Specialiosiose sąlygose nurodyto dydžio baudą. </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INTELEKTINĖ NUOSAVYBĖ</w:t>
      </w:r>
    </w:p>
    <w:p>
      <w:pPr>
        <w:pStyle w:val="Normal"/>
        <w:widowControl w:val="false"/>
        <w:numPr>
          <w:ilvl w:val="1"/>
          <w:numId w:val="2"/>
        </w:numPr>
        <w:tabs>
          <w:tab w:val="clear" w:pos="1296"/>
          <w:tab w:val="left" w:pos="709" w:leader="none"/>
        </w:tabs>
        <w:spacing w:lineRule="auto" w:line="276" w:before="120" w:after="0"/>
        <w:ind w:hanging="0" w:left="0"/>
        <w:jc w:val="both"/>
        <w:rPr>
          <w:rFonts w:cs="" w:asciiTheme="majorBidi" w:cstheme="majorBidi" w:hAnsiTheme="majorBidi"/>
          <w:sz w:val="20"/>
        </w:rPr>
      </w:pPr>
      <w:bookmarkStart w:id="13" w:name="_Ref76381854"/>
      <w:bookmarkStart w:id="14" w:name="_Ref159258528"/>
      <w:r>
        <w:rPr>
          <w:rFonts w:cs="" w:cstheme="majorBidi"/>
          <w:sz w:val="20"/>
        </w:rPr>
        <w:t xml:space="preserve">Pirkėjui </w:t>
      </w:r>
      <w:r>
        <w:rPr>
          <w:rFonts w:cs="" w:cstheme="majorBidi"/>
          <w:sz w:val="20"/>
          <w:lang w:eastAsia="lt-LT" w:bidi="lt-LT"/>
        </w:rPr>
        <w:t xml:space="preserve">nuo Paslaugų perdavimo-priėmimo akto pasirašymo momento ar Sąskaitos išrašymo (priklausomai, kad įvyksta pirmiau) </w:t>
      </w:r>
      <w:r>
        <w:rPr>
          <w:rFonts w:cs="" w:cstheme="majorBidi"/>
          <w:sz w:val="20"/>
        </w:rPr>
        <w:t>yra išimtinai perduodamos, perleidžiamos ir pereina visos turtinės teisės į Paslaugų rezultatus, įskaitant, bet neapsiribojant:</w:t>
      </w:r>
      <w:bookmarkEnd w:id="14"/>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bookmarkStart w:id="15" w:name="_Hlk103867078"/>
      <w:bookmarkEnd w:id="15"/>
      <w:r>
        <w:rPr>
          <w:rFonts w:cs="" w:cstheme="majorBidi"/>
          <w:sz w:val="20"/>
        </w:rPr>
        <w:t>teisė atgaminti Paslaugų rezultatus bet kokia forma ir būdu;</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teisė išleisti Paslaugų rezultatus neribotu tiražu ir neribojant leidimų skaičiaus; </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adaptuoti, modifikuoti, pildyti ir bet kokiu būdu keisti Paslaugų rezultatus;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platinti Paslaugų rezultatų originalus ar jų kopijas parduodant, nuomojant, teikiant panaudai ar kitaip perduodant nuosavybėn ar valdyti, taip pat importuojant, eksportuojant;</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viešai rodyti Paslaugų rezultatų originalus ar jų kopijas;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panaudoti visą Paslaugų rezultatą ir/ar jo atskiras dalis kuriant kitus kūrinius;</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teisė transliuoti, retransliuoti ir kitaip viešai skelbti, įskaitant, bet neapsiribojant, viešą rodymą, skelbimą visais medijų kanalais, naudoti reklamoje ir kt., įskaitant jo padarymą prieinamu kompiuterių tinklais (internete);</w:t>
      </w:r>
    </w:p>
    <w:p>
      <w:pPr>
        <w:pStyle w:val="ListParagraph"/>
        <w:widowControl w:val="false"/>
        <w:numPr>
          <w:ilvl w:val="2"/>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teisė įtraukti Paslaugų rezultatus į rinkinius. </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16" w:name="_Hlk103867078_Copy_1"/>
      <w:bookmarkStart w:id="17" w:name="_Hlk103867533"/>
      <w:bookmarkEnd w:id="16"/>
      <w:bookmarkEnd w:id="17"/>
      <w:r>
        <w:rPr>
          <w:rFonts w:cs="" w:cstheme="majorBidi"/>
          <w:sz w:val="20"/>
        </w:rPr>
        <w:t xml:space="preserve">Šalys susitaria, jog Pirkėjas neinformavęs Tiekėjo bei negavęs jo sutikimo gali savo nuožiūra nurodyti arba nenurodyti autoriaus (Tiekėjo darbuotojo ir kt.) vardą ir pavardę panaudodamas Paslaugų rezultatus ir tai nebus laikoma autoriaus neturtinių teisių pažeidimu ir nepadarys autoriui, Tiekėjui žalos. </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Šalys susitaria, kad šia Sutartimi Pirkėjas taip pat įgyja teisę gauti bet kokį atlyginimą ir (ar) kompensaciją už jam perduotų turtinių teisių naudojimą ar tokių teisių perdavimą ar suteikimą tretiesiems asmenims.</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bookmarkStart w:id="18" w:name="_Hlk103868373"/>
      <w:bookmarkStart w:id="19" w:name="_Hlk103867533_Copy_1"/>
      <w:bookmarkEnd w:id="19"/>
      <w:r>
        <w:rPr>
          <w:rFonts w:cs="" w:cstheme="majorBidi"/>
          <w:sz w:val="20"/>
        </w:rPr>
        <w:t xml:space="preserve">Visos </w:t>
      </w:r>
      <w:r>
        <w:rPr>
          <w:sz w:val="20"/>
        </w:rPr>
        <w:fldChar w:fldCharType="begin"/>
      </w:r>
      <w:r>
        <w:rPr>
          <w:sz w:val="20"/>
        </w:rPr>
        <w:instrText xml:space="preserve"> REF _Ref159258528 \r \h </w:instrText>
      </w:r>
      <w:r>
        <w:rPr>
          <w:sz w:val="20"/>
        </w:rPr>
        <w:fldChar w:fldCharType="separate"/>
      </w:r>
      <w:r>
        <w:rPr>
          <w:sz w:val="20"/>
        </w:rPr>
        <w:t>13.1</w:t>
      </w:r>
      <w:r>
        <w:rPr>
          <w:sz w:val="20"/>
        </w:rPr>
        <w:fldChar w:fldCharType="end"/>
      </w:r>
      <w:r>
        <w:rPr>
          <w:rFonts w:cs="" w:cstheme="majorBidi"/>
          <w:sz w:val="20"/>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bookmarkEnd w:id="13"/>
      <w:bookmarkEnd w:id="18"/>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Tiekėjas įsipareigoja sudaryti visas reikalingas sutartis, gauti visus reikalingus leidimus, perdavimo aktus ir sutikimus iš savo darbuotojų ir/arba trečiųjų asmenų tam, kad galėtų perleisti turtines teises Pirkėjui šioje Sutartyje numatyta apimtimi. Tiekėjas, Pirkėjui pareikalavus, turi pateikti šiame punkte nurodytus dokumentus per 4 (keturias) kalendorines dienas nuo pareikalavimo.</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Tiekėjas neturi teisės be raštiško Pirkėjo sutikimo jokia forma ir būdu naudoti ar demonstruoti pagal šią Sutartį sukurtų Paslaugų rezultatų. Tiekėjas neturi teisės registruoti jokių teisių, ženklų, dizainų, patentų ir/ar kitų objektų, susijusių su šios Sutarties pagrindu sukurtu Paslaugų rezultatu ar imtis bet kokių kitų veiksmų kurie apribotų Pirkėjo teises naudoti ar perleisti Paslaugų rezultatus.</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pacing w:val="-2"/>
          <w:sz w:val="20"/>
        </w:rPr>
        <w:t xml:space="preserve">Jeigu </w:t>
      </w:r>
      <w:r>
        <w:rPr>
          <w:rFonts w:cs="" w:cstheme="majorBidi"/>
          <w:sz w:val="20"/>
        </w:rPr>
        <w:t>teisės</w:t>
      </w:r>
      <w:r>
        <w:rPr>
          <w:rFonts w:cs="" w:cstheme="majorBidi"/>
          <w:spacing w:val="-2"/>
          <w:sz w:val="20"/>
        </w:rPr>
        <w:t xml:space="preserve"> aktų pakeitimas nustatys kokius nors privalomus reikalavimus, apribojančius </w:t>
      </w:r>
      <w:r>
        <w:rPr>
          <w:rFonts w:cs="" w:cstheme="majorBidi"/>
          <w:sz w:val="20"/>
        </w:rPr>
        <w:t>Pirkėjui</w:t>
      </w:r>
      <w:r>
        <w:rPr>
          <w:rFonts w:cs="" w:cstheme="majorBidi"/>
          <w:spacing w:val="-2"/>
          <w:sz w:val="20"/>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Pr>
          <w:rFonts w:cs="" w:cstheme="majorBidi"/>
          <w:sz w:val="20"/>
          <w:lang w:eastAsia="ru-RU"/>
        </w:rPr>
        <w:t xml:space="preserve">Tik Pirkėjui sutikus ir patvirtinus, </w:t>
      </w:r>
      <w:bookmarkStart w:id="20" w:name="_Hlk103869575"/>
      <w:r>
        <w:rPr>
          <w:rFonts w:cs="" w:cstheme="majorBidi"/>
          <w:sz w:val="20"/>
          <w:lang w:eastAsia="ru-RU"/>
        </w:rPr>
        <w:t xml:space="preserve">Tiekėjas gali sukurti ir pagaminti Paslaugų rezultatus su tokiais apribojimais. </w:t>
      </w:r>
      <w:bookmarkEnd w:id="20"/>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lang w:eastAsia="ru-RU"/>
        </w:rPr>
        <w:t xml:space="preserve">Jei Tiekėjas, vykdydamas Sutartį, nesuderinęs su Pirkėju panaudoja autorinius kūrinius ar sukuria Paslaugų rezultatus nesuderinęs taikomų ribojimų, Tiekėjas atsako už </w:t>
      </w:r>
      <w:bookmarkStart w:id="21" w:name="_Hlk103869812"/>
      <w:r>
        <w:rPr>
          <w:rFonts w:cs="" w:cstheme="majorBidi"/>
          <w:sz w:val="20"/>
          <w:lang w:eastAsia="ru-RU"/>
        </w:rPr>
        <w:t>visus ir bet kokius Pirkėjo nuostolius, patirtus dėl Tiekėjo įsipareigojimų nesilaikymo</w:t>
      </w:r>
      <w:bookmarkEnd w:id="21"/>
      <w:r>
        <w:rPr>
          <w:rFonts w:cs="" w:cstheme="majorBidi"/>
          <w:sz w:val="20"/>
          <w:lang w:eastAsia="ru-RU"/>
        </w:rPr>
        <w:t xml:space="preserve">, t. y. </w:t>
      </w:r>
      <w:r>
        <w:rPr>
          <w:rFonts w:cs="" w:cstheme="majorBidi"/>
          <w:sz w:val="20"/>
          <w:lang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pPr>
        <w:pStyle w:val="Normal"/>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Tiekėjas patvirtina, kad turtinės teisės į šios Sutarties pagrindu sukurtus/parengtus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Atlyginimas už Sutarties pagrindu Pirkėjui perduodamas turtines teises į Paslaugų rezultatus ir su perdavimu susijusios Tiekėjo išlaidos/kaštai yra įskaičiuoti į Sutarties kainą ir už turtines teises ir/arba jų perdavimą Tiekėjas nereikalaus iš Pirkėjo jokių papildomų mokėjimų arba mokesčių.</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Tiekėjas užtikrina, jog pagal šią Sutartį sukurtų Paslaugų rezultatų perdavimas Pirkėjui ir Pirkėjo naudojimasis Paslaugų rezultatais nepažeidžia Tiekėjo darbuotojų, trečiųjų asmenų autoriaus, gretutinių ir kitų intelektinės nuosavybės teisių.</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rPr>
      </w:pPr>
      <w:r>
        <w:rPr>
          <w:rFonts w:cs="" w:cstheme="majorBidi"/>
          <w:sz w:val="20"/>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pPr>
        <w:pStyle w:val="Normal"/>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cs="" w:cstheme="majorBidi"/>
          <w:sz w:val="20"/>
        </w:rPr>
        <w:t xml:space="preserve">Tiekėjas neturi teisės demonstruoti Paslaugų rezultatus </w:t>
      </w:r>
      <w:r>
        <w:rPr>
          <w:rFonts w:cs="" w:cstheme="majorBidi"/>
          <w:sz w:val="20"/>
          <w:lang w:eastAsia="ru-RU"/>
        </w:rPr>
        <w:t xml:space="preserve">ir/ar </w:t>
      </w:r>
      <w:r>
        <w:rPr>
          <w:rFonts w:cs="" w:cstheme="majorBidi"/>
          <w:sz w:val="20"/>
        </w:rPr>
        <w:t xml:space="preserve">atskiras jų dalis kaip savo darbo pavyzdį,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prašymas demonstruoti Tiekėjo Paslaugų rezultatus laikytinas Pirkėjo komercine paslaptimi ir/arba toks leidimas negali būti duotas vadovaujantis Pirkėjo įsipareigojimais prieš trečiuosius asmenis. </w:t>
      </w:r>
    </w:p>
    <w:p>
      <w:pPr>
        <w:pStyle w:val="Normal"/>
        <w:widowControl w:val="false"/>
        <w:tabs>
          <w:tab w:val="clear" w:pos="1296"/>
          <w:tab w:val="left" w:pos="567" w:leader="none"/>
          <w:tab w:val="left" w:pos="709" w:leader="none"/>
        </w:tabs>
        <w:spacing w:lineRule="auto" w:line="276"/>
        <w:jc w:val="both"/>
        <w:rPr>
          <w:rFonts w:cs="" w:asciiTheme="majorBidi" w:cstheme="majorBidi" w:hAnsiTheme="majorBidi"/>
          <w:sz w:val="20"/>
        </w:rPr>
      </w:pPr>
      <w:r>
        <w:rPr>
          <w:rFonts w:cs="" w:asciiTheme="majorBidi" w:cstheme="majorBidi" w:hAnsiTheme="majorBidi"/>
          <w:sz w:val="20"/>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lang w:eastAsia="lt-LT" w:bidi="lt-LT"/>
        </w:rPr>
      </w:pPr>
      <w:r>
        <w:rPr>
          <w:rFonts w:cs="" w:cstheme="majorBidi"/>
          <w:b/>
          <w:bCs/>
          <w:sz w:val="20"/>
          <w:lang w:eastAsia="lt-LT" w:bidi="lt-LT"/>
        </w:rPr>
        <w:t>PAREIŠKIMAI IR GARANTIJOS</w:t>
      </w:r>
    </w:p>
    <w:p>
      <w:pPr>
        <w:pStyle w:val="ListParagraph"/>
        <w:widowControl w:val="false"/>
        <w:numPr>
          <w:ilvl w:val="1"/>
          <w:numId w:val="2"/>
        </w:numPr>
        <w:tabs>
          <w:tab w:val="clear" w:pos="1296"/>
          <w:tab w:val="left" w:pos="709" w:leader="none"/>
        </w:tabs>
        <w:spacing w:lineRule="auto" w:line="276" w:before="120" w:after="0"/>
        <w:ind w:hanging="0" w:left="0"/>
        <w:contextualSpacing w:val="false"/>
        <w:rPr>
          <w:rFonts w:cs="" w:asciiTheme="majorBidi" w:cstheme="majorBidi" w:hAnsiTheme="majorBidi"/>
          <w:sz w:val="20"/>
          <w:lang w:eastAsia="lt-LT" w:bidi="lt-LT"/>
        </w:rPr>
      </w:pPr>
      <w:r>
        <w:rPr>
          <w:rFonts w:eastAsia="Arial" w:cs="" w:cstheme="majorBidi"/>
          <w:sz w:val="20"/>
        </w:rPr>
        <w:t>Kiekviena iš Šalių pareiškia ir garantuoja kitai Šaliai, kad:</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yra teisėtai priimti ir galioja visi būtini sprendimai, gauti leidimai bei sutikimai, taip pat teisėtai atlikti ir galioja kiti teisiniai veiksmai, reikalingi Sutarties sudarymui, galiojimui ir vykdymui;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 xml:space="preserve">sudarydama Sutartį, Šalis neviršija savo kompetencijos ir nepažeidžia jai taikomų </w:t>
      </w:r>
      <w:r>
        <w:rPr>
          <w:rFonts w:cs="" w:cstheme="majorBidi"/>
          <w:sz w:val="20"/>
        </w:rPr>
        <w:t>įstatymų bei kitų teisės aktų</w:t>
      </w:r>
      <w:r>
        <w:rPr>
          <w:rFonts w:eastAsia="Arial" w:cs="" w:cstheme="majorBidi"/>
          <w:sz w:val="20"/>
        </w:rPr>
        <w:t>, teismo ar arbitražo teismo sprendimų, administracinių aktų, sutarčių ar kitų prievolių pagal taikomą privatinę teisę, viešąją teisę, Europos Sąjungos teisę arba tarptautinę teisę;</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ListParagraph"/>
        <w:widowControl w:val="false"/>
        <w:numPr>
          <w:ilvl w:val="2"/>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visi Šalies pareiškimai ir garantijos yra išsamūs ir nepalieka nutylėtų jokių aplinkybių, kurios darytų šiuos pareiškimus ar garantijas neteisingais.</w:t>
      </w:r>
    </w:p>
    <w:p>
      <w:pPr>
        <w:pStyle w:val="ListParagraph"/>
        <w:widowControl w:val="false"/>
        <w:numPr>
          <w:ilvl w:val="1"/>
          <w:numId w:val="2"/>
        </w:numPr>
        <w:tabs>
          <w:tab w:val="clear" w:pos="1296"/>
          <w:tab w:val="left" w:pos="709" w:leader="none"/>
        </w:tabs>
        <w:spacing w:lineRule="auto" w:line="276"/>
        <w:ind w:hanging="0" w:left="0"/>
        <w:rPr>
          <w:rFonts w:cs="" w:asciiTheme="majorBidi" w:cstheme="majorBidi" w:hAnsiTheme="majorBidi"/>
          <w:sz w:val="20"/>
          <w:lang w:eastAsia="lt-LT" w:bidi="lt-LT"/>
        </w:rPr>
      </w:pPr>
      <w:r>
        <w:rPr>
          <w:rFonts w:eastAsia="Arial" w:cs="" w:cstheme="majorBidi"/>
          <w:sz w:val="20"/>
        </w:rPr>
        <w:t xml:space="preserve">Tiekėjas papildomai pareiškia ir garantuoja Pirkėjui, kad Tiekėjas, subtiekėjai, jungtinės veiklos partneriai ir specialistai turi galiojančius ir teisėtus visus </w:t>
      </w:r>
      <w:r>
        <w:rPr>
          <w:rFonts w:cs="" w:cstheme="majorBidi"/>
          <w:sz w:val="20"/>
        </w:rPr>
        <w:t>įstatymuose bei kituose teisės aktuose</w:t>
      </w:r>
      <w:r>
        <w:rPr>
          <w:rFonts w:eastAsia="Arial" w:cs="" w:cstheme="majorBidi"/>
          <w:sz w:val="20"/>
        </w:rPr>
        <w:t xml:space="preserve"> numatytus leidimus, licencijas, atestatus, teisės pripažinimo dokumentus, reikalingus vykdant Sutartį.</w:t>
      </w:r>
    </w:p>
    <w:p>
      <w:pPr>
        <w:pStyle w:val="ListParagraph"/>
        <w:widowControl w:val="false"/>
        <w:tabs>
          <w:tab w:val="clear" w:pos="1296"/>
          <w:tab w:val="left" w:pos="709" w:leader="none"/>
        </w:tabs>
        <w:spacing w:lineRule="auto" w:line="276"/>
        <w:ind w:left="0"/>
        <w:rPr>
          <w:rFonts w:cs="" w:asciiTheme="majorBidi" w:cstheme="majorBidi" w:hAnsiTheme="majorBidi"/>
          <w:sz w:val="20"/>
          <w:lang w:eastAsia="lt-LT" w:bidi="lt-LT"/>
        </w:rPr>
      </w:pPr>
      <w:r>
        <w:rPr>
          <w:rFonts w:cs="" w:asciiTheme="majorBidi" w:cstheme="majorBidi" w:hAnsiTheme="majorBidi"/>
          <w:sz w:val="20"/>
          <w:lang w:eastAsia="lt-LT" w:bidi="lt-LT"/>
        </w:rPr>
      </w:r>
    </w:p>
    <w:p>
      <w:pPr>
        <w:pStyle w:val="ListParagraph"/>
        <w:widowControl w:val="false"/>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sz w:val="20"/>
          <w:lang w:eastAsia="lt-LT" w:bidi="lt-LT"/>
        </w:rPr>
      </w:pPr>
      <w:r>
        <w:rPr>
          <w:rFonts w:eastAsia="Arial" w:cs="" w:cstheme="majorBidi"/>
          <w:b/>
          <w:caps/>
          <w:sz w:val="20"/>
        </w:rPr>
        <w:t>Bendrieji atsakomybės klausimai</w:t>
      </w:r>
    </w:p>
    <w:p>
      <w:pPr>
        <w:pStyle w:val="ListParagraph"/>
        <w:widowControl w:val="false"/>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sz w:val="20"/>
          <w:lang w:eastAsia="lt-LT" w:bidi="lt-LT"/>
        </w:rPr>
      </w:pPr>
      <w:r>
        <w:rPr>
          <w:rFonts w:eastAsia="Arial" w:cs="" w:cstheme="majorBidi"/>
          <w:sz w:val="20"/>
        </w:rPr>
        <w:t>Netesybų už vėlavimą ar pareigų pagal Sutartį pažeidimą sumokėjimas neatleidžia Šalies nuo Sutartyje numatytų jos pareigų vykdymo.</w:t>
      </w:r>
    </w:p>
    <w:p>
      <w:pPr>
        <w:pStyle w:val="ListParagraph"/>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cs="" w:cstheme="majorBidi"/>
          <w:sz w:val="20"/>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ListParagraph"/>
        <w:keepLines/>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Šioje Sutartyje numatytos teisių gynybos priemonės neapriboja Šalių teisės pasinaudoti kitomis teisėtomis teisių gynybos priemonėmis.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ListParagraph"/>
        <w:widowControl w:val="false"/>
        <w:numPr>
          <w:ilvl w:val="1"/>
          <w:numId w:val="2"/>
        </w:numPr>
        <w:tabs>
          <w:tab w:val="clear" w:pos="1296"/>
          <w:tab w:val="left" w:pos="709" w:leader="none"/>
        </w:tabs>
        <w:spacing w:lineRule="auto" w:line="276"/>
        <w:ind w:hanging="0" w:left="0"/>
        <w:jc w:val="both"/>
        <w:rPr>
          <w:rFonts w:cs="" w:asciiTheme="majorBidi" w:cstheme="majorBidi" w:hAnsiTheme="majorBidi"/>
          <w:sz w:val="20"/>
          <w:lang w:eastAsia="lt-LT" w:bidi="lt-LT"/>
        </w:rPr>
      </w:pPr>
      <w:r>
        <w:rPr>
          <w:rFonts w:eastAsia="Arial" w:cs="" w:cstheme="majorBidi"/>
          <w:sz w:val="20"/>
        </w:rPr>
        <w:t>Pasibaigus Sutarties galiojimui, Šalys neatleidžiamos nuo atsakomybės už Sutarties pažeidimą. Pasibaigus Sutarties galiojimui, Šalys nepraranda teisės reikalauti atlyginti dėl Sutarties nevykdymo patirtus nuostolius bei sumokėti netesybas.</w:t>
      </w:r>
    </w:p>
    <w:p>
      <w:pPr>
        <w:pStyle w:val="ListParagraph"/>
        <w:widowControl w:val="false"/>
        <w:tabs>
          <w:tab w:val="clear" w:pos="1296"/>
          <w:tab w:val="left" w:pos="709" w:leader="none"/>
        </w:tabs>
        <w:spacing w:lineRule="auto" w:line="276"/>
        <w:ind w:left="0"/>
        <w:jc w:val="both"/>
        <w:rPr>
          <w:rFonts w:cs="" w:asciiTheme="majorBidi" w:cstheme="majorBidi" w:hAnsiTheme="majorBidi"/>
          <w:sz w:val="20"/>
          <w:lang w:eastAsia="lt-LT" w:bidi="lt-LT"/>
        </w:rPr>
      </w:pPr>
      <w:r>
        <w:rPr>
          <w:rFonts w:cs="" w:asciiTheme="majorBidi" w:cstheme="majorBidi" w:hAnsiTheme="majorBidi"/>
          <w:sz w:val="20"/>
          <w:lang w:eastAsia="lt-LT" w:bidi="lt-LT"/>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 xml:space="preserve">NENUGALIMOS </w:t>
      </w:r>
      <w:r>
        <w:rPr>
          <w:rStyle w:val="Heading11"/>
          <w:rFonts w:cs="" w:cstheme="majorBidi"/>
          <w:sz w:val="20"/>
        </w:rPr>
        <w:t>JĖGOS (FORCE MAJEURE) APLINKYBĖS</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 xml:space="preserve">Nenugalimos jėgos aplinkybėmis laikomos aplinkybės, nurodytos Lietuvos Respublikos civilinio kodekso (toliau – </w:t>
      </w:r>
      <w:r>
        <w:rPr>
          <w:rStyle w:val="PagrindinistekstasDiagrama"/>
          <w:rFonts w:cs="" w:asciiTheme="majorBidi" w:cstheme="majorBidi" w:hAnsiTheme="majorBidi"/>
          <w:b/>
          <w:bCs/>
          <w:szCs w:val="20"/>
        </w:rPr>
        <w:t>Civilinis kodeksas</w:t>
      </w:r>
      <w:r>
        <w:rPr>
          <w:rStyle w:val="PagrindinistekstasDiagrama"/>
          <w:rFonts w:cs="" w:asciiTheme="majorBidi" w:cstheme="majorBidi" w:hAnsiTheme="majorBidi"/>
          <w:szCs w:val="20"/>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Šalis negalinti vykdyti pagal Sutartį savo įsipareigojimų dėl nenugalimos jėgos aplinkybių veikimo privalo raštu apie tai pranešti kitai Šaliai per 5 (penkias) kalendorines dienas nuo tokių aplinkybių atsiradimo pradžios.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Nenugalimos jėgos aplinkybėms pasibaigus, toliau vykdomi Sutartyje numatyti Šalių įsipareigojimai, jei Šalys nesusitaria kitaip.</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NUOSTATŲ NEGALIOJIMAS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bookmarkStart w:id="22" w:name="_Ref159245221"/>
      <w:r>
        <w:rPr>
          <w:rFonts w:eastAsia="Arial" w:cs="" w:cstheme="majorBidi"/>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cs="" w:cstheme="majorBidi"/>
          <w:sz w:val="20"/>
        </w:rPr>
        <w:t>įstatymų bei kitų teisės aktų</w:t>
      </w:r>
      <w:r>
        <w:rPr>
          <w:rFonts w:eastAsia="Arial" w:cs="" w:cstheme="majorBidi"/>
          <w:sz w:val="20"/>
        </w:rPr>
        <w:t xml:space="preserve"> ir galima daryti prielaidą, kad Sutartis būtų buvusi teisėtai sudaryta ir neįtraukus nuostatos, kuri yra negaliojanti.</w:t>
      </w:r>
      <w:bookmarkEnd w:id="22"/>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rPr>
          <w:rFonts w:eastAsia="Arial"/>
          <w:sz w:val="20"/>
        </w:rPr>
        <w:fldChar w:fldCharType="begin"/>
      </w:r>
      <w:r>
        <w:rPr>
          <w:sz w:val="20"/>
          <w:rFonts w:eastAsia="Arial"/>
        </w:rPr>
        <w:instrText xml:space="preserve"> REF _Ref159245221 \r \h </w:instrText>
      </w:r>
      <w:r>
        <w:rPr>
          <w:sz w:val="20"/>
          <w:rFonts w:eastAsia="Arial"/>
        </w:rPr>
        <w:fldChar w:fldCharType="separate"/>
      </w:r>
      <w:r>
        <w:rPr>
          <w:sz w:val="20"/>
          <w:rFonts w:eastAsia="Arial"/>
        </w:rPr>
        <w:t>17.1</w:t>
      </w:r>
      <w:r>
        <w:rPr>
          <w:sz w:val="20"/>
          <w:rFonts w:eastAsia="Arial"/>
        </w:rPr>
        <w:fldChar w:fldCharType="end"/>
      </w:r>
      <w:r>
        <w:rPr>
          <w:rFonts w:eastAsia="Arial" w:cs="" w:cstheme="majorBidi"/>
          <w:sz w:val="20"/>
        </w:rPr>
        <w:t xml:space="preserve"> punktą.</w:t>
      </w:r>
    </w:p>
    <w:p>
      <w:pPr>
        <w:pStyle w:val="Normal"/>
        <w:tabs>
          <w:tab w:val="clear" w:pos="1296"/>
          <w:tab w:val="left" w:pos="709" w:leader="none"/>
        </w:tabs>
        <w:spacing w:lineRule="auto" w:line="276" w:before="120" w:after="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PAKEITIMAI</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Sutarties sąlygos Sutarties galiojimo laikotarpiu negali būti keičiamos, išskyrus tokias Sutarties sąlygas, kurių keitimas numatytas Sutartyje ir (ar) galimas vadovaujantis VPĮ nuostatomis.</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Sutarties pakeitimai įforminami Šalims sudarant Susitarimą. </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cs="" w:cstheme="majorBidi"/>
          <w:sz w:val="20"/>
        </w:rPr>
        <w:t>įstatymų bei kitų teisės aktų</w:t>
      </w:r>
      <w:r>
        <w:rPr>
          <w:rFonts w:eastAsia="Arial" w:cs="" w:cstheme="majorBidi"/>
          <w:sz w:val="20"/>
        </w:rPr>
        <w:t xml:space="preserve"> nuostatomis.</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Susitarimai įsigalioja nuo jų sudarymo, jei Susitarime nenurodyta kitaip. Susitarimą Pirkėjas privalo paviešinti VPĮ 33 ir 86 straipsniuose nustatyta tvarka.</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SUTARTIES STABDYMAS</w:t>
      </w:r>
    </w:p>
    <w:p>
      <w:pPr>
        <w:pStyle w:val="BodyText"/>
        <w:numPr>
          <w:ilvl w:val="1"/>
          <w:numId w:val="2"/>
        </w:numPr>
        <w:tabs>
          <w:tab w:val="clear" w:pos="1296"/>
          <w:tab w:val="left" w:pos="709" w:leader="none"/>
          <w:tab w:val="left" w:pos="993" w:leader="none"/>
        </w:tabs>
        <w:spacing w:lineRule="auto" w:line="276" w:before="120" w:after="0"/>
        <w:ind w:hanging="0" w:left="0"/>
        <w:jc w:val="both"/>
        <w:rPr>
          <w:rFonts w:cs="" w:asciiTheme="majorBidi" w:cstheme="majorBidi" w:hAnsiTheme="majorBidi"/>
          <w:szCs w:val="20"/>
        </w:rPr>
      </w:pPr>
      <w:r>
        <w:rPr>
          <w:rFonts w:cs="" w:asciiTheme="majorBidi" w:cstheme="majorBidi" w:hAnsiTheme="majorBidi"/>
          <w:szCs w:val="20"/>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bookmarkStart w:id="23" w:name="_Ref159244356"/>
      <w:r>
        <w:rPr>
          <w:rFonts w:cs="" w:asciiTheme="majorBidi" w:cstheme="majorBidi" w:hAnsiTheme="majorBidi"/>
          <w:szCs w:val="20"/>
        </w:rPr>
        <w:t>Paslaugų (jų dalies) teikimas gali būti stabdomas esant bent vienai iš šių aplinkybių:</w:t>
      </w:r>
      <w:bookmarkEnd w:id="23"/>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Pirkėjas Sutartyje nurodyta tvarka negali priimti Paslaugų, o Tiekėjas dėl to negali vykdyti Sutarties;</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dėl nenumatytų prekių, paslaugų ir (ar) darbų, susijusių su perkamu objektu, kurių poreikis paaiškėjo tik vykdant Sutartį;</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ne dėl Pirkėjo kaltės vėluoja kitos Pirkėjo pirkimo sutarties, turinčios tiesioginės įtakos šiai Sutarčiai, vykdymas;</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esant įrodymais pagrįstoms kliūtims ar trukdymams, sukeltiems Tiekėjui kitų trečiųjų asmenų ne dėl Tiekėjo ne laiku ar netinkamai pagal Sutarties sąlygas ir tvarką įvykdytų sutartinių įsipareigojimų; </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pasikeitus galiojančiam teisės aktui ar įsigaliojus naujam teisės aktui, kuris turi įtakos šios Sutarties vykdymui;</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sutartinių įsipareigojimų stabdymo būtinybė atsirado dėl sustabdyto / perskirstyto / negauto ir panašiai Pirkėjo Paslaugų pirkimui skirto finansavimo arba finansavimo trūkumo;</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dėl teisminių (arbitražinių) ginčų su Pirkėju ar trečiaisiais asmenimis, kurių dalykas yra tiesiogiai susijęs su Sutarties vykdymu.</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 xml:space="preserve">Jei Paslaugų (jų dalies) teikimo stabdymas atliekamas dėl Bendrųjų sąlygų </w:t>
      </w:r>
      <w:r>
        <w:rPr>
          <w:rFonts w:cs="Times New Roman" w:ascii="Times New Roman" w:hAnsi="Times New Roman"/>
          <w:szCs w:val="20"/>
        </w:rPr>
        <w:fldChar w:fldCharType="begin"/>
      </w:r>
      <w:r>
        <w:rPr>
          <w:szCs w:val="20"/>
          <w:rFonts w:cs="Times New Roman" w:ascii="Times New Roman" w:hAnsi="Times New Roman"/>
        </w:rPr>
        <w:instrText xml:space="preserve"> REF _Ref159244356 \r \h </w:instrText>
      </w:r>
      <w:r>
        <w:rPr>
          <w:szCs w:val="20"/>
          <w:rFonts w:cs="Times New Roman" w:ascii="Times New Roman" w:hAnsi="Times New Roman"/>
        </w:rPr>
        <w:fldChar w:fldCharType="separate"/>
      </w:r>
      <w:r>
        <w:rPr>
          <w:szCs w:val="20"/>
          <w:rFonts w:cs="Times New Roman" w:ascii="Times New Roman" w:hAnsi="Times New Roman"/>
        </w:rPr>
        <w:t>19.2</w:t>
      </w:r>
      <w:r>
        <w:rPr>
          <w:szCs w:val="20"/>
          <w:rFonts w:cs="Times New Roman" w:ascii="Times New Roman" w:hAnsi="Times New Roman"/>
        </w:rPr>
        <w:fldChar w:fldCharType="end"/>
      </w:r>
      <w:r>
        <w:rPr>
          <w:rFonts w:cs="" w:asciiTheme="majorBidi" w:cstheme="majorBidi" w:hAnsiTheme="majorBidi"/>
          <w:szCs w:val="20"/>
        </w:rPr>
        <w:t xml:space="preserve"> punkte nurodytų aplinkybių ir tęsiasi ne ilgiau kaip 3 (tris) mėnesius, toks stabdymas laikomas Sutarties keitimu joje numatytomis sąlygomis. </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 xml:space="preserve">Jei Paslaugų (jų dalies) teikimo stabdymas vykdomas dėl kitų aplinkybių, nenurodytų Bendrųjų sąlygų </w:t>
      </w:r>
      <w:r>
        <w:rPr>
          <w:rFonts w:cs="Times New Roman" w:ascii="Times New Roman" w:hAnsi="Times New Roman"/>
          <w:szCs w:val="20"/>
        </w:rPr>
        <w:fldChar w:fldCharType="begin"/>
      </w:r>
      <w:r>
        <w:rPr>
          <w:szCs w:val="20"/>
          <w:rFonts w:cs="Times New Roman" w:ascii="Times New Roman" w:hAnsi="Times New Roman"/>
        </w:rPr>
        <w:instrText xml:space="preserve"> REF _Ref159244356 \r \h </w:instrText>
      </w:r>
      <w:r>
        <w:rPr>
          <w:szCs w:val="20"/>
          <w:rFonts w:cs="Times New Roman" w:ascii="Times New Roman" w:hAnsi="Times New Roman"/>
        </w:rPr>
        <w:fldChar w:fldCharType="separate"/>
      </w:r>
      <w:r>
        <w:rPr>
          <w:szCs w:val="20"/>
          <w:rFonts w:cs="Times New Roman" w:ascii="Times New Roman" w:hAnsi="Times New Roman"/>
        </w:rPr>
        <w:t>19.2</w:t>
      </w:r>
      <w:r>
        <w:rPr>
          <w:szCs w:val="20"/>
          <w:rFonts w:cs="Times New Roman" w:ascii="Times New Roman" w:hAnsi="Times New Roman"/>
        </w:rPr>
        <w:fldChar w:fldCharType="end"/>
      </w:r>
      <w:r>
        <w:rPr>
          <w:rFonts w:cs="" w:asciiTheme="majorBidi" w:cstheme="majorBidi" w:hAnsiTheme="majorBidi"/>
          <w:szCs w:val="20"/>
        </w:rPr>
        <w:t xml:space="preserve"> punkte ar (ir) Bendrųjų sąlygų </w:t>
      </w:r>
      <w:r>
        <w:rPr>
          <w:rFonts w:cs="Times New Roman" w:ascii="Times New Roman" w:hAnsi="Times New Roman"/>
          <w:szCs w:val="20"/>
        </w:rPr>
        <w:fldChar w:fldCharType="begin"/>
      </w:r>
      <w:r>
        <w:rPr>
          <w:szCs w:val="20"/>
          <w:rFonts w:cs="Times New Roman" w:ascii="Times New Roman" w:hAnsi="Times New Roman"/>
        </w:rPr>
        <w:instrText xml:space="preserve"> REF _Ref159244356 \r \h </w:instrText>
      </w:r>
      <w:r>
        <w:rPr>
          <w:szCs w:val="20"/>
          <w:rFonts w:cs="Times New Roman" w:ascii="Times New Roman" w:hAnsi="Times New Roman"/>
        </w:rPr>
        <w:fldChar w:fldCharType="separate"/>
      </w:r>
      <w:r>
        <w:rPr>
          <w:szCs w:val="20"/>
          <w:rFonts w:cs="Times New Roman" w:ascii="Times New Roman" w:hAnsi="Times New Roman"/>
        </w:rPr>
        <w:t>19.2</w:t>
      </w:r>
      <w:r>
        <w:rPr>
          <w:szCs w:val="20"/>
          <w:rFonts w:cs="Times New Roman" w:ascii="Times New Roman" w:hAnsi="Times New Roman"/>
        </w:rPr>
        <w:fldChar w:fldCharType="end"/>
      </w:r>
      <w:r>
        <w:rPr>
          <w:rFonts w:cs="" w:asciiTheme="majorBidi" w:cstheme="majorBidi" w:hAnsiTheme="majorBidi"/>
          <w:szCs w:val="20"/>
        </w:rPr>
        <w:t xml:space="preserve"> punkte nurodytos aplinkybės tęsiasi ilgiau nei 3 (tris) mėnesius ir (ar) nesilaikant šiame skyriuje nustatytos tvarkos, tai laikoma Sutarties keitimu, kuris turi būti atliekamas, vadovaujantis VPĮ nuostatomis. </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Sutartinių įsipareigojimų vykdymas gali būti stabdomas tik Sutarties galiojimo laikotarpiu tokia tvarka:</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 xml:space="preserve">Atsiradus aplinkybėms, dėl kurių Tiekėjas negali vykdyti sutartinių įsipareigojimų, Tiekėjas apie tai nedelsdamas privalo informuoti Pirkėją. Tiekėjo rašytiniame prašyme turi būti nurodyta stabdymo aplinkybė (Bendrųjų sąlygų </w:t>
      </w:r>
      <w:r>
        <w:rPr>
          <w:rFonts w:cs="Times New Roman" w:ascii="Times New Roman" w:hAnsi="Times New Roman"/>
          <w:szCs w:val="20"/>
        </w:rPr>
        <w:fldChar w:fldCharType="begin"/>
      </w:r>
      <w:r>
        <w:rPr>
          <w:szCs w:val="20"/>
          <w:rFonts w:cs="Times New Roman" w:ascii="Times New Roman" w:hAnsi="Times New Roman"/>
        </w:rPr>
        <w:instrText xml:space="preserve"> REF _Ref159244356 \r \h </w:instrText>
      </w:r>
      <w:r>
        <w:rPr>
          <w:szCs w:val="20"/>
          <w:rFonts w:cs="Times New Roman" w:ascii="Times New Roman" w:hAnsi="Times New Roman"/>
        </w:rPr>
        <w:fldChar w:fldCharType="separate"/>
      </w:r>
      <w:r>
        <w:rPr>
          <w:szCs w:val="20"/>
          <w:rFonts w:cs="Times New Roman" w:ascii="Times New Roman" w:hAnsi="Times New Roman"/>
        </w:rPr>
        <w:t>19.2</w:t>
      </w:r>
      <w:r>
        <w:rPr>
          <w:szCs w:val="20"/>
          <w:rFonts w:cs="Times New Roman" w:ascii="Times New Roman" w:hAnsi="Times New Roman"/>
        </w:rPr>
        <w:fldChar w:fldCharType="end"/>
      </w:r>
      <w:r>
        <w:rPr>
          <w:rFonts w:cs="" w:asciiTheme="majorBidi" w:cstheme="majorBidi" w:hAnsiTheme="majorBidi"/>
          <w:szCs w:val="20"/>
        </w:rPr>
        <w:t xml:space="preserve">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BodyText"/>
        <w:numPr>
          <w:ilvl w:val="2"/>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Sutartinių įsipareigojimų vykdymas stabdomas ne ilgesniam kaip konkrečios, pagrįstos aplinkybės egzistavimo laikotarpiui.</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BodyText"/>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Jeigu Sutartyje numatytų prievolių įvykdymo terminai buvo sustabdyti Sutartyje nustatytais pagrindais, jie atnaujinami pasibaigus sustabdymą lėmusioms aplinkybėms arba Šalių susitarime nurodytam terminui, priklausomai nuo to, kuris įvyksta anksčiau.</w:t>
      </w:r>
    </w:p>
    <w:p>
      <w:pPr>
        <w:pStyle w:val="BodyText"/>
        <w:keepLines/>
        <w:numPr>
          <w:ilvl w:val="1"/>
          <w:numId w:val="2"/>
        </w:numPr>
        <w:tabs>
          <w:tab w:val="clear" w:pos="1296"/>
          <w:tab w:val="left" w:pos="709" w:leader="none"/>
          <w:tab w:val="left" w:pos="993" w:leader="none"/>
        </w:tabs>
        <w:spacing w:lineRule="auto" w:line="276"/>
        <w:ind w:hanging="0" w:left="0"/>
        <w:jc w:val="both"/>
        <w:rPr>
          <w:rFonts w:cs="" w:asciiTheme="majorBidi" w:cstheme="majorBidi" w:hAnsiTheme="majorBidi"/>
          <w:szCs w:val="20"/>
        </w:rPr>
      </w:pPr>
      <w:r>
        <w:rPr>
          <w:rFonts w:cs="" w:asciiTheme="majorBidi" w:cstheme="majorBidi" w:hAnsiTheme="majorBidi"/>
          <w:szCs w:val="20"/>
        </w:rPr>
        <w:t>Atnaujinus Sutarties vykdymą, neįvykdytų prievolių (jų dalies) įvykdymo terminai ir Sutarties galiojimas nukeliami tokiam terminui, kiek buvo likę laiko jų įvykdymui (Sutarties galiojimui) jų sustabdymo metu.</w:t>
      </w:r>
    </w:p>
    <w:p>
      <w:pPr>
        <w:pStyle w:val="BodyText"/>
        <w:numPr>
          <w:ilvl w:val="1"/>
          <w:numId w:val="2"/>
        </w:numPr>
        <w:tabs>
          <w:tab w:val="clear" w:pos="1296"/>
          <w:tab w:val="left" w:pos="709" w:leader="none"/>
          <w:tab w:val="left" w:pos="993" w:leader="none"/>
        </w:tabs>
        <w:spacing w:lineRule="auto" w:line="276"/>
        <w:ind w:hanging="0" w:left="0"/>
        <w:jc w:val="both"/>
        <w:rPr>
          <w:rStyle w:val="PagrindinistekstasDiagrama"/>
          <w:rFonts w:cs="" w:asciiTheme="majorBidi" w:cstheme="majorBidi" w:hAnsiTheme="majorBidi"/>
          <w:szCs w:val="20"/>
        </w:rPr>
      </w:pPr>
      <w:r>
        <w:rPr>
          <w:rFonts w:cs="" w:asciiTheme="majorBidi" w:cstheme="majorBidi" w:hAnsiTheme="majorBidi"/>
          <w:szCs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BodyText"/>
        <w:tabs>
          <w:tab w:val="clear" w:pos="1296"/>
          <w:tab w:val="left" w:pos="709" w:leader="none"/>
        </w:tabs>
        <w:spacing w:lineRule="auto" w:line="276"/>
        <w:ind w:hanging="0"/>
        <w:jc w:val="both"/>
        <w:rPr>
          <w:rStyle w:val="PagrindinistekstasDiagrama"/>
          <w:rFonts w:cs="" w:asciiTheme="majorBidi" w:cstheme="majorBidi" w:hAnsiTheme="majorBidi"/>
          <w:szCs w:val="20"/>
        </w:rPr>
      </w:pPr>
      <w:r>
        <w:rPr>
          <w:rFonts w:cs="" w:asciiTheme="majorBidi" w:cstheme="majorBidi" w:hAnsiTheme="majorBidi"/>
          <w:szCs w:val="20"/>
        </w:rPr>
      </w:r>
    </w:p>
    <w:p>
      <w:pPr>
        <w:pStyle w:val="BodyText"/>
        <w:numPr>
          <w:ilvl w:val="0"/>
          <w:numId w:val="2"/>
        </w:numPr>
        <w:tabs>
          <w:tab w:val="clear" w:pos="1296"/>
          <w:tab w:val="left" w:pos="567" w:leader="none"/>
        </w:tabs>
        <w:spacing w:lineRule="auto" w:line="276"/>
        <w:ind w:hanging="567" w:left="567"/>
        <w:jc w:val="center"/>
        <w:rPr>
          <w:rFonts w:cs="" w:asciiTheme="majorBidi" w:cstheme="majorBidi" w:hAnsiTheme="majorBidi"/>
          <w:b/>
          <w:bCs/>
          <w:szCs w:val="20"/>
        </w:rPr>
      </w:pPr>
      <w:r>
        <w:rPr>
          <w:rStyle w:val="PagrindinistekstasDiagrama"/>
          <w:rFonts w:cs="" w:asciiTheme="majorBidi" w:cstheme="majorBidi" w:hAnsiTheme="majorBidi"/>
          <w:b/>
          <w:bCs/>
          <w:szCs w:val="20"/>
        </w:rPr>
        <w:t>SUTARTIES NUTRAUKIMAS</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eastAsia="Cambria" w:cs="" w:cstheme="majorBidi"/>
          <w:sz w:val="20"/>
        </w:rPr>
        <w:t>Sutartis gali būti nutraukiama VPĮ 90 straipsnyje ir Sutartyje numatytais atvejais, įskaitant galimybę nutraukti Sutartį Šalių susitarimu.</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Normal"/>
        <w:tabs>
          <w:tab w:val="clear" w:pos="1296"/>
          <w:tab w:val="left" w:pos="709" w:leader="none"/>
        </w:tabs>
        <w:spacing w:lineRule="auto" w:line="276" w:before="120" w:after="0"/>
        <w:jc w:val="center"/>
        <w:rPr>
          <w:rFonts w:cs="" w:asciiTheme="majorBidi" w:cstheme="majorBidi" w:hAnsiTheme="majorBidi"/>
          <w:b/>
          <w:bCs/>
          <w:sz w:val="20"/>
        </w:rPr>
      </w:pPr>
      <w:r>
        <w:rPr>
          <w:rFonts w:cs="" w:cstheme="majorBidi"/>
          <w:b/>
          <w:bCs/>
          <w:sz w:val="20"/>
        </w:rPr>
        <w:t>Pretenzijos dėl Sutarties pažeidimų</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pPr>
        <w:pStyle w:val="ListParagraph"/>
        <w:tabs>
          <w:tab w:val="clear" w:pos="1296"/>
          <w:tab w:val="left" w:pos="709" w:leader="none"/>
        </w:tabs>
        <w:spacing w:lineRule="auto" w:line="276"/>
        <w:ind w:left="0"/>
        <w:jc w:val="both"/>
        <w:rPr>
          <w:rFonts w:cs="" w:asciiTheme="majorBidi" w:cstheme="majorBidi" w:hAnsiTheme="majorBidi"/>
          <w:sz w:val="20"/>
        </w:rPr>
      </w:pPr>
      <w:r>
        <w:rPr>
          <w:rFonts w:cs="" w:asciiTheme="majorBidi" w:cstheme="majorBidi" w:hAnsiTheme="majorBidi"/>
          <w:sz w:val="20"/>
        </w:rPr>
      </w:r>
    </w:p>
    <w:p>
      <w:pPr>
        <w:pStyle w:val="ListParagraph"/>
        <w:tabs>
          <w:tab w:val="clear" w:pos="1296"/>
          <w:tab w:val="left" w:pos="709" w:leader="none"/>
        </w:tabs>
        <w:spacing w:lineRule="auto" w:line="276" w:before="120" w:after="0"/>
        <w:ind w:left="0"/>
        <w:contextualSpacing w:val="false"/>
        <w:jc w:val="center"/>
        <w:rPr>
          <w:rFonts w:cs="" w:asciiTheme="majorBidi" w:cstheme="majorBidi" w:hAnsiTheme="majorBidi"/>
          <w:b/>
          <w:bCs/>
          <w:sz w:val="20"/>
        </w:rPr>
      </w:pPr>
      <w:r>
        <w:rPr>
          <w:rFonts w:cs="" w:cstheme="majorBidi"/>
          <w:b/>
          <w:bCs/>
          <w:sz w:val="20"/>
        </w:rPr>
        <w:t>Sutarties nutraukimas Pirkėjo iniciatyva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cs="" w:cstheme="majorBidi"/>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turi teisę vienašališkai nutraukti Sutartį ar jos dalį raštu įspėjęs Tiekėją prieš ne trumpesnį nei 10 (dešimties) dienų terminą, jeigu:</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Tiekėjui yra iškelta bankroto byla, pradėtas bankroto procesas ne teismo tvarka, jis tampa nemokus arba yra nemokumo tikimybė, sustabdo ūkinę veiklą ar susidaro analogiška situacija</w:t>
      </w:r>
      <w:r>
        <w:rPr>
          <w:rFonts w:cs="" w:cstheme="majorBidi"/>
          <w:sz w:val="20"/>
          <w:shd w:fill="FFFFFF" w:val="clear"/>
        </w:rPr>
        <w:t>;</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Tiekėjo padėtis pasikeičia ir jis atitinka pirkimo dokumentuose nustatytą pašalinimo pagrindą, kuris taikomas ir Sutarties galiojimo metu;</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pasikeičia teisės aktai, susiję su Sutarties objektu, Sutarties vykdymu, ar su Pirkėjo vykdoma veikla, kuriai buvo sudaryta Sutartis, ir dėl tokių pakeitimų Pirkėjas nusprendžia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nusprendžia nebevykdyti veiklos, kurios vykdymui Sutartimi įsigyjamos Paslaugos ir Sutarties poreikis išnyksta;</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Pirkėjo valdymo organas priima sprendimą(-us), dėl kurio(-ių) Sutarties poreikis išnyksta;</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pasikeičia (pablogėja) Pirkėjo finansinė padėtis ar Pirkėjas negauna / netenka finansavimo ir dėl šios priežasties nusprendžia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keičiasi Pirkėjo organizacinė struktūra – juridinis statusas, pobūdis ar valdymo struktūra ir tai gali turėti įtakos tinkamam Sutarties įvykdymui arba Sutarties poreikiui; </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nebelieka perkamų Paslaugų poreikio;</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Pirkėjas iš pirkimų priežiūrą atliekančių institucijų gauna nurodymą / rekomendaciją nutraukti Sutartį;</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Tiekėjas nepratęsia arba nepateikia Sutarties įvykdymo užtikrinimo per Sutartyje nustatytą terminą;</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eastAsia="Arial" w:cs="" w:cstheme="majorBidi"/>
          <w:sz w:val="20"/>
        </w:rPr>
        <w:t>Tiekėjas atsisako pašalinti arba nepašalina Paslaugų trūkumų per Pirkėjo nustatytus protingus terminus;</w:t>
      </w:r>
    </w:p>
    <w:p>
      <w:pPr>
        <w:pStyle w:val="ListParagraph"/>
        <w:numPr>
          <w:ilvl w:val="2"/>
          <w:numId w:val="2"/>
        </w:numPr>
        <w:tabs>
          <w:tab w:val="clear" w:pos="1296"/>
          <w:tab w:val="left" w:pos="709" w:leader="none"/>
        </w:tabs>
        <w:spacing w:lineRule="auto" w:line="276"/>
        <w:ind w:hanging="0" w:left="0"/>
        <w:jc w:val="both"/>
        <w:rPr>
          <w:rFonts w:cs="" w:asciiTheme="majorBidi" w:cstheme="majorBidi" w:hAnsiTheme="majorBidi"/>
          <w:b/>
          <w:bCs/>
          <w:sz w:val="20"/>
        </w:rPr>
      </w:pPr>
      <w:bookmarkStart w:id="24" w:name="_Ref159243529"/>
      <w:r>
        <w:rPr>
          <w:rFonts w:cs="" w:cstheme="majorBidi"/>
          <w:sz w:val="20"/>
        </w:rPr>
        <w:t>Tiekėjas pažeidžia Sutartį arba įstatymus bei kitus teisės aktus ir per Pirkėjo rašytinėje pretenzijoje nurodytą terminą neištaiso pažeidimo.</w:t>
      </w:r>
      <w:bookmarkEnd w:id="24"/>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ListParagraph"/>
        <w:keepLines/>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Pirkėjas turi teisę vienašališkai nutraukti Sutartį ir kitais Specialiosiose sąlygose (jei taikoma) ir įstatymuose bei kituose teisės aktuose įtvirtintais atvejais.</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Sutartis laikoma nutraukta kitą dieną po to, kai pasibaigia įspėjimo apie Sutarties nutraukimą terminas.</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pPr>
        <w:pStyle w:val="Normal"/>
        <w:widowControl w:val="false"/>
        <w:tabs>
          <w:tab w:val="clear" w:pos="1296"/>
          <w:tab w:val="left" w:pos="567" w:leader="none"/>
          <w:tab w:val="left" w:pos="851" w:leader="none"/>
          <w:tab w:val="left" w:pos="992" w:leader="none"/>
          <w:tab w:val="left" w:pos="1134" w:leader="none"/>
        </w:tabs>
        <w:spacing w:lineRule="auto" w:line="259" w:before="120" w:after="0"/>
        <w:rPr>
          <w:rFonts w:eastAsia="Arial" w:cs="" w:asciiTheme="majorBidi" w:cstheme="majorBidi" w:hAnsiTheme="majorBidi"/>
          <w:b/>
          <w:bCs/>
          <w:sz w:val="20"/>
        </w:rPr>
      </w:pPr>
      <w:r>
        <w:rPr>
          <w:rFonts w:eastAsia="Arial" w:cs="" w:asciiTheme="majorBidi" w:cstheme="majorBidi" w:hAnsiTheme="majorBidi"/>
          <w:b/>
          <w:bCs/>
          <w:sz w:val="20"/>
        </w:rPr>
      </w:r>
    </w:p>
    <w:p>
      <w:pPr>
        <w:pStyle w:val="Normal"/>
        <w:widowControl w:val="false"/>
        <w:tabs>
          <w:tab w:val="clear" w:pos="1296"/>
          <w:tab w:val="left" w:pos="567" w:leader="none"/>
          <w:tab w:val="left" w:pos="851" w:leader="none"/>
          <w:tab w:val="left" w:pos="992" w:leader="none"/>
          <w:tab w:val="left" w:pos="1134" w:leader="none"/>
        </w:tabs>
        <w:spacing w:lineRule="auto" w:line="259" w:before="120" w:after="0"/>
        <w:jc w:val="center"/>
        <w:rPr>
          <w:rFonts w:eastAsia="Arial" w:cs="" w:asciiTheme="majorBidi" w:cstheme="majorBidi" w:hAnsiTheme="majorBidi"/>
          <w:b/>
          <w:bCs/>
          <w:sz w:val="20"/>
        </w:rPr>
      </w:pPr>
      <w:r>
        <w:rPr>
          <w:rFonts w:eastAsia="Arial" w:cs="" w:cstheme="majorBidi"/>
          <w:b/>
          <w:bCs/>
          <w:sz w:val="20"/>
        </w:rPr>
        <w:t>Sutarties nutraukimas Tiekėjo iniciatyva</w:t>
      </w:r>
    </w:p>
    <w:p>
      <w:pPr>
        <w:pStyle w:val="ListParagraph"/>
        <w:numPr>
          <w:ilvl w:val="1"/>
          <w:numId w:val="2"/>
        </w:numPr>
        <w:tabs>
          <w:tab w:val="clear" w:pos="1296"/>
          <w:tab w:val="left" w:pos="709" w:leader="none"/>
        </w:tabs>
        <w:spacing w:lineRule="auto" w:line="259" w:before="120" w:after="0"/>
        <w:ind w:hanging="0" w:left="0"/>
        <w:contextualSpacing w:val="false"/>
        <w:jc w:val="both"/>
        <w:textAlignment w:val="baseline"/>
        <w:rPr>
          <w:rFonts w:cs="" w:asciiTheme="majorBidi" w:cstheme="majorBidi" w:hAnsiTheme="majorBidi"/>
          <w:sz w:val="20"/>
        </w:rPr>
      </w:pPr>
      <w:bookmarkStart w:id="25" w:name="_Ref159258675"/>
      <w:r>
        <w:rPr>
          <w:rFonts w:cs="" w:cstheme="majorBidi"/>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5"/>
      <w:r>
        <w:rPr>
          <w:rFonts w:cs="" w:cstheme="majorBidi"/>
          <w:sz w:val="20"/>
        </w:rPr>
        <w:t> </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Tiekėjas turi teisę vienašališkai nutraukti Sutartį, įspėjęs Pirkėją raštu prieš ne trumpesnį nei 10 (dešimties) dienų terminą, jeigu:</w:t>
      </w:r>
    </w:p>
    <w:p>
      <w:pPr>
        <w:pStyle w:val="ListParagraph"/>
        <w:numPr>
          <w:ilvl w:val="2"/>
          <w:numId w:val="2"/>
        </w:numPr>
        <w:tabs>
          <w:tab w:val="clear" w:pos="1296"/>
          <w:tab w:val="left" w:pos="709" w:leader="none"/>
          <w:tab w:val="left" w:pos="851" w:leader="none"/>
        </w:tabs>
        <w:spacing w:lineRule="auto" w:line="276"/>
        <w:ind w:hanging="0" w:left="0"/>
        <w:jc w:val="both"/>
        <w:rPr>
          <w:rFonts w:cs="" w:asciiTheme="majorBidi" w:cstheme="majorBidi" w:hAnsiTheme="majorBidi"/>
          <w:b/>
          <w:bCs/>
          <w:sz w:val="20"/>
        </w:rPr>
      </w:pPr>
      <w:r>
        <w:rPr>
          <w:rFonts w:cs="" w:cstheme="majorBidi"/>
          <w:sz w:val="20"/>
        </w:rPr>
        <w:t>Pirkėjui yra iškelta bankroto byla, pradėtas procesas dėl bankroto ne teismo tvarka, jis tampa nemokus arba yra nemokumo tikimybė, Pirkėjas sustabdo veiklą, arba kituose teisės aktuose numatyta tvarka susidaro analogiška situacija;</w:t>
      </w:r>
    </w:p>
    <w:p>
      <w:pPr>
        <w:pStyle w:val="ListParagraph"/>
        <w:numPr>
          <w:ilvl w:val="2"/>
          <w:numId w:val="2"/>
        </w:numPr>
        <w:tabs>
          <w:tab w:val="clear" w:pos="1296"/>
          <w:tab w:val="left" w:pos="709" w:leader="none"/>
          <w:tab w:val="left" w:pos="851" w:leader="none"/>
        </w:tabs>
        <w:spacing w:lineRule="auto" w:line="276"/>
        <w:ind w:hanging="0" w:left="0"/>
        <w:jc w:val="both"/>
        <w:rPr>
          <w:rFonts w:cs="" w:asciiTheme="majorBidi" w:cstheme="majorBidi" w:hAnsiTheme="majorBidi"/>
          <w:b/>
          <w:bCs/>
          <w:sz w:val="20"/>
        </w:rPr>
      </w:pPr>
      <w:r>
        <w:rPr>
          <w:rFonts w:cs="" w:cstheme="majorBidi"/>
          <w:sz w:val="20"/>
        </w:rPr>
        <w:t>Pirkėjas pažeidžia Sutartį ir per Tiekėjo rašytinėje pretenzijoje nurodytą terminą neištaiso pažeidimo.</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 xml:space="preserve">Jeigu </w:t>
      </w:r>
      <w:r>
        <w:rPr>
          <w:sz w:val="20"/>
        </w:rPr>
        <w:fldChar w:fldCharType="begin"/>
      </w:r>
      <w:r>
        <w:rPr>
          <w:sz w:val="20"/>
        </w:rPr>
        <w:instrText xml:space="preserve"> REF _Ref159258675 \r \h </w:instrText>
      </w:r>
      <w:r>
        <w:rPr>
          <w:sz w:val="20"/>
        </w:rPr>
        <w:fldChar w:fldCharType="separate"/>
      </w:r>
      <w:r>
        <w:rPr>
          <w:sz w:val="20"/>
        </w:rPr>
        <w:t>20.12</w:t>
      </w:r>
      <w:r>
        <w:rPr>
          <w:sz w:val="20"/>
        </w:rPr>
        <w:fldChar w:fldCharType="end"/>
      </w:r>
      <w:r>
        <w:rPr>
          <w:rFonts w:cs="" w:cstheme="majorBidi"/>
          <w:sz w:val="20"/>
        </w:rPr>
        <w:t xml:space="preserve"> punkte nurodytos aplinkybės yra susijusios tik su atskira dalimi arba atskiru Susitarimu, Tiekėjas turi teisę nutraukti Sutartį tik tos dalies atžvilgiu arba nutraukti tik tokį Susitarimą. </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Sutartis laikoma nutraukta kitą dieną po to, kai pasibaigia įspėjimo apie Sutarties nutraukimą terminas.</w:t>
      </w:r>
    </w:p>
    <w:p>
      <w:pPr>
        <w:pStyle w:val="ListParagraph"/>
        <w:numPr>
          <w:ilvl w:val="1"/>
          <w:numId w:val="2"/>
        </w:numPr>
        <w:tabs>
          <w:tab w:val="clear" w:pos="1296"/>
          <w:tab w:val="left" w:pos="709" w:leader="none"/>
        </w:tabs>
        <w:spacing w:lineRule="auto" w:line="276"/>
        <w:ind w:hanging="0" w:left="0"/>
        <w:jc w:val="both"/>
        <w:rPr>
          <w:rFonts w:cs="" w:asciiTheme="majorBidi" w:cstheme="majorBidi" w:hAnsiTheme="majorBidi"/>
          <w:b/>
          <w:bCs/>
          <w:sz w:val="20"/>
        </w:rPr>
      </w:pPr>
      <w:r>
        <w:rPr>
          <w:rFonts w:cs="" w:cstheme="majorBidi"/>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ListParagraph"/>
        <w:tabs>
          <w:tab w:val="clear" w:pos="1296"/>
          <w:tab w:val="left" w:pos="709" w:leader="none"/>
        </w:tabs>
        <w:spacing w:lineRule="auto" w:line="276"/>
        <w:ind w:left="0"/>
        <w:jc w:val="both"/>
        <w:rPr>
          <w:rFonts w:cs="" w:asciiTheme="majorBidi" w:cstheme="majorBidi" w:hAnsiTheme="majorBidi"/>
          <w:sz w:val="20"/>
        </w:rPr>
      </w:pPr>
      <w:r>
        <w:rPr>
          <w:rFonts w:cs="" w:asciiTheme="majorBidi" w:cstheme="majorBidi" w:hAnsiTheme="majorBidi"/>
          <w:sz w:val="20"/>
        </w:rPr>
      </w:r>
    </w:p>
    <w:p>
      <w:pPr>
        <w:pStyle w:val="ListParagraph"/>
        <w:tabs>
          <w:tab w:val="clear" w:pos="1296"/>
          <w:tab w:val="left" w:pos="709" w:leader="none"/>
        </w:tabs>
        <w:spacing w:lineRule="auto" w:line="276" w:before="120" w:after="0"/>
        <w:ind w:left="0"/>
        <w:contextualSpacing w:val="false"/>
        <w:jc w:val="center"/>
        <w:rPr>
          <w:rFonts w:cs="" w:asciiTheme="majorBidi" w:cstheme="majorBidi" w:hAnsiTheme="majorBidi"/>
          <w:b/>
          <w:bCs/>
          <w:sz w:val="20"/>
        </w:rPr>
      </w:pPr>
      <w:r>
        <w:rPr>
          <w:rFonts w:cs="" w:cstheme="majorBidi"/>
          <w:b/>
          <w:bCs/>
          <w:sz w:val="20"/>
        </w:rPr>
        <w:t>Šalių teisės ir pareigos Sutarties nutraukimo atveju</w:t>
      </w:r>
    </w:p>
    <w:p>
      <w:pPr>
        <w:pStyle w:val="ListParagraph"/>
        <w:numPr>
          <w:ilvl w:val="1"/>
          <w:numId w:val="2"/>
        </w:numPr>
        <w:tabs>
          <w:tab w:val="clear" w:pos="1296"/>
          <w:tab w:val="left" w:pos="709" w:leader="none"/>
        </w:tabs>
        <w:spacing w:lineRule="auto" w:line="276" w:before="120" w:after="0"/>
        <w:ind w:hanging="0" w:left="0"/>
        <w:contextualSpacing w:val="false"/>
        <w:jc w:val="both"/>
        <w:textAlignment w:val="baseline"/>
        <w:rPr>
          <w:rFonts w:cs="" w:asciiTheme="majorBidi" w:cstheme="majorBidi" w:hAnsiTheme="majorBidi"/>
          <w:sz w:val="20"/>
        </w:rPr>
      </w:pPr>
      <w:r>
        <w:rPr>
          <w:rFonts w:cs="" w:cstheme="majorBidi"/>
          <w:sz w:val="20"/>
        </w:rPr>
        <w:t>Sutarties nutraukimas neturi įtakos ginčų nagrinėjimo tvarką nustatančių Sutarties sąlygų ir kitų Sutarties sąlygų, kurios pagal savo esmę lieka galioti ir po Sutarties nutraukimo, galiojimui.</w:t>
      </w:r>
    </w:p>
    <w:p>
      <w:pPr>
        <w:pStyle w:val="ListParagraph"/>
        <w:numPr>
          <w:ilvl w:val="1"/>
          <w:numId w:val="2"/>
        </w:numPr>
        <w:tabs>
          <w:tab w:val="clear" w:pos="1296"/>
          <w:tab w:val="left" w:pos="709" w:leader="none"/>
        </w:tabs>
        <w:spacing w:lineRule="auto" w:line="259"/>
        <w:ind w:hanging="0" w:left="0"/>
        <w:jc w:val="both"/>
        <w:textAlignment w:val="baseline"/>
        <w:rPr>
          <w:rFonts w:cs="" w:asciiTheme="majorBidi" w:cstheme="majorBidi" w:hAnsiTheme="majorBidi"/>
          <w:sz w:val="20"/>
        </w:rPr>
      </w:pPr>
      <w:r>
        <w:rPr>
          <w:rFonts w:cs="" w:cstheme="majorBidi"/>
          <w:sz w:val="20"/>
        </w:rPr>
        <w:t>Nutraukus Sutartį, Šalys privalo:</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įsitikinti, jog iki Sutarties nutraukimo dienos suteiktos Paslaugos ir kiti atlikti veiksmai atitinka Sutarties reikalavimus ir Šalys dėl to viena kitai nebereikš pretenzijų;</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atsiskaityti už iki Sutarties nutraukimo suteiktas Paslaugas, atitinkančias Sutarties reikalavimus;</w:t>
      </w:r>
    </w:p>
    <w:p>
      <w:pPr>
        <w:pStyle w:val="ListParagraph"/>
        <w:numPr>
          <w:ilvl w:val="2"/>
          <w:numId w:val="2"/>
        </w:numPr>
        <w:tabs>
          <w:tab w:val="clear" w:pos="1296"/>
          <w:tab w:val="left" w:pos="709" w:leader="none"/>
          <w:tab w:val="left" w:pos="851" w:leader="none"/>
        </w:tabs>
        <w:spacing w:lineRule="auto" w:line="259"/>
        <w:ind w:hanging="0" w:left="0"/>
        <w:jc w:val="both"/>
        <w:textAlignment w:val="baseline"/>
        <w:rPr>
          <w:rFonts w:cs="" w:asciiTheme="majorBidi" w:cstheme="majorBidi" w:hAnsiTheme="majorBidi"/>
          <w:sz w:val="20"/>
        </w:rPr>
      </w:pPr>
      <w:r>
        <w:rPr>
          <w:rFonts w:cs="" w:cstheme="majorBidi"/>
          <w:sz w:val="20"/>
        </w:rPr>
        <w:t>per 10 (dešimt) dienų nuo pranešimo apie Sutarties nutraukimą gavimo dienos perduoti viena kitai visus dokumentus, kuriuos buvo būtina perduoti pagal Sutarties nuostatas. </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GARANTINIAI ĮSIPAREIGOJIMAI</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Garantijos negalioja, jeigu Paslaugų trūkumai atsiranda dėl to, kad Pirkėjas nepaisė aptarnavimo, priežiūros ir eksploatacijos instrukcijų.</w:t>
      </w:r>
    </w:p>
    <w:p>
      <w:pPr>
        <w:pStyle w:val="BodyText"/>
        <w:keepLines/>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Pastebėjus Paslaugų trūkumus, Pirkėjas bet kuriuo garantinio termino metu gali pareikšti pretenzijas Tiekėjui dėl Paslaugų kokybės. Pirkėjas surašo aktą dėl trūkumų ir išsiunčia Tiekėjui el. paštu, ar registruotu paštu, ar pasirašytinai per kurjerį, nurodant Tiekėjui jį pasirašyti ir atsiųsti Pirkėjui per 3 (tris) darbo dienas.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Pirkėjas savo pasirinkimu atlieka ekspertizę. Ekspertizės išlaidas padengia:</w:t>
      </w:r>
      <w:r>
        <w:rPr>
          <w:rFonts w:cs="" w:asciiTheme="majorBidi" w:cstheme="majorBidi" w:hAnsiTheme="majorBidi"/>
          <w:szCs w:val="20"/>
        </w:rPr>
        <w:t xml:space="preserve"> a) </w:t>
      </w:r>
      <w:r>
        <w:rPr>
          <w:rStyle w:val="PagrindinistekstasDiagrama"/>
          <w:rFonts w:cs="" w:asciiTheme="majorBidi" w:cstheme="majorBidi" w:hAnsiTheme="majorBidi"/>
          <w:szCs w:val="20"/>
        </w:rPr>
        <w:t>jei Paslaugos atitinka Sutartyje nurodytus reikalavimus – Pirkėjas; b) jei Paslaugos neatitinka Sutarties reikalavimų – Tiekėjas.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 ar jos prieduose.</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ASMENS DUOMENŲ TVARKYMAS</w:t>
      </w:r>
    </w:p>
    <w:p>
      <w:pPr>
        <w:pStyle w:val="BodyText"/>
        <w:numPr>
          <w:ilvl w:val="1"/>
          <w:numId w:val="2"/>
        </w:numPr>
        <w:tabs>
          <w:tab w:val="clear" w:pos="1296"/>
          <w:tab w:val="left" w:pos="709" w:leader="none"/>
          <w:tab w:val="left" w:pos="1134"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bookmarkStart w:id="26" w:name="_Ref159241287"/>
      <w:r>
        <w:rPr>
          <w:rStyle w:val="PagrindinistekstasDiagrama"/>
          <w:rFonts w:cs="" w:asciiTheme="majorBidi" w:cstheme="majorBidi" w:hAnsiTheme="majorBidi"/>
          <w:szCs w:val="20"/>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bookmarkEnd w:id="26"/>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 xml:space="preserve">Kiekviena Šalis kitos Šalies pateiktus </w:t>
      </w:r>
      <w:r>
        <w:rPr>
          <w:rStyle w:val="PagrindinistekstasDiagrama"/>
          <w:rFonts w:cs="Times New Roman" w:ascii="Times New Roman" w:hAnsi="Times New Roman"/>
          <w:szCs w:val="20"/>
        </w:rPr>
        <w:fldChar w:fldCharType="begin"/>
      </w:r>
      <w:r>
        <w:rPr>
          <w:rStyle w:val="PagrindinistekstasDiagrama"/>
          <w:szCs w:val="20"/>
          <w:rFonts w:cs="Times New Roman" w:ascii="Times New Roman" w:hAnsi="Times New Roman"/>
        </w:rPr>
        <w:instrText xml:space="preserve"> REF _Ref159241287 \r \h </w:instrText>
      </w:r>
      <w:r>
        <w:rPr>
          <w:rStyle w:val="PagrindinistekstasDiagrama"/>
          <w:szCs w:val="20"/>
          <w:rFonts w:cs="Times New Roman" w:ascii="Times New Roman" w:hAnsi="Times New Roman"/>
        </w:rPr>
        <w:fldChar w:fldCharType="separate"/>
      </w:r>
      <w:r>
        <w:rPr>
          <w:rStyle w:val="PagrindinistekstasDiagrama"/>
          <w:szCs w:val="20"/>
          <w:rFonts w:cs="Times New Roman" w:ascii="Times New Roman" w:hAnsi="Times New Roman"/>
        </w:rPr>
        <w:t>22.2</w:t>
      </w:r>
      <w:r>
        <w:rPr>
          <w:rStyle w:val="PagrindinistekstasDiagrama"/>
          <w:szCs w:val="20"/>
          <w:rFonts w:cs="Times New Roman" w:ascii="Times New Roman" w:hAnsi="Times New Roman"/>
        </w:rPr>
        <w:fldChar w:fldCharType="end"/>
      </w:r>
      <w:r>
        <w:rPr>
          <w:rStyle w:val="PagrindinistekstasDiagrama"/>
          <w:rFonts w:cs="" w:asciiTheme="majorBidi" w:cstheme="majorBidi" w:hAnsiTheme="majorBidi"/>
          <w:szCs w:val="20"/>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 xml:space="preserve">Kiekviena Šalis kitos Šalies pateiktus </w:t>
      </w:r>
      <w:r>
        <w:rPr>
          <w:rStyle w:val="PagrindinistekstasDiagrama"/>
          <w:rFonts w:cs="Times New Roman" w:ascii="Times New Roman" w:hAnsi="Times New Roman"/>
          <w:szCs w:val="20"/>
        </w:rPr>
        <w:fldChar w:fldCharType="begin"/>
      </w:r>
      <w:r>
        <w:rPr>
          <w:rStyle w:val="PagrindinistekstasDiagrama"/>
          <w:szCs w:val="20"/>
          <w:rFonts w:cs="Times New Roman" w:ascii="Times New Roman" w:hAnsi="Times New Roman"/>
        </w:rPr>
        <w:instrText xml:space="preserve"> REF _Ref159241287 \r \h </w:instrText>
      </w:r>
      <w:r>
        <w:rPr>
          <w:rStyle w:val="PagrindinistekstasDiagrama"/>
          <w:szCs w:val="20"/>
          <w:rFonts w:cs="Times New Roman" w:ascii="Times New Roman" w:hAnsi="Times New Roman"/>
        </w:rPr>
        <w:fldChar w:fldCharType="separate"/>
      </w:r>
      <w:r>
        <w:rPr>
          <w:rStyle w:val="PagrindinistekstasDiagrama"/>
          <w:szCs w:val="20"/>
          <w:rFonts w:cs="Times New Roman" w:ascii="Times New Roman" w:hAnsi="Times New Roman"/>
        </w:rPr>
        <w:t>22.2</w:t>
      </w:r>
      <w:r>
        <w:rPr>
          <w:rStyle w:val="PagrindinistekstasDiagrama"/>
          <w:szCs w:val="20"/>
          <w:rFonts w:cs="Times New Roman" w:ascii="Times New Roman" w:hAnsi="Times New Roman"/>
        </w:rPr>
        <w:fldChar w:fldCharType="end"/>
      </w:r>
      <w:r>
        <w:rPr>
          <w:rStyle w:val="PagrindinistekstasDiagrama"/>
          <w:rFonts w:cs="" w:asciiTheme="majorBidi" w:cstheme="majorBidi" w:hAnsiTheme="majorBidi"/>
          <w:szCs w:val="20"/>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Style w:val="PagrindinistekstasDiagrama"/>
          <w:rFonts w:cs="Times New Roman" w:ascii="Times New Roman" w:hAnsi="Times New Roman"/>
          <w:szCs w:val="20"/>
        </w:rPr>
        <w:fldChar w:fldCharType="begin"/>
      </w:r>
      <w:r>
        <w:rPr>
          <w:rStyle w:val="PagrindinistekstasDiagrama"/>
          <w:szCs w:val="20"/>
          <w:rFonts w:cs="Times New Roman" w:ascii="Times New Roman" w:hAnsi="Times New Roman"/>
        </w:rPr>
        <w:instrText xml:space="preserve"> REF _Ref159241287 \r \h </w:instrText>
      </w:r>
      <w:r>
        <w:rPr>
          <w:rStyle w:val="PagrindinistekstasDiagrama"/>
          <w:szCs w:val="20"/>
          <w:rFonts w:cs="Times New Roman" w:ascii="Times New Roman" w:hAnsi="Times New Roman"/>
        </w:rPr>
        <w:fldChar w:fldCharType="separate"/>
      </w:r>
      <w:r>
        <w:rPr>
          <w:rStyle w:val="PagrindinistekstasDiagrama"/>
          <w:szCs w:val="20"/>
          <w:rFonts w:cs="Times New Roman" w:ascii="Times New Roman" w:hAnsi="Times New Roman"/>
        </w:rPr>
        <w:t>22.2</w:t>
      </w:r>
      <w:r>
        <w:rPr>
          <w:rStyle w:val="PagrindinistekstasDiagrama"/>
          <w:szCs w:val="20"/>
          <w:rFonts w:cs="Times New Roman" w:ascii="Times New Roman" w:hAnsi="Times New Roman"/>
        </w:rPr>
        <w:fldChar w:fldCharType="end"/>
      </w:r>
      <w:r>
        <w:rPr>
          <w:rStyle w:val="PagrindinistekstasDiagrama"/>
          <w:rFonts w:cs="" w:asciiTheme="majorBidi" w:cstheme="majorBidi" w:hAnsiTheme="majorBidi"/>
          <w:szCs w:val="20"/>
        </w:rPr>
        <w:t xml:space="preserve"> punkte nurodytus Pirkėjo pateiktus asmens duomenis gali teikti asmenims, kuriuos jis turi teisę pasitelkti šios Sutarties vykdymui.</w:t>
      </w:r>
    </w:p>
    <w:p>
      <w:pPr>
        <w:pStyle w:val="BodyText"/>
        <w:numPr>
          <w:ilvl w:val="1"/>
          <w:numId w:val="2"/>
        </w:numPr>
        <w:tabs>
          <w:tab w:val="clear" w:pos="1296"/>
          <w:tab w:val="left" w:pos="709" w:leader="none"/>
          <w:tab w:val="left" w:pos="1134"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Kiekviena Šalis įsipareigoja visus fizinius asmenis, kurių asmens duomenis perduoda kitai Šaliai, tinkamai informuoti apie jų asmens duomenų perdavimą.</w:t>
      </w:r>
    </w:p>
    <w:p>
      <w:pPr>
        <w:pStyle w:val="BodyText"/>
        <w:numPr>
          <w:ilvl w:val="1"/>
          <w:numId w:val="2"/>
        </w:numPr>
        <w:tabs>
          <w:tab w:val="clear" w:pos="1296"/>
          <w:tab w:val="left" w:pos="709" w:leader="none"/>
          <w:tab w:val="left" w:pos="1134"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Šalys pažymi, kad fiziniai asmenys, kurie yra pasitelkti Sutarčiai su šalimis vykdyti ir išvardinti Sutartyje, yra supažindinti su Sutartyje pateiktais jų asmeniniais duomenimis, ir Šalies nustatyta tvarka tam davė savo sutikimą.</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BENDRAVIMO TVARKA IR KALBA</w:t>
      </w:r>
    </w:p>
    <w:p>
      <w:pPr>
        <w:pStyle w:val="ListParagraph"/>
        <w:numPr>
          <w:ilvl w:val="1"/>
          <w:numId w:val="2"/>
        </w:numPr>
        <w:tabs>
          <w:tab w:val="clear" w:pos="1296"/>
          <w:tab w:val="left" w:pos="709" w:leader="none"/>
        </w:tabs>
        <w:spacing w:lineRule="auto" w:line="276" w:before="120" w:after="0"/>
        <w:ind w:hanging="0" w:left="0"/>
        <w:contextualSpacing w:val="false"/>
        <w:jc w:val="both"/>
        <w:rPr>
          <w:rFonts w:cs="" w:asciiTheme="majorBidi" w:cstheme="majorBidi" w:hAnsiTheme="majorBidi"/>
          <w:b/>
          <w:bCs/>
          <w:sz w:val="20"/>
        </w:rPr>
      </w:pPr>
      <w:r>
        <w:rPr>
          <w:rFonts w:eastAsia="Arial" w:cs="" w:cstheme="majorBidi"/>
          <w:bCs/>
          <w:sz w:val="20"/>
        </w:rPr>
        <w:t xml:space="preserve">Sutartis sudaroma lietuvių kalba. Jeigu Sutartis ar kuris nors ją sudarantis dokumentas sudaromas kita kalba arba išverčiamas į kitą kalbą, visais atvejais </w:t>
      </w:r>
      <w:r>
        <w:rPr>
          <w:rFonts w:eastAsia="Arial" w:cs="" w:cstheme="majorBidi"/>
          <w:sz w:val="20"/>
          <w:shd w:fill="FFFFFF" w:val="clear"/>
        </w:rPr>
        <w:t>autentišku laikomas tik lietuvių kalba parengtas Sutarties tekstas (jei yra neatitikimų, pirmenybė teikiama lietuvių kalba parengtam tekstui).</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pranešimas yra įteikiamas asmeniškai arba siunčiamas paštu ar per kurjerį, jis turi būti įteikiamas pasirašytinai ir laikomas gautu gavimo patvirtinime nurodytą dieną.</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 xml:space="preserve">Jeigu pranešimas siunčiamas el. paštu, laikoma, kad Šalis jį gavo kitą darbo dieną. </w:t>
      </w:r>
    </w:p>
    <w:p>
      <w:pPr>
        <w:pStyle w:val="ListParagraph"/>
        <w:numPr>
          <w:ilvl w:val="1"/>
          <w:numId w:val="2"/>
        </w:numPr>
        <w:tabs>
          <w:tab w:val="clear" w:pos="1296"/>
          <w:tab w:val="left" w:pos="709" w:leader="none"/>
        </w:tabs>
        <w:spacing w:lineRule="auto" w:line="276" w:before="120" w:after="0"/>
        <w:ind w:hanging="0" w:left="0"/>
        <w:contextualSpacing/>
        <w:jc w:val="both"/>
        <w:rPr>
          <w:rFonts w:cs="" w:asciiTheme="majorBidi" w:cstheme="majorBidi" w:hAnsiTheme="majorBidi"/>
          <w:b/>
          <w:bCs/>
          <w:sz w:val="20"/>
        </w:rPr>
      </w:pPr>
      <w:r>
        <w:rPr>
          <w:rFonts w:eastAsia="Arial" w:cs="" w:cstheme="majorBidi"/>
          <w:sz w:val="20"/>
        </w:rPr>
        <w:t>Jeigu pranešimas siunčiamas keliais skirtingais būdais, laikoma, kad gavėjas jį gavo tada, kai jis gavo pirmesnįjį pranešimą.</w:t>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PRETENZIJOS IR GINČŲ SPRENDIMAS</w:t>
      </w:r>
    </w:p>
    <w:p>
      <w:pPr>
        <w:pStyle w:val="BodyText"/>
        <w:numPr>
          <w:ilvl w:val="1"/>
          <w:numId w:val="2"/>
        </w:numPr>
        <w:tabs>
          <w:tab w:val="clear" w:pos="1296"/>
          <w:tab w:val="left" w:pos="709" w:leader="none"/>
        </w:tabs>
        <w:spacing w:lineRule="auto" w:line="276" w:before="120" w:after="0"/>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Bet kokie ginčai, nesutarimai ar reikalavimai, kylantys iš Sutarties arba susiję su Sutartimi, jos pažeidimu, nutraukimu ar galiojimu, visų pirma privalo būti sprendžiami derybomis tarp Šalių vadovų arba jų įgaliotų asmenų.</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Kilę ginčai nesudaro pagrindo Šalims atsisakyti vykdyti savo prievoles pagal Sutartį.</w:t>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p>
    <w:p>
      <w:pPr>
        <w:pStyle w:val="ListParagraph"/>
        <w:numPr>
          <w:ilvl w:val="0"/>
          <w:numId w:val="2"/>
        </w:numPr>
        <w:tabs>
          <w:tab w:val="clear" w:pos="1296"/>
          <w:tab w:val="left" w:pos="567" w:leader="none"/>
        </w:tabs>
        <w:spacing w:lineRule="auto" w:line="276" w:before="120" w:after="0"/>
        <w:ind w:hanging="567" w:left="567"/>
        <w:contextualSpacing w:val="false"/>
        <w:jc w:val="center"/>
        <w:rPr>
          <w:rFonts w:cs="" w:asciiTheme="majorBidi" w:cstheme="majorBidi" w:hAnsiTheme="majorBidi"/>
          <w:b/>
          <w:bCs/>
          <w:sz w:val="20"/>
        </w:rPr>
      </w:pPr>
      <w:r>
        <w:rPr>
          <w:rFonts w:cs="" w:cstheme="majorBidi"/>
          <w:b/>
          <w:bCs/>
          <w:sz w:val="20"/>
        </w:rPr>
        <w:t>BAIGIAMOSIOS NUOSTATOS</w:t>
      </w:r>
    </w:p>
    <w:p>
      <w:pPr>
        <w:pStyle w:val="BodyText"/>
        <w:numPr>
          <w:ilvl w:val="1"/>
          <w:numId w:val="2"/>
        </w:numPr>
        <w:tabs>
          <w:tab w:val="clear" w:pos="1296"/>
          <w:tab w:val="left" w:pos="709" w:leader="none"/>
        </w:tabs>
        <w:spacing w:lineRule="auto" w:line="276" w:before="120" w:after="0"/>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Sutarčiai ir visoms iš šios Sutarties atsirandančioms teisėms ir pareigoms taikomi Lietuvos Respublikos įstatymai bei kiti norminiai teisės aktai. Sutartis sudaryta ir turi būti aiškinama pagal Lietuvos Respublikos teisę.</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Visus kitus klausimus, kurie neaptarti Sutartyje, reguliuoja Lietuvos Respublikos teisės aktai.</w:t>
      </w:r>
    </w:p>
    <w:p>
      <w:pPr>
        <w:pStyle w:val="BodyText"/>
        <w:numPr>
          <w:ilvl w:val="1"/>
          <w:numId w:val="2"/>
        </w:numPr>
        <w:tabs>
          <w:tab w:val="clear" w:pos="1296"/>
          <w:tab w:val="left" w:pos="709" w:leader="none"/>
        </w:tabs>
        <w:spacing w:lineRule="auto" w:line="276"/>
        <w:ind w:hanging="0" w:left="0"/>
        <w:jc w:val="both"/>
        <w:rPr>
          <w:rStyle w:val="PagrindinistekstasDiagrama"/>
          <w:rFonts w:cs="" w:asciiTheme="majorBidi" w:cstheme="majorBidi" w:hAnsiTheme="majorBidi"/>
          <w:szCs w:val="20"/>
        </w:rPr>
      </w:pPr>
      <w:r>
        <w:rPr>
          <w:rStyle w:val="PagrindinistekstasDiagrama"/>
          <w:rFonts w:cs="" w:asciiTheme="majorBidi" w:cstheme="majorBidi" w:hAnsiTheme="majorBidi"/>
          <w:szCs w:val="20"/>
        </w:rPr>
        <w:t>Tiekėjas neturi teisės perleisti visų arba dalies teisių ir pareigų pagal Sutartį jokiai trečiajai Šaliai be išankstinio raštiško kitos Šalies sutikimo.</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pPr>
        <w:pStyle w:val="BodyText"/>
        <w:numPr>
          <w:ilvl w:val="1"/>
          <w:numId w:val="2"/>
        </w:numPr>
        <w:tabs>
          <w:tab w:val="clear" w:pos="1296"/>
          <w:tab w:val="left" w:pos="709" w:leader="none"/>
        </w:tabs>
        <w:spacing w:lineRule="auto" w:line="276"/>
        <w:ind w:hanging="0" w:left="0"/>
        <w:jc w:val="both"/>
        <w:rPr>
          <w:rFonts w:cs="" w:asciiTheme="majorBidi" w:cstheme="majorBidi" w:hAnsiTheme="majorBidi"/>
          <w:szCs w:val="20"/>
        </w:rPr>
      </w:pPr>
      <w:r>
        <w:rPr>
          <w:rStyle w:val="PagrindinistekstasDiagrama"/>
          <w:rFonts w:cs="" w:asciiTheme="majorBidi" w:cstheme="majorBidi" w:hAnsiTheme="majorBidi"/>
          <w:szCs w:val="20"/>
        </w:rPr>
        <w:t>Sutartis sudaryta dviem egzemplioriais, turinčiais vienodą teisinę galią, po vieną kiekvienai šaliai.</w:t>
      </w:r>
    </w:p>
    <w:p>
      <w:pPr>
        <w:pStyle w:val="Normal"/>
        <w:tabs>
          <w:tab w:val="clear" w:pos="1296"/>
          <w:tab w:val="left" w:pos="709" w:leader="none"/>
        </w:tabs>
        <w:spacing w:lineRule="auto" w:line="276"/>
        <w:rPr>
          <w:rFonts w:cs="" w:asciiTheme="majorBidi" w:cstheme="majorBidi" w:hAnsiTheme="majorBidi"/>
          <w:b/>
          <w:bCs/>
          <w:sz w:val="20"/>
        </w:rPr>
      </w:pPr>
      <w:r>
        <w:rPr>
          <w:rFonts w:cs="" w:asciiTheme="majorBidi" w:cstheme="majorBidi" w:hAnsiTheme="majorBidi"/>
          <w:b/>
          <w:bCs/>
          <w:sz w:val="20"/>
        </w:rPr>
      </w:r>
    </w:p>
    <w:p>
      <w:pPr>
        <w:pStyle w:val="Normal"/>
        <w:spacing w:lineRule="auto" w:line="276" w:before="0" w:after="160"/>
        <w:rPr>
          <w:rFonts w:cs="" w:asciiTheme="majorBidi" w:cstheme="majorBidi" w:hAnsiTheme="majorBidi"/>
          <w:b/>
          <w:bCs/>
          <w:sz w:val="20"/>
        </w:rPr>
      </w:pPr>
      <w:r>
        <w:rPr>
          <w:rFonts w:cs="" w:asciiTheme="majorBidi" w:cstheme="majorBidi" w:hAnsiTheme="majorBidi"/>
          <w:b/>
          <w:bCs/>
          <w:sz w:val="20"/>
        </w:rPr>
      </w:r>
      <w:r>
        <w:br w:type="page"/>
      </w:r>
    </w:p>
    <w:p>
      <w:pPr>
        <w:pStyle w:val="Normal"/>
        <w:spacing w:lineRule="auto" w:line="276" w:before="0" w:after="120"/>
        <w:jc w:val="center"/>
        <w:rPr>
          <w:rFonts w:cs="" w:cstheme="majorBidi"/>
          <w:b/>
          <w:caps/>
          <w:sz w:val="20"/>
        </w:rPr>
      </w:pPr>
      <w:r>
        <w:rPr>
          <w:rFonts w:cs="" w:cstheme="majorBidi"/>
          <w:b/>
          <w:caps/>
          <w:sz w:val="20"/>
        </w:rPr>
      </w:r>
    </w:p>
    <w:p>
      <w:pPr>
        <w:pStyle w:val="Normal"/>
        <w:spacing w:lineRule="auto" w:line="276" w:before="120" w:after="120"/>
        <w:jc w:val="center"/>
        <w:rPr/>
      </w:pPr>
      <w:r>
        <w:rPr>
          <w:rFonts w:cs="" w:cstheme="majorBidi"/>
          <w:b/>
          <w:caps/>
          <w:sz w:val="20"/>
        </w:rPr>
        <w:t xml:space="preserve"> </w:t>
      </w:r>
      <w:r>
        <w:rPr>
          <w:rFonts w:cs="" w:cstheme="majorBidi"/>
          <w:b/>
          <w:caps/>
          <w:sz w:val="20"/>
        </w:rPr>
        <w:t>SPECIALIOSIOS sąlygos</w:t>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614"/>
        <w:gridCol w:w="2146"/>
        <w:gridCol w:w="1969"/>
        <w:gridCol w:w="2898"/>
      </w:tblGrid>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Sutarties pavadinimas: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sz w:val="20"/>
              </w:rPr>
              <w:t>LOBIS palaikymo paslaugos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Sutarties data:</w:t>
            </w:r>
          </w:p>
        </w:tc>
        <w:tc>
          <w:tcPr>
            <w:tcW w:w="214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c>
          <w:tcPr>
            <w:tcW w:w="19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rFonts w:cs="" w:cstheme="majorBidi"/>
                <w:b/>
                <w:bCs/>
                <w:kern w:val="2"/>
                <w:sz w:val="20"/>
              </w:rPr>
              <w:t>Sutarties numeris:</w:t>
            </w:r>
          </w:p>
        </w:tc>
        <w:tc>
          <w:tcPr>
            <w:tcW w:w="289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r>
        <w:trPr/>
        <w:tc>
          <w:tcPr>
            <w:tcW w:w="9627"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pavadinimas: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sz w:val="20"/>
              </w:rPr>
              <w:t>LOBIS palaikymo paslaugos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būdas: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sz w:val="20"/>
              </w:rPr>
              <w:t>Mažos vertės neskelbiamas pirkimas</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numeris:</w:t>
            </w:r>
          </w:p>
        </w:tc>
        <w:tc>
          <w:tcPr>
            <w:tcW w:w="214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c>
          <w:tcPr>
            <w:tcW w:w="19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rFonts w:cs="" w:cstheme="majorBidi"/>
                <w:b/>
                <w:bCs/>
                <w:kern w:val="2"/>
                <w:sz w:val="20"/>
              </w:rPr>
              <w:t>BVPŽ kodas (-ai):</w:t>
            </w:r>
          </w:p>
        </w:tc>
        <w:tc>
          <w:tcPr>
            <w:tcW w:w="2898" w:type="dxa"/>
            <w:tcBorders>
              <w:top w:val="single" w:sz="4" w:space="0" w:color="000000"/>
              <w:left w:val="single" w:sz="4" w:space="0" w:color="000000"/>
              <w:bottom w:val="single" w:sz="4" w:space="0" w:color="000000"/>
              <w:right w:val="single" w:sz="4" w:space="0" w:color="000000"/>
            </w:tcBorders>
          </w:tcPr>
          <w:p>
            <w:pPr>
              <w:pStyle w:val="Prastasis1"/>
              <w:rPr/>
            </w:pPr>
            <w:r>
              <w:rPr>
                <w:rStyle w:val="Numatytasispastraiposriftas1"/>
                <w:rFonts w:eastAsia="Times New Roman" w:cs="Times New Roman" w:ascii="Times New Roman" w:hAnsi="Times New Roman"/>
                <w:kern w:val="2"/>
                <w:szCs w:val="20"/>
              </w:rPr>
              <w:t>72200000-7</w:t>
            </w:r>
          </w:p>
        </w:tc>
      </w:tr>
      <w:tr>
        <w:trPr/>
        <w:tc>
          <w:tcPr>
            <w:tcW w:w="261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Pirkimo dalis / dalys:</w:t>
            </w:r>
          </w:p>
        </w:tc>
        <w:tc>
          <w:tcPr>
            <w:tcW w:w="70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cs="" w:cstheme="majorBidi"/>
                <w:kern w:val="2"/>
                <w:sz w:val="20"/>
              </w:rPr>
            </w:pPr>
            <w:r>
              <w:rPr>
                <w:rFonts w:cs="" w:cstheme="majorBidi"/>
                <w:kern w:val="2"/>
                <w:sz w:val="20"/>
              </w:rPr>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717"/>
        <w:gridCol w:w="3157"/>
        <w:gridCol w:w="3754"/>
      </w:tblGrid>
      <w:tr>
        <w:trPr/>
        <w:tc>
          <w:tcPr>
            <w:tcW w:w="9628" w:type="dxa"/>
            <w:gridSpan w:val="3"/>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SUTARTIES ŠALYS</w:t>
            </w:r>
          </w:p>
          <w:p>
            <w:pPr>
              <w:pStyle w:val="Normal"/>
              <w:spacing w:lineRule="auto" w:line="276"/>
              <w:rPr>
                <w:rFonts w:cs="" w:cstheme="majorBidi"/>
                <w:b/>
                <w:bCs/>
                <w:kern w:val="2"/>
                <w:sz w:val="20"/>
              </w:rPr>
            </w:pPr>
            <w:r>
              <w:rPr>
                <w:rFonts w:cs="" w:cstheme="majorBidi"/>
                <w:b/>
                <w:bCs/>
                <w:kern w:val="2"/>
                <w:sz w:val="20"/>
              </w:rPr>
            </w:r>
          </w:p>
        </w:tc>
      </w:tr>
      <w:tr>
        <w:trPr/>
        <w:tc>
          <w:tcPr>
            <w:tcW w:w="27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Heading2"/>
              <w:numPr>
                <w:ilvl w:val="0"/>
                <w:numId w:val="0"/>
              </w:numPr>
              <w:ind w:hanging="576" w:left="576"/>
              <w:rPr>
                <w:rFonts w:ascii="Times New Roman" w:hAnsi="Times New Roman"/>
              </w:rPr>
            </w:pPr>
            <w:r>
              <w:rPr>
                <w:sz w:val="20"/>
                <w:szCs w:val="20"/>
              </w:rPr>
              <w:t>1</w:t>
            </w:r>
            <w:r>
              <w:rPr>
                <w:sz w:val="20"/>
              </w:rPr>
              <w:t>.1. </w:t>
            </w:r>
            <w:r>
              <w:rPr>
                <w:sz w:val="20"/>
                <w:szCs w:val="20"/>
              </w:rPr>
              <w:t>Pirkėjas</w:t>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w:t>
            </w:r>
            <w:r>
              <w:rPr>
                <w:sz w:val="20"/>
              </w:rPr>
              <w:t>.1.1. </w:t>
            </w:r>
            <w:r>
              <w:rPr>
                <w:rFonts w:cs="" w:cstheme="majorBidi"/>
                <w:sz w:val="20"/>
                <w:szCs w:val="20"/>
              </w:rPr>
              <w:t>Pavadinimas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Vyriausioji tarnybinės etikos komisija</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1.1.2. Juridinio asmens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188736355</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1.1.3. Adresas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A. Goštauto g. 9-102, LT-01108 Vilnius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1.1.4. PVM mokėtojo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1.1.5. Atsiskaitomoji sąskaita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LT26 7300 0100 9114 6802</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1.1.6. Bankas, banko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w:t>
            </w:r>
            <w:r>
              <w:rPr>
                <w:rFonts w:cs="" w:cstheme="majorBidi"/>
                <w:kern w:val="2"/>
                <w:sz w:val="20"/>
              </w:rPr>
              <w:t>Swedbank” AB</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1.1.7. Telefonas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+370 5 212 4396</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1.1.8. El. paštas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cs="" w:cstheme="majorBidi"/>
                <w:kern w:val="2"/>
                <w:sz w:val="20"/>
              </w:rPr>
              <w:t>vtek@vtek.lt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1.1.9. Šalies atstovas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Gediminas Sakalauskas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0"/>
              </w:rPr>
            </w:pPr>
            <w:r>
              <w:rPr>
                <w:rFonts w:cs="" w:cstheme="majorBidi"/>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1.1.10. Atstovavimo pagrindas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Vyriausiosios tarnybinės etikos komisijos įstatymas</w:t>
            </w:r>
          </w:p>
        </w:tc>
      </w:tr>
      <w:tr>
        <w:trPr/>
        <w:tc>
          <w:tcPr>
            <w:tcW w:w="27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Normal"/>
              <w:spacing w:lineRule="auto" w:line="276"/>
              <w:rPr>
                <w:rFonts w:cs="" w:cstheme="majorBidi"/>
                <w:b/>
                <w:bCs/>
                <w:kern w:val="2"/>
                <w:sz w:val="20"/>
              </w:rPr>
            </w:pPr>
            <w:r>
              <w:rPr>
                <w:rFonts w:cs="" w:cstheme="majorBidi"/>
                <w:b/>
                <w:bCs/>
                <w:kern w:val="2"/>
                <w:sz w:val="20"/>
              </w:rPr>
            </w:r>
          </w:p>
          <w:p>
            <w:pPr>
              <w:pStyle w:val="Heading2"/>
              <w:numPr>
                <w:ilvl w:val="0"/>
                <w:numId w:val="0"/>
              </w:numPr>
              <w:ind w:hanging="576" w:left="576"/>
              <w:rPr>
                <w:rFonts w:ascii="Times New Roman" w:hAnsi="Times New Roman"/>
              </w:rPr>
            </w:pPr>
            <w:r>
              <w:rPr>
                <w:sz w:val="20"/>
                <w:szCs w:val="20"/>
              </w:rPr>
              <w:t>1</w:t>
            </w:r>
            <w:r>
              <w:rPr>
                <w:sz w:val="20"/>
              </w:rPr>
              <w:t>.2. </w:t>
            </w:r>
            <w:r>
              <w:rPr>
                <w:sz w:val="20"/>
                <w:szCs w:val="20"/>
              </w:rPr>
              <w:t>Tiekėjas</w:t>
            </w:r>
          </w:p>
          <w:p>
            <w:pPr>
              <w:pStyle w:val="Normal"/>
              <w:spacing w:lineRule="auto" w:line="276"/>
              <w:rPr/>
            </w:pPr>
            <w:r>
              <w:rPr>
                <w:rFonts w:cs="" w:cstheme="majorBidi"/>
                <w:i/>
                <w:iCs/>
                <w:kern w:val="2"/>
                <w:sz w:val="20"/>
              </w:rPr>
              <w:t>(jei Tiekėjas yra fizinis asmuo, skiltys atitinkamai pakoreguojamos)</w:t>
            </w:r>
          </w:p>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1.2.1. Pavadinimas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UAB „Insoft“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0" w:after="0"/>
              <w:ind w:hanging="0" w:left="0"/>
              <w:jc w:val="both"/>
              <w:rPr/>
            </w:pPr>
            <w:r>
              <w:rPr>
                <w:rFonts w:cs="" w:cstheme="majorBidi"/>
                <w:sz w:val="20"/>
                <w:szCs w:val="20"/>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302294870</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1.2.3. Adresas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J. Rutkausko g. 6, 05132 Vilnius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1.2.4. PVM mokėtojo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LT100004466518</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1.2.5. Atsiskaitomoji sąskaita</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LT48 7044 0600 0665 7896</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1.2.6. Bankas, banko kodas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AB SEB bankas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1.2.7. Telefonas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+370 5 2100660</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1.2.8. El. paštas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info@insoft.lt</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1.2.9. Šalies atstovas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Mindaugas Mikulėnas</w:t>
            </w:r>
          </w:p>
        </w:tc>
      </w:tr>
      <w:tr>
        <w:trPr/>
        <w:tc>
          <w:tcPr>
            <w:tcW w:w="271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b/>
                <w:bCs/>
                <w:kern w:val="2"/>
                <w:sz w:val="20"/>
              </w:rPr>
            </w:pPr>
            <w:r>
              <w:rPr>
                <w:rFonts w:cs="" w:cstheme="majorBidi"/>
                <w:b/>
                <w:bCs/>
                <w:kern w:val="2"/>
                <w:sz w:val="20"/>
              </w:rPr>
            </w:r>
          </w:p>
        </w:tc>
        <w:tc>
          <w:tcPr>
            <w:tcW w:w="3157" w:type="dxa"/>
            <w:tcBorders>
              <w:top w:val="single" w:sz="4" w:space="0" w:color="000000"/>
              <w:left w:val="single" w:sz="4" w:space="0" w:color="000000"/>
              <w:bottom w:val="single" w:sz="4" w:space="0" w:color="000000"/>
              <w:right w:val="single" w:sz="4" w:space="0" w:color="000000"/>
            </w:tcBorders>
          </w:tcPr>
          <w:p>
            <w:pPr>
              <w:pStyle w:val="Heading3"/>
              <w:numPr>
                <w:ilvl w:val="0"/>
                <w:numId w:val="0"/>
              </w:numPr>
              <w:spacing w:lineRule="auto" w:line="276" w:before="40" w:after="0"/>
              <w:ind w:hanging="720" w:left="720"/>
              <w:rPr/>
            </w:pPr>
            <w:r>
              <w:rPr>
                <w:rFonts w:cs="" w:cstheme="majorBidi"/>
                <w:sz w:val="20"/>
                <w:szCs w:val="20"/>
              </w:rPr>
              <w:t>1.2.10. Atstovavimo pagrindas</w:t>
            </w:r>
          </w:p>
        </w:tc>
        <w:tc>
          <w:tcPr>
            <w:tcW w:w="375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cs="" w:cstheme="majorBidi"/>
                <w:kern w:val="2"/>
                <w:sz w:val="20"/>
              </w:rPr>
            </w:pPr>
            <w:r>
              <w:rPr>
                <w:rFonts w:cs="" w:cstheme="majorBidi"/>
                <w:kern w:val="2"/>
                <w:sz w:val="20"/>
              </w:rPr>
              <w:t>UAB „Insoft“ įstatai</w:t>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ATSAKINGI ASMENYS</w:t>
            </w:r>
          </w:p>
          <w:p>
            <w:pPr>
              <w:pStyle w:val="Normal"/>
              <w:spacing w:lineRule="auto" w:line="276"/>
              <w:rPr>
                <w:rFonts w:cs="" w:cstheme="majorBidi"/>
                <w:b/>
                <w:bCs/>
                <w:kern w:val="2"/>
                <w:sz w:val="20"/>
              </w:rPr>
            </w:pPr>
            <w:r>
              <w:rPr>
                <w:rFonts w:cs="" w:cstheme="majorBidi"/>
                <w:b/>
                <w:bCs/>
                <w:kern w:val="2"/>
                <w:sz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Heading2"/>
              <w:numPr>
                <w:ilvl w:val="0"/>
                <w:numId w:val="0"/>
              </w:numPr>
              <w:ind w:hanging="0" w:left="0"/>
              <w:rPr>
                <w:rFonts w:ascii="Times New Roman" w:hAnsi="Times New Roman"/>
              </w:rPr>
            </w:pPr>
            <w:r>
              <w:rPr>
                <w:sz w:val="20"/>
                <w:szCs w:val="20"/>
              </w:rPr>
              <w:t>2.1. Pirkėjo kontaktinis (-iai) asmuo (-ys), atsakingas (-i) už Sutarties vykdymą</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2"/>
                <w:szCs w:val="22"/>
              </w:rPr>
            </w:pPr>
            <w:r>
              <w:rPr>
                <w:sz w:val="22"/>
                <w:szCs w:val="22"/>
              </w:rPr>
              <w:t xml:space="preserve">Vyriausiosios tarnybinės etikos komisijos </w:t>
            </w:r>
            <w:r>
              <w:rPr>
                <w:sz w:val="22"/>
                <w:szCs w:val="22"/>
              </w:rPr>
              <w:t>[</w:t>
            </w:r>
            <w:r>
              <w:rPr>
                <w:sz w:val="22"/>
                <w:szCs w:val="22"/>
                <w:shd w:fill="999999" w:val="clear"/>
              </w:rPr>
              <w:t>uždengti asmens duomenys</w:t>
            </w:r>
            <w:r>
              <w:rPr>
                <w:sz w:val="22"/>
                <w:szCs w:val="22"/>
              </w:rPr>
              <w:t>]</w:t>
            </w:r>
            <w:r>
              <w:rPr>
                <w:rFonts w:cs="" w:cstheme="majorBidi"/>
                <w:kern w:val="2"/>
                <w:sz w:val="22"/>
                <w:szCs w:val="22"/>
              </w:rPr>
              <w:t xml:space="preserve"> ;</w:t>
            </w:r>
          </w:p>
          <w:p>
            <w:pPr>
              <w:pStyle w:val="Normal"/>
              <w:spacing w:lineRule="auto" w:line="276"/>
              <w:rPr>
                <w:sz w:val="22"/>
                <w:szCs w:val="22"/>
                <w:lang w:val="en-US"/>
              </w:rPr>
            </w:pPr>
            <w:r>
              <w:rPr>
                <w:rFonts w:cs="" w:cstheme="majorBidi"/>
                <w:kern w:val="2"/>
                <w:sz w:val="22"/>
                <w:szCs w:val="22"/>
              </w:rPr>
              <w:t xml:space="preserve">Vyriausiosios tarnybinės etikos komisijos </w:t>
            </w:r>
            <w:r>
              <w:rPr>
                <w:rFonts w:cs="" w:cstheme="majorBidi"/>
                <w:kern w:val="2"/>
                <w:sz w:val="22"/>
                <w:szCs w:val="22"/>
                <w:lang w:val="en-US"/>
              </w:rPr>
              <w:t>[</w:t>
            </w:r>
            <w:r>
              <w:rPr>
                <w:rFonts w:cs="" w:cstheme="majorBidi"/>
                <w:kern w:val="2"/>
                <w:sz w:val="22"/>
                <w:szCs w:val="22"/>
                <w:shd w:fill="999999" w:val="clear"/>
                <w:lang w:val="en-US"/>
              </w:rPr>
              <w:t>uždengti asmens duomenys</w:t>
            </w:r>
            <w:r>
              <w:rPr>
                <w:rFonts w:cs="" w:cstheme="majorBidi"/>
                <w:kern w:val="2"/>
                <w:sz w:val="22"/>
                <w:szCs w:val="22"/>
                <w:lang w:val="en-US"/>
              </w:rPr>
              <w:t>]</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Heading2"/>
              <w:numPr>
                <w:ilvl w:val="0"/>
                <w:numId w:val="0"/>
              </w:numPr>
              <w:ind w:hanging="0" w:left="0"/>
              <w:rPr>
                <w:rFonts w:ascii="Times New Roman" w:hAnsi="Times New Roman"/>
              </w:rPr>
            </w:pPr>
            <w:r>
              <w:rPr>
                <w:sz w:val="20"/>
                <w:szCs w:val="20"/>
              </w:rPr>
              <w:t>2.2. Tiekėjo kontaktinis (-iai) asmuo (-ys), atsakingas (-i) už Sutarties vykdymą</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 xml:space="preserve">UAB „Insoft“ </w:t>
            </w:r>
            <w:hyperlink r:id="rId4">
              <w:r>
                <w:rPr>
                  <w:rStyle w:val="Hyperlink"/>
                  <w:sz w:val="22"/>
                  <w:szCs w:val="22"/>
                </w:rPr>
                <w:t>[</w:t>
              </w:r>
            </w:hyperlink>
            <w:r>
              <w:rPr>
                <w:rStyle w:val="Hyperlink"/>
                <w:sz w:val="22"/>
                <w:szCs w:val="22"/>
                <w:shd w:fill="999999" w:val="clear"/>
              </w:rPr>
              <w:t>uždengti asmens duomenys</w:t>
            </w:r>
            <w:r>
              <w:rPr>
                <w:rStyle w:val="Hyperlink"/>
                <w:sz w:val="22"/>
                <w:szCs w:val="22"/>
              </w:rPr>
              <w:t>]</w:t>
            </w:r>
          </w:p>
        </w:tc>
      </w:tr>
    </w:tbl>
    <w:p>
      <w:pPr>
        <w:pStyle w:val="Normal"/>
        <w:spacing w:lineRule="auto" w:line="276"/>
        <w:rPr>
          <w:rFonts w:cs="" w:cstheme="majorBidi"/>
          <w:sz w:val="20"/>
        </w:rPr>
      </w:pPr>
      <w:r>
        <w:rPr>
          <w:rFonts w:cs="" w:cstheme="majorBidi"/>
          <w:sz w:val="20"/>
        </w:rPr>
      </w:r>
      <w:r>
        <w:br w:type="page"/>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pageBreakBefore/>
              <w:spacing w:before="0" w:after="0"/>
              <w:contextualSpacing/>
              <w:rPr>
                <w:rFonts w:ascii="Times New Roman" w:hAnsi="Times New Roman"/>
              </w:rPr>
            </w:pPr>
            <w:r>
              <w:rPr>
                <w:rFonts w:ascii="Times New Roman" w:hAnsi="Times New Roman"/>
                <w:sz w:val="20"/>
                <w:szCs w:val="20"/>
              </w:rPr>
              <w:t>SUTARTIES DALYKAS</w:t>
            </w:r>
          </w:p>
          <w:p>
            <w:pPr>
              <w:pStyle w:val="Normal"/>
              <w:spacing w:lineRule="auto" w:line="276"/>
              <w:rPr>
                <w:rFonts w:cs="" w:cstheme="majorBidi"/>
                <w:b/>
                <w:bCs/>
                <w:kern w:val="2"/>
                <w:sz w:val="20"/>
              </w:rPr>
            </w:pPr>
            <w:r>
              <w:rPr>
                <w:rFonts w:cs="" w:cstheme="majorBidi"/>
                <w:b/>
                <w:bCs/>
                <w:kern w:val="2"/>
                <w:sz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3.1. Sutarties dalykas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 xml:space="preserve">Perkamos Paslaugos: LOBIS palaikymo paslaugos  (toliau – </w:t>
            </w:r>
            <w:r>
              <w:rPr>
                <w:rFonts w:cs="" w:cstheme="majorBidi"/>
                <w:b/>
                <w:bCs/>
                <w:kern w:val="2"/>
                <w:sz w:val="20"/>
              </w:rPr>
              <w:t>Paslaugos</w:t>
            </w:r>
            <w:r>
              <w:rPr>
                <w:rFonts w:cs="" w:cstheme="majorBidi"/>
                <w:kern w:val="2"/>
                <w:sz w:val="20"/>
              </w:rPr>
              <w:t>).</w:t>
            </w:r>
          </w:p>
          <w:p>
            <w:pPr>
              <w:pStyle w:val="BodyText"/>
              <w:spacing w:lineRule="auto" w:line="276"/>
              <w:ind w:hanging="0"/>
              <w:jc w:val="both"/>
              <w:rPr>
                <w:rFonts w:ascii="Times New Roman" w:hAnsi="Times New Roman"/>
              </w:rPr>
            </w:pPr>
            <w:r>
              <w:rPr>
                <w:rFonts w:cs="" w:ascii="Times New Roman" w:hAnsi="Times New Roman" w:cstheme="majorBidi"/>
                <w:kern w:val="2"/>
              </w:rPr>
              <w:t>Reikalavimai LOBIS funkcionalumų modernizavimui</w:t>
            </w:r>
          </w:p>
          <w:p>
            <w:pPr>
              <w:pStyle w:val="BodyText"/>
              <w:spacing w:lineRule="auto" w:line="276"/>
              <w:ind w:hanging="0"/>
              <w:jc w:val="both"/>
              <w:rPr>
                <w:rFonts w:ascii="Times New Roman" w:hAnsi="Times New Roman"/>
              </w:rPr>
            </w:pPr>
            <w:r>
              <w:rPr>
                <w:rFonts w:cs="" w:ascii="Times New Roman" w:hAnsi="Times New Roman" w:cstheme="majorBidi"/>
                <w:kern w:val="2"/>
              </w:rPr>
              <w:t>1.</w:t>
            </w:r>
            <w:r>
              <w:rPr>
                <w:rFonts w:ascii="Times New Roman" w:hAnsi="Times New Roman"/>
              </w:rPr>
              <w:t> LOBIS turi būti papildytas funkcionalumu, kad VTEK darbuotojo dėl netikslumų atmestos lobistinės veiklos deklaracijos būtų saugomos.</w:t>
            </w:r>
          </w:p>
          <w:p>
            <w:pPr>
              <w:pStyle w:val="BodyText"/>
              <w:spacing w:lineRule="auto" w:line="276"/>
              <w:ind w:hanging="0"/>
              <w:jc w:val="both"/>
              <w:rPr>
                <w:rFonts w:ascii="Times New Roman" w:hAnsi="Times New Roman"/>
              </w:rPr>
            </w:pPr>
            <w:r>
              <w:rPr>
                <w:rFonts w:ascii="Times New Roman" w:hAnsi="Times New Roman"/>
              </w:rPr>
              <w:t>2. LOBIS turėtų būti sukurtas funkcionalumas, kad senesnės nei 3 metų lobistinės veiklos deklaracijos būtų automatiškai nebeviešinamos ir archyvuojamos.</w:t>
            </w:r>
          </w:p>
          <w:p>
            <w:pPr>
              <w:pStyle w:val="BodyText"/>
              <w:spacing w:lineRule="auto" w:line="276"/>
              <w:ind w:hanging="0"/>
              <w:jc w:val="both"/>
              <w:rPr>
                <w:rFonts w:ascii="Times New Roman" w:hAnsi="Times New Roman"/>
              </w:rPr>
            </w:pPr>
            <w:r>
              <w:rPr>
                <w:rFonts w:ascii="Times New Roman" w:hAnsi="Times New Roman"/>
              </w:rPr>
              <w:t>3. LOBIS turėtų būti papildytas funkcionalumu, leidžiančiu parsisiųsti lobistų ir lobistinės veiklos deklaracijų duomenis (MS Word ar Excel formatu).</w:t>
            </w:r>
          </w:p>
          <w:p>
            <w:pPr>
              <w:pStyle w:val="BodyText"/>
              <w:spacing w:lineRule="auto" w:line="276"/>
              <w:ind w:hanging="0"/>
              <w:jc w:val="both"/>
              <w:rPr/>
            </w:pPr>
            <w:r>
              <w:rPr>
                <w:rFonts w:ascii="Times New Roman" w:hAnsi="Times New Roman"/>
              </w:rPr>
              <w:t>4. LOBIS turi būti papildytas funkcionalumu, įgalinančiu VTEK darbuotojui siųsti iš anksto nustatytus pranešimus lobistams ar įtaką teisėkūrai darantiems asmenims.</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3.2. Informacija apie Europos Sąjungos lėšomis finansuojamą projektą arba kitą projektą</w:t>
            </w:r>
          </w:p>
        </w:tc>
        <w:tc>
          <w:tcPr>
            <w:tcW w:w="669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402" w:leader="none"/>
              </w:tabs>
              <w:jc w:val="both"/>
              <w:rPr>
                <w:rFonts w:eastAsia="Calibri"/>
                <w:bCs/>
                <w:lang w:eastAsia="lt-LT"/>
              </w:rPr>
            </w:pPr>
            <w:r>
              <w:rPr>
                <w:rStyle w:val="Normaltextrun"/>
                <w:rFonts w:eastAsia="Calibri"/>
                <w:bCs/>
                <w:sz w:val="20"/>
                <w:shd w:fill="FFFFFF" w:val="clear"/>
                <w:lang w:eastAsia="lt-LT"/>
              </w:rPr>
              <w:t>Netaikoma</w:t>
            </w:r>
          </w:p>
          <w:p>
            <w:pPr>
              <w:pStyle w:val="Normal"/>
              <w:spacing w:lineRule="auto" w:line="276"/>
              <w:jc w:val="both"/>
              <w:rPr>
                <w:rFonts w:cs="" w:cstheme="majorBidi"/>
                <w:kern w:val="2"/>
                <w:sz w:val="20"/>
              </w:rPr>
            </w:pPr>
            <w:r>
              <w:rPr>
                <w:rFonts w:cs="" w:cstheme="majorBidi"/>
                <w:kern w:val="2"/>
                <w:sz w:val="20"/>
              </w:rPr>
            </w:r>
          </w:p>
          <w:p>
            <w:pPr>
              <w:pStyle w:val="Normal"/>
              <w:spacing w:lineRule="auto" w:line="276"/>
              <w:jc w:val="both"/>
              <w:rPr>
                <w:rFonts w:cs="" w:cstheme="majorBidi"/>
                <w:i/>
                <w:i/>
                <w:iCs/>
                <w:kern w:val="2"/>
                <w:sz w:val="20"/>
              </w:rPr>
            </w:pPr>
            <w:r>
              <w:rPr>
                <w:rFonts w:cs="" w:cstheme="majorBidi"/>
                <w:i/>
                <w:iCs/>
                <w:kern w:val="2"/>
                <w:sz w:val="20"/>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rFonts w:ascii="Times New Roman" w:hAnsi="Times New Roman"/>
              </w:rPr>
            </w:pPr>
            <w:r>
              <w:rPr>
                <w:rFonts w:ascii="Times New Roman" w:hAnsi="Times New Roman"/>
                <w:sz w:val="20"/>
                <w:szCs w:val="20"/>
              </w:rPr>
              <w:t>PASLAUGŲ SUTEIKIMO TERMINAI</w:t>
            </w:r>
          </w:p>
          <w:p>
            <w:pPr>
              <w:pStyle w:val="ListParagraph"/>
              <w:spacing w:lineRule="auto" w:line="276"/>
              <w:ind w:left="567"/>
              <w:rPr>
                <w:rFonts w:cs="" w:cstheme="majorBidi"/>
                <w:b/>
                <w:bCs/>
                <w:kern w:val="2"/>
                <w:sz w:val="20"/>
                <w:highlight w:val="yellow"/>
              </w:rPr>
            </w:pPr>
            <w:r>
              <w:rPr>
                <w:rFonts w:cs="" w:cstheme="majorBidi"/>
                <w:b/>
                <w:bCs/>
                <w:kern w:val="2"/>
                <w:sz w:val="20"/>
                <w:highlight w:val="yellow"/>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4.1. Paslaugų suteikimo terminas</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sz w:val="20"/>
                <w:shd w:fill="FFFFFF" w:val="clear"/>
              </w:rPr>
            </w:pPr>
            <w:r>
              <w:rPr>
                <w:sz w:val="20"/>
                <w:shd w:fill="FFFFFF" w:val="clear"/>
              </w:rPr>
              <w:t>Vykdomų konkrečių darbų trukmė (valandomis) yra suderinama raštu su Pirkėjo atstovais prieš atliekant paslaugas.</w:t>
            </w:r>
          </w:p>
          <w:p>
            <w:pPr>
              <w:pStyle w:val="Normal"/>
              <w:widowControl w:val="false"/>
              <w:tabs>
                <w:tab w:val="clear" w:pos="1296"/>
                <w:tab w:val="left" w:pos="5760" w:leader="none"/>
              </w:tabs>
              <w:spacing w:before="0" w:after="120"/>
              <w:jc w:val="both"/>
              <w:rPr/>
            </w:pPr>
            <w:r>
              <w:rPr>
                <w:rStyle w:val="PagrindinistekstasDiagrama"/>
                <w:sz w:val="20"/>
                <w:shd w:fill="FFFFFF" w:val="clear"/>
              </w:rPr>
              <w:t xml:space="preserve"> </w:t>
            </w:r>
            <w:r>
              <w:rPr>
                <w:rStyle w:val="PagrindinistekstasDiagrama"/>
                <w:sz w:val="20"/>
                <w:shd w:fill="FFFFFF" w:val="clear"/>
              </w:rPr>
              <w:t>Konkrečių darbų atlikimo terminas yra lygus darbo valandas padauginus iš trijų (pvz. konkrečių darbų atlikimo terminas yra 8 darbo valandos, tai darbų atlikimo terminas būtų 24 val. (8 val. x 3)). Terminas pradedamas skaičiuoti nuo sekančios darbo dienos. 9.00 val.</w:t>
            </w:r>
          </w:p>
          <w:p>
            <w:pPr>
              <w:pStyle w:val="Other1"/>
              <w:tabs>
                <w:tab w:val="clear" w:pos="1296"/>
                <w:tab w:val="left" w:pos="1829" w:leader="none"/>
                <w:tab w:val="left" w:pos="3130" w:leader="none"/>
                <w:tab w:val="left" w:pos="4205" w:leader="none"/>
              </w:tabs>
              <w:jc w:val="both"/>
              <w:rPr>
                <w:rFonts w:cs="" w:cstheme="majorBidi"/>
                <w:i w:val="false"/>
                <w:i w:val="false"/>
                <w:iCs w:val="false"/>
                <w:szCs w:val="20"/>
                <w:shd w:fill="FFFF00" w:val="clear"/>
              </w:rPr>
            </w:pPr>
            <w:r>
              <w:rPr>
                <w:rFonts w:cs="" w:cstheme="majorBidi"/>
                <w:i w:val="false"/>
                <w:iCs w:val="false"/>
                <w:szCs w:val="20"/>
                <w:shd w:fill="FFFF00" w:val="clea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4.2. Paslaugų suteikimo terminas, kai Paslaugos teikiamos etapais</w:t>
            </w:r>
          </w:p>
          <w:p>
            <w:pPr>
              <w:pStyle w:val="Normal"/>
              <w:spacing w:lineRule="auto" w:line="276"/>
              <w:rPr>
                <w:rFonts w:cs="" w:cstheme="majorBidi"/>
                <w:b/>
                <w:bCs/>
                <w:kern w:val="2"/>
                <w:sz w:val="20"/>
              </w:rPr>
            </w:pPr>
            <w:r>
              <w:rPr>
                <w:rFonts w:cs="" w:cstheme="majorBidi"/>
                <w:b/>
                <w:bCs/>
                <w:kern w:val="2"/>
                <w:sz w:val="20"/>
              </w:rPr>
            </w:r>
          </w:p>
        </w:tc>
        <w:tc>
          <w:tcPr>
            <w:tcW w:w="669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418" w:leader="none"/>
              </w:tabs>
              <w:jc w:val="both"/>
              <w:rPr/>
            </w:pPr>
            <w:r>
              <w:rPr>
                <w:rFonts w:eastAsia="Arial Unicode MS"/>
                <w:sz w:val="20"/>
              </w:rPr>
              <w:t xml:space="preserve">Paslaugų tiekėjas privalo suteikti Paslaugas per </w:t>
            </w:r>
            <w:r>
              <w:rPr>
                <w:sz w:val="20"/>
                <w:shd w:fill="FFFFFF" w:val="clear"/>
              </w:rPr>
              <w:t>su Pirkėjo atstovais raštu suderintus terminus, tačiau ne ilgesnį nei sutarties galiojimo laiką (15 mėnesių).</w:t>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KAINA</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Style w:val="Other"/>
                <w:rFonts w:cs="" w:cstheme="majorBidi"/>
                <w:b/>
                <w:bCs/>
                <w:i w:val="false"/>
                <w:iCs w:val="false"/>
                <w:sz w:val="20"/>
              </w:rPr>
              <w:t>5.1. Sutarčiai taikoma kainodara</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Fiksuotos įkainio kainodara</w:t>
            </w:r>
          </w:p>
          <w:p>
            <w:pPr>
              <w:pStyle w:val="Other1"/>
              <w:tabs>
                <w:tab w:val="clear" w:pos="1296"/>
                <w:tab w:val="left" w:pos="1829" w:leader="none"/>
                <w:tab w:val="left" w:pos="3130" w:leader="none"/>
                <w:tab w:val="left" w:pos="4205" w:leader="none"/>
              </w:tabs>
              <w:jc w:val="both"/>
              <w:rPr>
                <w:rFonts w:cs="" w:cstheme="majorBidi"/>
                <w:i w:val="false"/>
                <w:i w:val="false"/>
                <w:iCs w:val="false"/>
                <w:szCs w:val="20"/>
              </w:rPr>
            </w:pPr>
            <w:r>
              <w:rPr>
                <w:rFonts w:cs="" w:cstheme="majorBidi"/>
                <w:i w:val="false"/>
                <w:iCs w:val="false"/>
                <w:szCs w:val="20"/>
              </w:rPr>
            </w:r>
          </w:p>
          <w:p>
            <w:pPr>
              <w:pStyle w:val="Other1"/>
              <w:tabs>
                <w:tab w:val="clear" w:pos="1296"/>
                <w:tab w:val="left" w:pos="1829" w:leader="none"/>
                <w:tab w:val="left" w:pos="3130" w:leader="none"/>
                <w:tab w:val="left" w:pos="4205" w:leader="none"/>
              </w:tabs>
              <w:jc w:val="both"/>
              <w:rPr/>
            </w:pPr>
            <w:r>
              <w:rPr>
                <w:rStyle w:val="Other"/>
                <w:rFonts w:cs=""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5.2. Pradinė sutarties vertė ir Sutarties kaina</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Style w:val="Other"/>
                <w:sz w:val="20"/>
              </w:rPr>
            </w:pPr>
            <w:r>
              <w:rPr>
                <w:rStyle w:val="Other"/>
                <w:i w:val="false"/>
                <w:iCs w:val="false"/>
                <w:szCs w:val="24"/>
              </w:rPr>
              <w:t>P</w:t>
            </w:r>
            <w:r>
              <w:rPr>
                <w:rStyle w:val="Other"/>
                <w:i w:val="false"/>
                <w:iCs w:val="false"/>
                <w:sz w:val="20"/>
              </w:rPr>
              <w:t>aslaugų fiksuotas valandinis įkainis yra 65,00 Eur (šešiasdešimt penki eurai, 0 ct) be pridėtinės vertės mokesčio (toliau – PVM).</w:t>
            </w:r>
          </w:p>
          <w:p>
            <w:pPr>
              <w:pStyle w:val="Normal"/>
              <w:widowControl w:val="false"/>
              <w:jc w:val="both"/>
              <w:rPr/>
            </w:pPr>
            <w:r>
              <w:rPr>
                <w:rStyle w:val="Other"/>
                <w:i w:val="false"/>
                <w:iCs w:val="false"/>
                <w:sz w:val="20"/>
              </w:rPr>
              <w:t>Maksimali Sutarties kaina yra 14 900 eurų be PVM.</w:t>
            </w:r>
          </w:p>
        </w:tc>
      </w:tr>
    </w:tbl>
    <w:p>
      <w:pPr>
        <w:pStyle w:val="Normal"/>
        <w:spacing w:lineRule="auto" w:line="276"/>
        <w:rPr/>
      </w:pPr>
      <w:r>
        <w:rPr/>
      </w:r>
      <w:r>
        <w:br w:type="page"/>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pageBreakBefore/>
              <w:spacing w:lineRule="auto" w:line="276" w:before="0" w:after="0"/>
              <w:jc w:val="both"/>
              <w:rPr/>
            </w:pPr>
            <w:r>
              <w:rPr>
                <w:rFonts w:cs="" w:cstheme="majorBidi"/>
                <w:b/>
                <w:bCs/>
                <w:kern w:val="2"/>
                <w:sz w:val="20"/>
              </w:rPr>
              <w:t>5.3. Sutarties kainos / įkainių perskaičiavimas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Sutarties kaina bus perskaičiuojami:</w:t>
            </w:r>
          </w:p>
          <w:p>
            <w:pPr>
              <w:pStyle w:val="Normal"/>
              <w:spacing w:lineRule="auto" w:line="276"/>
              <w:rPr/>
            </w:pPr>
            <w:r>
              <w:rPr>
                <w:rFonts w:cs="" w:cstheme="majorBidi"/>
                <w:kern w:val="2"/>
                <w:sz w:val="20"/>
              </w:rPr>
              <w:t>5.3.1. dėl PVM tarifo pasikeitimo;</w:t>
            </w:r>
          </w:p>
          <w:p>
            <w:pPr>
              <w:pStyle w:val="Normal"/>
              <w:spacing w:lineRule="auto" w:line="276"/>
              <w:rPr/>
            </w:pPr>
            <w:r>
              <w:rPr>
                <w:rFonts w:cs="" w:cstheme="majorBidi"/>
                <w:kern w:val="2"/>
                <w:sz w:val="20"/>
                <w:shd w:fill="FFFFFF" w:val="clear"/>
              </w:rPr>
              <w:t>5.3.2. dėl kainų lygio p</w:t>
            </w:r>
            <w:r>
              <w:rPr>
                <w:rFonts w:cs="" w:cstheme="majorBidi"/>
                <w:kern w:val="2"/>
                <w:sz w:val="20"/>
              </w:rPr>
              <w:t>okyčio;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5.3.1. Sutarties kainos / įkainių peržiūra dėl PVM tarifo pasikeitimo</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pPr>
              <w:pStyle w:val="Normal"/>
              <w:spacing w:lineRule="auto" w:line="276"/>
              <w:jc w:val="both"/>
              <w:rPr>
                <w:rFonts w:cs="" w:cstheme="majorBidi"/>
                <w:kern w:val="2"/>
                <w:sz w:val="20"/>
              </w:rPr>
            </w:pPr>
            <w:r>
              <w:rPr>
                <w:rFonts w:cs="" w:cstheme="majorBidi"/>
                <w:kern w:val="2"/>
                <w:sz w:val="20"/>
              </w:rPr>
            </w:r>
          </w:p>
          <w:p>
            <w:pPr>
              <w:pStyle w:val="Normal"/>
              <w:spacing w:lineRule="auto" w:line="276"/>
              <w:jc w:val="both"/>
              <w:rPr/>
            </w:pPr>
            <w:r>
              <w:rPr>
                <w:rFonts w:cs="" w:cstheme="majorBidi"/>
                <w:kern w:val="2"/>
                <w:sz w:val="20"/>
              </w:rPr>
              <w:t>Perskaičiavimas įforminamas Susitarimu ne vėliau kaip per 30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bl>
    <w:p>
      <w:pPr>
        <w:pStyle w:val="Normal"/>
        <w:rPr/>
      </w:pPr>
      <w:r>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5.3.2. Sutarties kainos / įkainių peržiūra dėl kainų lygio pokyčio</w:t>
            </w:r>
          </w:p>
        </w:tc>
        <w:tc>
          <w:tcPr>
            <w:tcW w:w="66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709" w:leader="none"/>
              </w:tabs>
              <w:spacing w:lineRule="auto" w:line="276" w:before="0" w:after="160"/>
              <w:jc w:val="both"/>
              <w:rPr>
                <w:rFonts w:eastAsia="Calibri" w:cs="" w:cstheme="majorBidi" w:eastAsiaTheme="minorHAnsi"/>
                <w:sz w:val="20"/>
              </w:rPr>
            </w:pPr>
            <w:r>
              <w:rPr>
                <w:rFonts w:eastAsia="Calibri" w:cs="" w:cstheme="majorBidi" w:eastAsiaTheme="minorHAnsi"/>
                <w:sz w:val="20"/>
              </w:rPr>
            </w:r>
          </w:p>
          <w:p>
            <w:pPr>
              <w:pStyle w:val="Normal"/>
              <w:spacing w:lineRule="auto" w:line="276"/>
              <w:rPr>
                <w:rFonts w:cs="" w:cstheme="majorBidi"/>
                <w:kern w:val="2"/>
                <w:sz w:val="20"/>
              </w:rPr>
            </w:pPr>
            <w:r>
              <w:rPr>
                <w:rFonts w:cs="" w:cstheme="majorBidi"/>
                <w:kern w:val="2"/>
                <w:sz w:val="20"/>
              </w:rPr>
            </w:r>
            <w:r>
              <w:br w:type="page"/>
            </w:r>
          </w:p>
          <w:tbl>
            <w:tblPr>
              <w:tblW w:w="9495" w:type="dxa"/>
              <w:jc w:val="left"/>
              <w:tblInd w:w="565" w:type="dxa"/>
              <w:tblLayout w:type="fixed"/>
              <w:tblCellMar>
                <w:top w:w="0" w:type="dxa"/>
                <w:left w:w="108" w:type="dxa"/>
                <w:bottom w:w="0" w:type="dxa"/>
                <w:right w:w="108" w:type="dxa"/>
              </w:tblCellMar>
              <w:tblLook w:firstRow="1" w:noVBand="1" w:lastRow="0" w:firstColumn="1" w:lastColumn="0" w:noHBand="0" w:val="04a0"/>
            </w:tblPr>
            <w:tblGrid>
              <w:gridCol w:w="9495"/>
            </w:tblGrid>
            <w:tr>
              <w:trPr>
                <w:trHeight w:val="300" w:hRule="atLeast"/>
              </w:trPr>
              <w:tc>
                <w:tcPr>
                  <w:tcW w:w="9495" w:type="dxa"/>
                  <w:tcBorders>
                    <w:top w:val="single" w:sz="4" w:space="0" w:color="000000"/>
                    <w:left w:val="single" w:sz="4" w:space="0" w:color="000000"/>
                    <w:bottom w:val="single" w:sz="4" w:space="0" w:color="000000"/>
                    <w:right w:val="single" w:sz="4" w:space="0" w:color="000000"/>
                  </w:tcBorders>
                </w:tcPr>
                <w:p>
                  <w:pPr>
                    <w:pStyle w:val="Normal"/>
                    <w:pageBreakBefore/>
                    <w:spacing w:lineRule="auto" w:line="276"/>
                    <w:jc w:val="both"/>
                    <w:rPr>
                      <w:rFonts w:eastAsia="Calibri" w:cs="" w:asciiTheme="majorBidi" w:cstheme="majorBidi" w:eastAsiaTheme="minorHAnsi" w:hAnsiTheme="majorBidi"/>
                      <w:sz w:val="20"/>
                    </w:rPr>
                  </w:pPr>
                  <w:r>
                    <w:rPr>
                      <w:rFonts w:eastAsia="Calibri" w:cs="" w:cstheme="majorBidi" w:eastAsiaTheme="minorHAnsi"/>
                      <w:sz w:val="20"/>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eastAsia="Calibri" w:cs="" w:cstheme="majorBidi" w:eastAsiaTheme="minorHAnsi"/>
                      <w:sz w:val="20"/>
                    </w:rPr>
                    <w:footnoteReference w:id="2"/>
                  </w:r>
                  <w:r>
                    <w:rPr>
                      <w:rFonts w:eastAsia="Calibri" w:cs="" w:cstheme="majorBidi" w:eastAsiaTheme="minorHAnsi"/>
                      <w:sz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pPr>
                    <w:pStyle w:val="Normal"/>
                    <w:spacing w:lineRule="auto" w:line="276"/>
                    <w:rPr>
                      <w:rFonts w:eastAsia="Calibri" w:cs="" w:asciiTheme="majorBidi" w:cstheme="majorBidi" w:eastAsiaTheme="minorHAnsi" w:hAnsiTheme="majorBidi"/>
                      <w:sz w:val="20"/>
                    </w:rPr>
                  </w:pPr>
                  <w:r>
                    <w:rPr>
                      <w:rFonts w:eastAsia="Calibri" w:cs="" w:asciiTheme="majorBidi" w:cstheme="majorBidi" w:eastAsiaTheme="minorHAns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spacing w:lineRule="auto" w:line="276"/>
                    <w:jc w:val="both"/>
                    <w:rPr>
                      <w:rFonts w:cs="" w:asciiTheme="majorBidi" w:cstheme="majorBidi" w:hAnsiTheme="majorBidi"/>
                      <w:sz w:val="20"/>
                    </w:rPr>
                  </w:pPr>
                  <w:r>
                    <w:rPr>
                      <w:rFonts w:eastAsia="Calibri" w:cs="" w:cstheme="majorBidi" w:eastAsiaTheme="minorHAnsi"/>
                      <w:sz w:val="20"/>
                    </w:rPr>
                    <w:t xml:space="preserve">Atlikdamos perskaičiavimą Šalys vadovaujasi Lietuvos Statistikos Departamento viešai Oficialiosios statistikos portale paskelbtais Rodiklių duomenų bazės duomenimis </w:t>
                  </w:r>
                  <w:r>
                    <w:rPr>
                      <w:rFonts w:eastAsia="Calibri" w:cs="" w:cstheme="majorBidi" w:eastAsiaTheme="minorHAnsi"/>
                      <w:kern w:val="2"/>
                      <w:sz w:val="20"/>
                    </w:rPr>
                    <w:t>„Vartojimo prekės ir paslaugos“</w:t>
                  </w:r>
                  <w:r>
                    <w:rPr>
                      <w:rFonts w:eastAsia="Calibri" w:cs="" w:cstheme="majorBidi" w:eastAsiaTheme="minorHAnsi"/>
                      <w:sz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pPr>
                    <w:pStyle w:val="Normal"/>
                    <w:spacing w:lineRule="auto" w:line="276"/>
                    <w:rPr>
                      <w:rFonts w:cs="" w:asciiTheme="majorBidi" w:cstheme="majorBidi" w:hAnsiTheme="majorBidi"/>
                      <w:sz w:val="20"/>
                    </w:rPr>
                  </w:pPr>
                  <w:r>
                    <w:rPr>
                      <w:rFonts w:cs="" w:asciiTheme="majorBidi" w:cstheme="majorBid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Nauja Sutarties kaina / įkainiai apskaičiuojami pagal žemiau pateiktą formulę:</w:t>
                  </w:r>
                </w:p>
                <w:tbl>
                  <w:tblPr>
                    <w:tblStyle w:val="Lentelstinklelis"/>
                    <w:tblW w:w="67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16"/>
                  </w:tblGrid>
                  <w:tr>
                    <w:trPr/>
                    <w:tc>
                      <w:tcPr>
                        <w:tcW w:w="6716" w:type="dxa"/>
                        <w:tcBorders>
                          <w:bottom w:val="nil"/>
                        </w:tcBorders>
                      </w:tcPr>
                      <w:p>
                        <w:pPr>
                          <w:pStyle w:val="Normal"/>
                          <w:widowControl w:val="false"/>
                          <w:tabs>
                            <w:tab w:val="clear" w:pos="1296"/>
                            <w:tab w:val="left" w:pos="709" w:leader="none"/>
                          </w:tabs>
                          <w:suppressAutoHyphens w:val="true"/>
                          <w:spacing w:lineRule="auto" w:line="276" w:before="0" w:after="0"/>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color w:themeColor="text1" w:val="000000"/>
                            <w:kern w:val="0"/>
                            <w:sz w:val="18"/>
                            <w:szCs w:val="18"/>
                            <w:lang w:val="lt-LT" w:eastAsia="en-US" w:bidi="ar-SA"/>
                          </w:rPr>
                        </w:r>
                      </w:p>
                      <w:p>
                        <w:pPr>
                          <w:pStyle w:val="Normal"/>
                          <w:widowControl w:val="false"/>
                          <w:tabs>
                            <w:tab w:val="clear" w:pos="1296"/>
                            <w:tab w:val="left" w:pos="709" w:leader="none"/>
                          </w:tabs>
                          <w:suppressAutoHyphens w:val="true"/>
                          <w:spacing w:lineRule="auto" w:line="276" w:before="0" w:after="0"/>
                          <w:jc w:val="center"/>
                          <w:rPr>
                            <w:rFonts w:eastAsia="" w:cs="" w:asciiTheme="majorBidi" w:cstheme="majorBidi" w:eastAsiaTheme="minorEastAsia" w:hAnsiTheme="majorBidi"/>
                            <w:sz w:val="18"/>
                            <w:szCs w:val="18"/>
                          </w:rPr>
                        </w:pPr>
                        <w:r>
                          <w:rPr>
                            <w:color w:themeColor="text1" w:val="000000"/>
                            <w:kern w:val="0"/>
                            <w:lang w:val="lt-LT" w:eastAsia="en-US" w:bidi="ar-SA"/>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Normal"/>
                          <w:widowControl w:val="false"/>
                          <w:tabs>
                            <w:tab w:val="clear" w:pos="1296"/>
                            <w:tab w:val="left" w:pos="709" w:leader="none"/>
                          </w:tabs>
                          <w:suppressAutoHyphens w:val="true"/>
                          <w:spacing w:lineRule="auto" w:line="276" w:before="0" w:after="0"/>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color w:themeColor="text1" w:val="000000"/>
                            <w:kern w:val="0"/>
                            <w:sz w:val="18"/>
                            <w:szCs w:val="18"/>
                            <w:lang w:val="lt-LT" w:eastAsia="en-US" w:bidi="ar-SA"/>
                          </w:rPr>
                        </w:r>
                      </w:p>
                    </w:tc>
                  </w:tr>
                  <w:tr>
                    <w:trPr/>
                    <w:tc>
                      <w:tcPr>
                        <w:tcW w:w="6716" w:type="dxa"/>
                        <w:tcBorders>
                          <w:top w:val="nil"/>
                          <w:bottom w:val="nil"/>
                        </w:tcBorders>
                      </w:tcPr>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 xml:space="preserve">a </w:t>
                        </w:r>
                        <w:r>
                          <w:rPr>
                            <w:rFonts w:cs="" w:cstheme="majorBidi"/>
                            <w:color w:themeColor="text1" w:val="000000"/>
                            <w:kern w:val="2"/>
                            <w:sz w:val="18"/>
                            <w:szCs w:val="18"/>
                            <w:lang w:val="lt-LT" w:eastAsia="en-US" w:bidi="ar-SA"/>
                          </w:rPr>
                          <w:t>– kaina / įkainis (Eur be PVM) (jei peržiūra jau buvo atlikta, tai po paskutinio perskaičiavimo)</w:t>
                        </w:r>
                      </w:p>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a</w:t>
                        </w:r>
                        <w:r>
                          <w:rPr>
                            <w:rFonts w:cs="" w:cstheme="majorBidi"/>
                            <w:i/>
                            <w:iCs/>
                            <w:color w:themeColor="text1" w:val="000000"/>
                            <w:kern w:val="2"/>
                            <w:sz w:val="18"/>
                            <w:szCs w:val="18"/>
                            <w:vertAlign w:val="subscript"/>
                            <w:lang w:val="lt-LT" w:eastAsia="en-US" w:bidi="ar-SA"/>
                          </w:rPr>
                          <w:t>1</w:t>
                        </w:r>
                        <w:r>
                          <w:rPr>
                            <w:rFonts w:cs="" w:cstheme="majorBidi"/>
                            <w:color w:themeColor="text1" w:val="000000"/>
                            <w:kern w:val="2"/>
                            <w:sz w:val="18"/>
                            <w:szCs w:val="18"/>
                            <w:lang w:val="lt-LT" w:eastAsia="en-US" w:bidi="ar-SA"/>
                          </w:rPr>
                          <w:t xml:space="preserve"> – perskaičiuota (pakeista) kaina / įkainis (Eur be PVM)</w:t>
                        </w:r>
                      </w:p>
                      <w:p>
                        <w:pPr>
                          <w:pStyle w:val="Normal"/>
                          <w:widowControl w:val="false"/>
                          <w:tabs>
                            <w:tab w:val="clear" w:pos="1296"/>
                            <w:tab w:val="left" w:pos="709" w:leader="none"/>
                          </w:tabs>
                          <w:suppressAutoHyphens w:val="true"/>
                          <w:spacing w:lineRule="auto" w:line="276" w:before="0" w:after="0"/>
                          <w:jc w:val="right"/>
                          <w:rPr>
                            <w:rFonts w:eastAsia="Calibri" w:cs="" w:asciiTheme="majorBidi" w:cstheme="majorBidi" w:eastAsiaTheme="minorHAnsi" w:hAnsiTheme="majorBidi"/>
                            <w:kern w:val="2"/>
                            <w:sz w:val="18"/>
                            <w:szCs w:val="18"/>
                          </w:rPr>
                        </w:pPr>
                        <w:r>
                          <w:rPr>
                            <w:rFonts w:eastAsia="Calibri" w:cs="" w:cstheme="majorBidi" w:eastAsiaTheme="minorHAnsi"/>
                            <w:i/>
                            <w:iCs/>
                            <w:color w:themeColor="text1" w:val="000000"/>
                            <w:kern w:val="2"/>
                            <w:sz w:val="18"/>
                            <w:szCs w:val="18"/>
                            <w:lang w:val="lt-LT" w:eastAsia="en-US" w:bidi="ar-SA"/>
                          </w:rPr>
                          <w:t>k</w:t>
                        </w:r>
                        <w:r>
                          <w:rPr>
                            <w:rFonts w:eastAsia="Calibri" w:cs="" w:cstheme="majorBidi" w:eastAsiaTheme="minorHAnsi"/>
                            <w:color w:themeColor="text1" w:val="000000"/>
                            <w:kern w:val="2"/>
                            <w:sz w:val="18"/>
                            <w:szCs w:val="18"/>
                            <w:lang w:val="lt-LT" w:eastAsia="en-US" w:bidi="ar-SA"/>
                          </w:rPr>
                          <w:t xml:space="preserve"> – pagal vartotojų kainų indeksą „Vartojimo prekės ir paslaugos“ apskaičiuotas Vartojimo prekių ir paslaugų kainų pokytis (padidėjimas arba sumažėjimas) (%),</w:t>
                        </w:r>
                      </w:p>
                      <w:p>
                        <w:pPr>
                          <w:pStyle w:val="Normal"/>
                          <w:widowControl w:val="false"/>
                          <w:tabs>
                            <w:tab w:val="clear" w:pos="1296"/>
                            <w:tab w:val="left" w:pos="709" w:leader="none"/>
                          </w:tabs>
                          <w:suppressAutoHyphens w:val="true"/>
                          <w:spacing w:lineRule="auto" w:line="276" w:before="0" w:after="0"/>
                          <w:jc w:val="left"/>
                          <w:rPr>
                            <w:rFonts w:eastAsia="Calibri" w:cs="" w:asciiTheme="majorBidi" w:cstheme="majorBidi" w:eastAsiaTheme="minorHAnsi" w:hAnsiTheme="majorBidi"/>
                            <w:kern w:val="2"/>
                            <w:sz w:val="18"/>
                            <w:szCs w:val="18"/>
                          </w:rPr>
                        </w:pPr>
                        <w:r>
                          <w:rPr>
                            <w:rFonts w:eastAsia="Calibri" w:cs="" w:cstheme="majorBidi" w:eastAsiaTheme="minorHAnsi"/>
                            <w:color w:themeColor="text1" w:val="000000"/>
                            <w:kern w:val="2"/>
                            <w:sz w:val="18"/>
                            <w:szCs w:val="18"/>
                            <w:lang w:val="lt-LT" w:eastAsia="en-US" w:bidi="ar-SA"/>
                          </w:rPr>
                          <w:t>„</w:t>
                        </w:r>
                        <w:r>
                          <w:rPr>
                            <w:rFonts w:eastAsia="Calibri" w:cs="" w:cstheme="majorBidi" w:eastAsiaTheme="minorHAnsi"/>
                            <w:color w:themeColor="text1" w:val="000000"/>
                            <w:kern w:val="2"/>
                            <w:sz w:val="18"/>
                            <w:szCs w:val="18"/>
                            <w:lang w:val="lt-LT" w:eastAsia="en-US" w:bidi="ar-SA"/>
                          </w:rPr>
                          <w:t>k“ reikšmė apskaičiuojama pagal tokią formulę:</w:t>
                        </w:r>
                      </w:p>
                    </w:tc>
                  </w:tr>
                  <w:tr>
                    <w:trPr/>
                    <w:tc>
                      <w:tcPr>
                        <w:tcW w:w="6716" w:type="dxa"/>
                        <w:tcBorders>
                          <w:top w:val="nil"/>
                          <w:bottom w:val="nil"/>
                        </w:tcBorders>
                      </w:tcPr>
                      <w:p>
                        <w:pPr>
                          <w:pStyle w:val="Normal"/>
                          <w:widowControl w:val="false"/>
                          <w:tabs>
                            <w:tab w:val="clear" w:pos="1296"/>
                            <w:tab w:val="left" w:pos="709" w:leader="none"/>
                          </w:tabs>
                          <w:suppressAutoHyphens w:val="true"/>
                          <w:spacing w:lineRule="auto" w:line="276" w:before="0" w:after="0"/>
                          <w:jc w:val="both"/>
                          <w:rPr>
                            <w:rFonts w:cs="" w:asciiTheme="majorBidi" w:cstheme="majorBidi" w:hAnsiTheme="majorBidi"/>
                            <w:sz w:val="18"/>
                            <w:szCs w:val="18"/>
                          </w:rPr>
                        </w:pPr>
                        <w:r>
                          <w:rPr>
                            <w:rFonts w:cs="" w:asciiTheme="majorBidi" w:cstheme="majorBidi" w:hAnsiTheme="majorBidi"/>
                            <w:color w:themeColor="text1" w:val="000000"/>
                            <w:kern w:val="0"/>
                            <w:sz w:val="18"/>
                            <w:szCs w:val="18"/>
                            <w:lang w:val="lt-LT" w:eastAsia="en-US" w:bidi="ar-SA"/>
                          </w:rPr>
                        </w:r>
                      </w:p>
                      <w:p>
                        <w:pPr>
                          <w:pStyle w:val="Normal"/>
                          <w:widowControl w:val="false"/>
                          <w:tabs>
                            <w:tab w:val="clear" w:pos="1296"/>
                            <w:tab w:val="left" w:pos="709" w:leader="none"/>
                          </w:tabs>
                          <w:suppressAutoHyphens w:val="true"/>
                          <w:spacing w:lineRule="auto" w:line="276" w:before="0" w:after="0"/>
                          <w:jc w:val="center"/>
                          <w:rPr>
                            <w:rFonts w:eastAsia="" w:cs="" w:asciiTheme="majorBidi" w:cstheme="majorBidi" w:eastAsiaTheme="minorEastAsia" w:hAnsiTheme="majorBidi"/>
                            <w:sz w:val="18"/>
                            <w:szCs w:val="18"/>
                          </w:rPr>
                        </w:pPr>
                        <w:r>
                          <w:rPr>
                            <w:color w:themeColor="text1" w:val="000000"/>
                            <w:kern w:val="0"/>
                            <w:lang w:val="lt-LT" w:eastAsia="en-US" w:bidi="ar-SA"/>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m:t>
                                    </m:r>
                                    <m:r>
                                      <w:rPr>
                                        <w:rFonts w:ascii="Cambria Math" w:hAnsi="Cambria Math"/>
                                      </w:rPr>
                                      <m:t xml:space="preserve">ž</m:t>
                                    </m:r>
                                    <m:r>
                                      <w:rPr>
                                        <w:rFonts w:ascii="Cambria Math" w:hAnsi="Cambria Math"/>
                                      </w:rPr>
                                      <m:t xml:space="preserve">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Normal"/>
                          <w:widowControl w:val="false"/>
                          <w:tabs>
                            <w:tab w:val="clear" w:pos="1296"/>
                            <w:tab w:val="left" w:pos="709" w:leader="none"/>
                          </w:tabs>
                          <w:suppressAutoHyphens w:val="true"/>
                          <w:spacing w:lineRule="auto" w:line="276" w:before="0" w:after="0"/>
                          <w:jc w:val="both"/>
                          <w:rPr>
                            <w:rFonts w:eastAsia="Calibri" w:cs="" w:asciiTheme="majorBidi" w:cstheme="majorBidi" w:eastAsiaTheme="minorHAnsi" w:hAnsiTheme="majorBidi"/>
                            <w:sz w:val="18"/>
                            <w:szCs w:val="18"/>
                          </w:rPr>
                        </w:pPr>
                        <w:r>
                          <w:rPr>
                            <w:rFonts w:eastAsia="Calibri" w:cs="" w:asciiTheme="majorBidi" w:cstheme="majorBidi" w:eastAsiaTheme="minorHAnsi" w:hAnsiTheme="majorBidi"/>
                            <w:color w:themeColor="text1" w:val="000000"/>
                            <w:kern w:val="0"/>
                            <w:sz w:val="18"/>
                            <w:szCs w:val="18"/>
                            <w:lang w:val="lt-LT" w:eastAsia="en-US" w:bidi="ar-SA"/>
                          </w:rPr>
                        </w:r>
                      </w:p>
                    </w:tc>
                  </w:tr>
                  <w:tr>
                    <w:trPr/>
                    <w:tc>
                      <w:tcPr>
                        <w:tcW w:w="6716" w:type="dxa"/>
                        <w:tcBorders>
                          <w:top w:val="nil"/>
                        </w:tcBorders>
                      </w:tcPr>
                      <w:p>
                        <w:pPr>
                          <w:pStyle w:val="Normal"/>
                          <w:widowControl/>
                          <w:suppressAutoHyphens w:val="true"/>
                          <w:spacing w:lineRule="auto" w:line="276" w:before="0" w:after="0"/>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lang w:val="lt-LT" w:eastAsia="en-US" w:bidi="ar-SA"/>
                          </w:rPr>
                          <w:t>Ind</w:t>
                        </w:r>
                        <w:r>
                          <w:rPr>
                            <w:rFonts w:cs="" w:cstheme="majorBidi"/>
                            <w:i/>
                            <w:iCs/>
                            <w:color w:themeColor="text1" w:val="000000"/>
                            <w:kern w:val="2"/>
                            <w:sz w:val="18"/>
                            <w:szCs w:val="18"/>
                            <w:vertAlign w:val="subscript"/>
                            <w:lang w:val="lt-LT" w:eastAsia="en-US" w:bidi="ar-SA"/>
                          </w:rPr>
                          <w:t>naujausias</w:t>
                        </w:r>
                        <w:r>
                          <w:rPr>
                            <w:rFonts w:cs="" w:cstheme="majorBidi"/>
                            <w:color w:themeColor="text1" w:val="000000"/>
                            <w:kern w:val="2"/>
                            <w:sz w:val="18"/>
                            <w:szCs w:val="18"/>
                            <w:lang w:val="lt-LT" w:eastAsia="en-US" w:bidi="ar-SA"/>
                          </w:rPr>
                          <w:t xml:space="preserve"> – kreipimosi dėl kainos / įkainių peržiūros išsiuntimo kitai šaliai dieną paskelbtas naujausias Vartotojų kainų indeksas „Vartojimo prekės ir paslaugos“</w:t>
                        </w:r>
                      </w:p>
                      <w:p>
                        <w:pPr>
                          <w:pStyle w:val="Normal"/>
                          <w:widowControl w:val="false"/>
                          <w:tabs>
                            <w:tab w:val="clear" w:pos="1296"/>
                            <w:tab w:val="left" w:pos="709" w:leader="none"/>
                          </w:tabs>
                          <w:suppressAutoHyphens w:val="true"/>
                          <w:spacing w:lineRule="auto" w:line="276" w:before="0" w:after="0"/>
                          <w:jc w:val="right"/>
                          <w:rPr>
                            <w:rFonts w:eastAsia="Calibri" w:cs="" w:asciiTheme="majorBidi" w:cstheme="majorBidi" w:eastAsiaTheme="minorHAnsi" w:hAnsiTheme="majorBidi"/>
                            <w:sz w:val="18"/>
                            <w:szCs w:val="18"/>
                          </w:rPr>
                        </w:pPr>
                        <w:r>
                          <w:rPr>
                            <w:rFonts w:eastAsia="Calibri" w:cs="" w:cstheme="majorBidi" w:eastAsiaTheme="minorHAnsi"/>
                            <w:i/>
                            <w:iCs/>
                            <w:color w:themeColor="text1" w:val="000000"/>
                            <w:kern w:val="2"/>
                            <w:sz w:val="18"/>
                            <w:szCs w:val="18"/>
                            <w:lang w:val="lt-LT" w:eastAsia="en-US" w:bidi="ar-SA"/>
                          </w:rPr>
                          <w:t>Ind</w:t>
                        </w:r>
                        <w:r>
                          <w:rPr>
                            <w:rFonts w:eastAsia="Calibri" w:cs="" w:cstheme="majorBidi" w:eastAsiaTheme="minorHAnsi"/>
                            <w:i/>
                            <w:iCs/>
                            <w:color w:themeColor="text1" w:val="000000"/>
                            <w:kern w:val="2"/>
                            <w:sz w:val="18"/>
                            <w:szCs w:val="18"/>
                            <w:vertAlign w:val="subscript"/>
                            <w:lang w:val="lt-LT" w:eastAsia="en-US" w:bidi="ar-SA"/>
                          </w:rPr>
                          <w:t>pradžia</w:t>
                        </w:r>
                        <w:r>
                          <w:rPr>
                            <w:rFonts w:eastAsia="Calibri" w:cs="" w:cstheme="majorBidi" w:eastAsiaTheme="minorHAnsi"/>
                            <w:color w:themeColor="text1" w:val="000000"/>
                            <w:kern w:val="2"/>
                            <w:sz w:val="18"/>
                            <w:szCs w:val="18"/>
                            <w:lang w:val="lt-LT" w:eastAsia="en-US" w:bidi="ar-SA"/>
                          </w:rPr>
                          <w:t xml:space="preserve"> – laikotarpio pradžios datos (mėnesio) Vartotojų kainų indeksas „Vartojimo prekės ir paslaugos“</w:t>
                        </w:r>
                      </w:p>
                    </w:tc>
                  </w:tr>
                </w:tbl>
                <w:p>
                  <w:pPr>
                    <w:pStyle w:val="Normal"/>
                    <w:spacing w:lineRule="auto" w:line="276"/>
                    <w:rPr>
                      <w:rFonts w:cs="" w:asciiTheme="majorBidi" w:cstheme="majorBidi" w:hAnsiTheme="majorBidi"/>
                      <w:sz w:val="20"/>
                    </w:rPr>
                  </w:pPr>
                  <w:r>
                    <w:rPr>
                      <w:rFonts w:cs="" w:asciiTheme="majorBidi" w:cstheme="majorBid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asciiTheme="majorBidi" w:cstheme="majorBidi" w:eastAsiaTheme="minorHAnsi" w:hAnsiTheme="majorBidi"/>
                      <w:sz w:val="20"/>
                    </w:rPr>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 w:val="20"/>
                    </w:rPr>
                  </w:pPr>
                  <w:r>
                    <w:rPr>
                      <w:rFonts w:eastAsia="Calibri" w:cs="" w:cstheme="majorBidi" w:eastAsiaTheme="minorHAnsi"/>
                      <w:sz w:val="20"/>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Normal"/>
                    <w:spacing w:lineRule="auto" w:line="276"/>
                    <w:jc w:val="both"/>
                    <w:rPr>
                      <w:rFonts w:eastAsia="Calibri" w:cs="" w:asciiTheme="majorBidi" w:cstheme="majorBidi" w:eastAsiaTheme="minorHAnsi" w:hAnsiTheme="majorBidi"/>
                      <w:sz w:val="20"/>
                    </w:rPr>
                  </w:pPr>
                  <w:r>
                    <w:rPr>
                      <w:rFonts w:eastAsia="Calibri" w:cs="" w:cstheme="majorBidi" w:eastAsiaTheme="minorHAnsi"/>
                      <w:sz w:val="20"/>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pPr>
                    <w:pStyle w:val="Normal"/>
                    <w:spacing w:lineRule="auto" w:line="276"/>
                    <w:rPr>
                      <w:rFonts w:cs="" w:asciiTheme="majorBidi" w:cstheme="majorBidi" w:hAnsiTheme="majorBidi"/>
                      <w:kern w:val="2"/>
                      <w:sz w:val="20"/>
                    </w:rPr>
                  </w:pPr>
                  <w:r>
                    <w:rPr>
                      <w:rFonts w:cs="" w:asciiTheme="majorBidi" w:cstheme="majorBidi" w:hAnsiTheme="majorBidi"/>
                      <w:kern w:val="2"/>
                      <w:sz w:val="20"/>
                    </w:rPr>
                  </w:r>
                </w:p>
              </w:tc>
            </w:tr>
          </w:tbl>
          <w:p>
            <w:pPr>
              <w:pStyle w:val="Normal"/>
              <w:rPr/>
            </w:pPr>
            <w: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b/>
                <w:bCs/>
                <w:kern w:val="2"/>
                <w:sz w:val="20"/>
              </w:rPr>
              <w:t>5.3.3. Sutarties kainos / įkainių apskaičiavimas taikant kiekio (apimties) keitimo taisykles</w:t>
            </w:r>
          </w:p>
        </w:tc>
        <w:tc>
          <w:tcPr>
            <w:tcW w:w="6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eastAsia="Calibri" w:cs="" w:cstheme="majorBidi" w:eastAsiaTheme="minorHAnsi"/>
                <w:sz w:val="20"/>
              </w:rPr>
              <w:t>Netaikoma</w:t>
            </w:r>
          </w:p>
          <w:p>
            <w:pPr>
              <w:pStyle w:val="Normal"/>
              <w:spacing w:lineRule="auto" w:line="276"/>
              <w:jc w:val="both"/>
              <w:rPr>
                <w:rFonts w:eastAsia="Calibri" w:cs="" w:cstheme="majorBidi" w:eastAsiaTheme="minorHAnsi"/>
                <w:sz w:val="20"/>
              </w:rPr>
            </w:pPr>
            <w:r>
              <w:rPr>
                <w:rFonts w:eastAsia="Calibri" w:cs="" w:cstheme="majorBidi" w:eastAsiaTheme="minorHAnsi"/>
                <w:sz w:val="20"/>
              </w:rPr>
            </w:r>
          </w:p>
          <w:p>
            <w:pPr>
              <w:pStyle w:val="Normal"/>
              <w:spacing w:lineRule="auto" w:line="276"/>
              <w:jc w:val="both"/>
              <w:rPr>
                <w:rFonts w:eastAsia="Calibri" w:cs="" w:cstheme="majorBidi" w:eastAsiaTheme="minorHAnsi"/>
                <w:sz w:val="20"/>
              </w:rPr>
            </w:pPr>
            <w:r>
              <w:rPr>
                <w:rFonts w:eastAsia="Calibri" w:cs="" w:cstheme="majorBidi" w:eastAsiaTheme="minorHAnsi"/>
                <w:sz w:val="20"/>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PASLAUGŲ PERDAVIMAS–PRIĖMIMAS</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shd w:fill="FFFFFF" w:val="clear"/>
              </w:rPr>
            </w:pPr>
            <w:r>
              <w:rPr>
                <w:rFonts w:cs="" w:cstheme="majorBidi"/>
                <w:b/>
                <w:bCs/>
                <w:kern w:val="2"/>
                <w:sz w:val="20"/>
                <w:shd w:fill="FFFFFF" w:val="clear"/>
              </w:rPr>
              <w:t>6.1. Paslaugų perdavimas–priėmimas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986005481"/>
                <w:dropDownList>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listItem w:displayText="PASIRINKITE" w:value="PASIRINKITE"/>
                </w:dropDownList>
              </w:sdtPr>
              <w:sdtContent>
                <w:r>
                  <w:rPr>
                    <w:shd w:fill="FFFFFF" w:val="clear"/>
                  </w:rPr>
                </w:r>
                <w:r>
                  <w:rPr>
                    <w:shd w:fill="FFFFFF" w:val="clear"/>
                  </w:rPr>
                  <w:t>Tarp Šalių pasirašomas Paslaugų priėmimo-perdavimo aktas</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bl>
    <w:p>
      <w:pPr>
        <w:pStyle w:val="Normal"/>
        <w:spacing w:lineRule="auto" w:line="276"/>
        <w:rPr>
          <w:rFonts w:cs="" w:cstheme="majorBidi"/>
          <w:sz w:val="20"/>
        </w:rPr>
      </w:pPr>
      <w:r>
        <w:rPr>
          <w:rFonts w:cs="" w:cstheme="majorBidi"/>
          <w:sz w:val="20"/>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MOKĖJIMO TVARKA</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shd w:fill="FFFFFF" w:val="clear"/>
              </w:rPr>
            </w:pPr>
            <w:r>
              <w:rPr>
                <w:rFonts w:cs="" w:cstheme="majorBidi"/>
                <w:b/>
                <w:bCs/>
                <w:kern w:val="2"/>
                <w:sz w:val="20"/>
                <w:shd w:fill="FFFFFF" w:val="clear"/>
              </w:rPr>
              <w:t>7.1. Atsiskaitymo su Tiekėju terminas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rFonts w:cs="" w:cstheme="majorBidi"/>
                <w:szCs w:val="20"/>
                <w:shd w:fill="FFFFFF" w:val="clear"/>
              </w:rPr>
              <w:t xml:space="preserve">30 kalendorinių dienų nuo </w:t>
            </w:r>
            <w:sdt>
              <w:sdtPr>
                <w:placeholder>
                  <w:docPart w:val="DefaultPlaceholder_-1854013438"/>
                </w:placeholder>
                <w:alias w:val="Pasirinkite"/>
                <w:tag w:val="Pasirinkite"/>
                <w:id w:val="-809163380"/>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Content>
                <w:r>
                  <w:rPr>
                    <w:rStyle w:val="Other"/>
                    <w:rFonts w:cs="" w:cstheme="majorBidi"/>
                    <w:szCs w:val="20"/>
                    <w:shd w:fill="FFFFFF" w:val="clear"/>
                  </w:rPr>
                </w:r>
                <w:r>
                  <w:rPr>
                    <w:rStyle w:val="Other"/>
                    <w:rFonts w:cs="" w:cstheme="majorBidi"/>
                    <w:szCs w:val="20"/>
                    <w:shd w:fill="FFFFFF" w:val="clear"/>
                  </w:rPr>
                  <w:t>Paslaugų perdavimo-priėmimo akto pasirašymo dienos</w:t>
                </w:r>
              </w:sdtContent>
            </w:sdt>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7.2. Atsiskaitymas su Tiekėju etapais / periodiškai</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shd w:fill="FFFFFF" w:val="clear"/>
              </w:rPr>
              <w:t>Etapais už faktiškai suteiktas ir priimtas paslaugas</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7.3. Avansas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990674197"/>
                <w:dropDownList>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listItem w:displayText="PASIRINKITE" w:value="PASIRINKITE"/>
                </w:dropDownList>
              </w:sdtPr>
              <w:sdtContent>
                <w:r>
                  <w:rPr>
                    <w:shd w:fill="FFFFFF" w:val="clear"/>
                  </w:rPr>
                </w:r>
                <w:r>
                  <w:rPr>
                    <w:shd w:fill="FFFFFF" w:val="clear"/>
                  </w:rPr>
                  <w:t>Netaikoma</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7.4. Avanso užtikrinimo būdas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606503501"/>
                <w:dropDownList>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dropDownList>
              </w:sdtPr>
              <w:sdtContent>
                <w:r>
                  <w:rPr>
                    <w:shd w:fill="FFFFFF" w:val="clear"/>
                  </w:rPr>
                </w:r>
                <w:r>
                  <w:rPr>
                    <w:shd w:fill="FFFFFF" w:val="clear"/>
                  </w:rPr>
                  <w:t>Netaikoma</w:t>
                </w:r>
              </w:sdtContent>
            </w:sdt>
          </w:p>
          <w:p>
            <w:pPr>
              <w:pStyle w:val="Other1"/>
              <w:tabs>
                <w:tab w:val="clear" w:pos="1296"/>
                <w:tab w:val="left" w:pos="1829" w:leader="none"/>
                <w:tab w:val="left" w:pos="3130" w:leader="none"/>
                <w:tab w:val="left" w:pos="4205" w:leader="none"/>
              </w:tabs>
              <w:jc w:val="both"/>
              <w:rPr>
                <w:rFonts w:cs="" w:cstheme="majorBidi"/>
                <w:szCs w:val="20"/>
                <w:shd w:fill="FFFFFF" w:val="clear"/>
              </w:rPr>
            </w:pPr>
            <w:r>
              <w:rPr>
                <w:rFonts w:cs="" w:cstheme="majorBidi"/>
                <w:szCs w:val="20"/>
                <w:shd w:fill="FFFFFF" w:val="clear"/>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ĮVYKDYMO UŽTIKRINIMAS</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lang w:val="en-US"/>
              </w:rPr>
            </w:pPr>
            <w:r>
              <w:rPr>
                <w:rFonts w:cs="" w:cstheme="majorBidi"/>
                <w:b/>
                <w:bCs/>
                <w:kern w:val="2"/>
                <w:sz w:val="20"/>
              </w:rPr>
              <w:t>8.1. Ar taikomas Sutarties įvykdymo užtikrinimas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925564455"/>
                <w:dropDownList>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dropDownList>
              </w:sdtPr>
              <w:sdtContent>
                <w:r>
                  <w:rPr>
                    <w:shd w:fill="FFFFFF" w:val="clear"/>
                  </w:rPr>
                </w:r>
                <w:r>
                  <w:rPr>
                    <w:shd w:fill="FFFFFF" w:val="clear"/>
                  </w:rPr>
                  <w:t>Reikalaujamas Sutarties įvykdymo užtikrinimas</w:t>
                </w:r>
              </w:sdtContent>
            </w:sdt>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8.2. Sutarties įvykdymo užtikrinimo būdas (pildoma tik pasirinkus)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Baudos ir delspinigiai</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8.3. Sutarties įvykdymo užtikrinimo pateikimo terminas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rFonts w:cs="" w:cstheme="majorBidi"/>
                <w:szCs w:val="20"/>
              </w:rPr>
              <w:t>Netaikoma</w:t>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8.4. Sutarties įvykdymo užtikrinimo vertės dydis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Nurodyti Sutarties specialiųjų sąlygų 12 punkte.</w:t>
            </w:r>
          </w:p>
        </w:tc>
      </w:tr>
    </w:tbl>
    <w:p>
      <w:pPr>
        <w:pStyle w:val="Normal"/>
        <w:rPr/>
      </w:pPr>
      <w:r>
        <w:rPr/>
      </w:r>
    </w:p>
    <w:tbl>
      <w:tblPr>
        <w:tblW w:w="963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43"/>
        <w:gridCol w:w="6690"/>
      </w:tblGrid>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APLINKOSAUGINIAI IR SOCIALINIAI KRITERIJAI</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9.1. Aplinkosauginių kriterijų nustatymo teisinis pagrindas</w:t>
            </w:r>
          </w:p>
          <w:p>
            <w:pPr>
              <w:pStyle w:val="Normal"/>
              <w:spacing w:lineRule="auto" w:line="276"/>
              <w:rPr>
                <w:rFonts w:cs="" w:cstheme="majorBidi"/>
                <w:b/>
                <w:bCs/>
                <w:kern w:val="2"/>
                <w:sz w:val="20"/>
              </w:rPr>
            </w:pPr>
            <w:r>
              <w:rPr>
                <w:rFonts w:cs="" w:cstheme="majorBidi"/>
                <w:b/>
                <w:bCs/>
                <w:kern w:val="2"/>
                <w:sz w:val="20"/>
              </w:rPr>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Fonts w:cs="" w:cstheme="majorBidi"/>
                <w:i w:val="false"/>
                <w:iCs w:val="false"/>
                <w:kern w:val="2"/>
                <w:szCs w:val="20"/>
                <w:shd w:fill="FFFFFF" w:val="clear"/>
              </w:rPr>
              <w:t xml:space="preserve">Aplinkosauginiai kriterijai nustatomi vadovaujantis </w:t>
            </w:r>
            <w:r>
              <w:rPr>
                <w:rFonts w:cs="" w:cstheme="majorBidi"/>
                <w:i w:val="false"/>
                <w:iCs w:val="false"/>
                <w:kern w:val="2"/>
                <w:szCs w:val="20"/>
              </w:rPr>
              <w:t>Aplinkos apsaugos kriterijų taikymo, vykdant žaliuosius pirkimus, tvarkos aprašo, patvirtinto 2011 m. birželio 28 d. įsakymu D1-508</w:t>
            </w:r>
            <w:r>
              <w:rPr>
                <w:rFonts w:cs="" w:cstheme="majorBidi"/>
                <w:i w:val="false"/>
                <w:iCs w:val="false"/>
                <w:kern w:val="2"/>
                <w:szCs w:val="20"/>
                <w:shd w:fill="FFFFFF" w:val="clear"/>
              </w:rPr>
              <w:t xml:space="preserve"> „Dėl Aplinkos apsaugos kriterijų taikymo, vykdant žaliuosius pirkimus, tvarkos aprašo patvirtinimo“</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9.2. Su Paslaugomis / jų teikimu susiję aplinkosauginiai reikalavimai</w:t>
            </w:r>
          </w:p>
        </w:tc>
        <w:tc>
          <w:tcPr>
            <w:tcW w:w="669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 w:cstheme="majorBidi"/>
                <w:kern w:val="2"/>
                <w:sz w:val="20"/>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cs="" w:cstheme="majorBidi"/>
                <w:kern w:val="2"/>
                <w:sz w:val="20"/>
                <w:shd w:fill="FFFFFF" w:val="clear"/>
              </w:rPr>
              <w:endnoteReference w:id="2"/>
            </w:r>
            <w:r>
              <w:rPr>
                <w:rStyle w:val="FootnoteReference"/>
                <w:rFonts w:cs="" w:cstheme="majorBidi"/>
                <w:kern w:val="2"/>
                <w:sz w:val="20"/>
                <w:shd w:fill="FFFFFF" w:val="clear"/>
              </w:rPr>
              <w:footnoteReference w:id="3"/>
            </w:r>
            <w:r>
              <w:rPr>
                <w:rFonts w:cs="" w:cstheme="majorBidi"/>
                <w:kern w:val="2"/>
                <w:sz w:val="20"/>
                <w:shd w:fill="FFFFFF" w:val="clear"/>
              </w:rPr>
              <w:t>, todėl Pirkimo objektui, tiekėjų kvalifikacijos reikalavimams, pasiūlymų vertinimo kriterijams, Pirkimo sutarties vykdymo sąlygoms ar kitiems reikalavimams kiti aplinkos apsaugos (žalieji) kriterijai</w:t>
            </w:r>
            <w:r>
              <w:rPr>
                <w:rFonts w:cs="" w:cstheme="majorBidi"/>
                <w:b/>
                <w:bCs/>
                <w:kern w:val="2"/>
                <w:sz w:val="20"/>
                <w:shd w:fill="FFFFFF" w:val="clear"/>
              </w:rPr>
              <w:t xml:space="preserve"> nėra nustatomi.</w:t>
            </w:r>
          </w:p>
          <w:p>
            <w:pPr>
              <w:pStyle w:val="Normal"/>
              <w:jc w:val="both"/>
              <w:rPr/>
            </w:pPr>
            <w:r>
              <w:rPr>
                <w:rFonts w:cs="" w:cstheme="majorBidi"/>
                <w:kern w:val="2"/>
                <w:sz w:val="20"/>
                <w:shd w:fill="FFFFFF" w:val="clear"/>
              </w:rPr>
              <w:t>9.2.2. taikant Tvarkos aprašo 4.4.4.1 papunktyje</w:t>
            </w:r>
            <w:r>
              <w:rPr>
                <w:rStyle w:val="FootnoteReference"/>
                <w:rFonts w:cs="" w:cstheme="majorBidi"/>
                <w:kern w:val="2"/>
                <w:sz w:val="20"/>
                <w:shd w:fill="FFFFFF" w:val="clear"/>
              </w:rPr>
              <w:footnoteReference w:id="4"/>
            </w:r>
            <w:r>
              <w:rPr>
                <w:rFonts w:cs="" w:cstheme="majorBidi"/>
                <w:kern w:val="2"/>
                <w:sz w:val="20"/>
                <w:shd w:fill="FFFFFF" w:val="clear"/>
              </w:rPr>
              <w:t>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pPr>
              <w:pStyle w:val="Other1"/>
              <w:tabs>
                <w:tab w:val="clear" w:pos="1296"/>
                <w:tab w:val="left" w:pos="1829" w:leader="none"/>
                <w:tab w:val="left" w:pos="3130" w:leader="none"/>
                <w:tab w:val="left" w:pos="4205" w:leader="none"/>
              </w:tabs>
              <w:jc w:val="both"/>
              <w:rPr>
                <w:rFonts w:cs="" w:cstheme="majorBidi"/>
                <w:i w:val="false"/>
                <w:i w:val="false"/>
                <w:iCs w:val="false"/>
                <w:kern w:val="2"/>
                <w:szCs w:val="20"/>
                <w:shd w:fill="FFFFFF" w:val="clear"/>
              </w:rPr>
            </w:pPr>
            <w:r>
              <w:rPr>
                <w:rFonts w:cs="" w:cstheme="majorBidi"/>
                <w:i w:val="false"/>
                <w:iCs w:val="false"/>
                <w:kern w:val="2"/>
                <w:szCs w:val="20"/>
                <w:shd w:fill="FFFFFF" w:val="clear"/>
              </w:rPr>
            </w:r>
          </w:p>
        </w:tc>
      </w:tr>
      <w:tr>
        <w:trPr>
          <w:trHeight w:val="300" w:hRule="atLeast"/>
        </w:trPr>
        <w:tc>
          <w:tcPr>
            <w:tcW w:w="9633"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KOKYBĖS KRITERIJAI</w:t>
            </w:r>
          </w:p>
          <w:p>
            <w:pPr>
              <w:pStyle w:val="Normal"/>
              <w:rPr/>
            </w:pPr>
            <w:r>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10.1. Pirkimo dokumentuose n</w:t>
            </w:r>
            <w:r>
              <w:rPr>
                <w:rStyle w:val="Other"/>
                <w:rFonts w:cs="" w:cstheme="majorBidi"/>
                <w:b/>
                <w:bCs/>
              </w:rPr>
              <w:t>ustatyti ir Tiekėjui taikyti</w:t>
            </w:r>
            <w:r>
              <w:rPr>
                <w:rStyle w:val="Other"/>
                <w:rFonts w:cs="" w:cstheme="majorBidi"/>
                <w:b/>
                <w:bCs/>
                <w:szCs w:val="20"/>
              </w:rPr>
              <w:t xml:space="preserve"> kokybės kriterijai</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Netaikoma</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43"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rPr/>
            </w:pPr>
            <w:r>
              <w:rPr>
                <w:rStyle w:val="Other"/>
                <w:rFonts w:cs="" w:cstheme="majorBidi"/>
                <w:b/>
                <w:bCs/>
                <w:szCs w:val="20"/>
              </w:rPr>
              <w:t>10.2. Kokybės kriterijų įgyvendinimas</w:t>
            </w:r>
          </w:p>
        </w:tc>
        <w:tc>
          <w:tcPr>
            <w:tcW w:w="6690"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i w:val="false"/>
                <w:i w:val="false"/>
                <w:iCs w:val="false"/>
                <w:kern w:val="2"/>
              </w:rPr>
            </w:pPr>
            <w:bookmarkStart w:id="27" w:name="_Hlk161154706"/>
            <w:bookmarkEnd w:id="27"/>
            <w:r>
              <w:rPr>
                <w:i w:val="false"/>
                <w:iCs w:val="false"/>
                <w:kern w:val="2"/>
              </w:rPr>
              <w:t>Netaikoma</w:t>
            </w:r>
          </w:p>
        </w:tc>
      </w:tr>
    </w:tbl>
    <w:p>
      <w:pPr>
        <w:pStyle w:val="Normal"/>
        <w:rPr/>
      </w:pPr>
      <w:r>
        <w:rPr/>
      </w:r>
    </w:p>
    <w:p>
      <w:pPr>
        <w:pStyle w:val="Normal"/>
        <w:rPr/>
      </w:pPr>
      <w:r>
        <w:rPr/>
      </w:r>
    </w:p>
    <w:p>
      <w:pPr>
        <w:pStyle w:val="Normal"/>
        <w:rPr/>
      </w:pPr>
      <w:r>
        <w:rPr/>
      </w:r>
    </w:p>
    <w:p>
      <w:pPr>
        <w:pStyle w:val="Normal"/>
        <w:spacing w:lineRule="auto" w:line="276" w:before="0" w:after="160"/>
        <w:rPr/>
      </w:pPr>
      <w:r>
        <w:rPr/>
      </w:r>
      <w:r>
        <w:br w:type="page"/>
      </w:r>
    </w:p>
    <w:tbl>
      <w:tblPr>
        <w:tblW w:w="971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775"/>
      </w:tblGrid>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pageBreakBefore/>
              <w:spacing w:before="0" w:after="0"/>
              <w:contextualSpacing/>
              <w:rPr/>
            </w:pPr>
            <w:r>
              <w:rPr>
                <w:rStyle w:val="Other"/>
                <w:rFonts w:cs="" w:cstheme="majorBidi"/>
                <w:i w:val="false"/>
                <w:iCs w:val="false"/>
                <w:sz w:val="20"/>
                <w:szCs w:val="20"/>
              </w:rPr>
              <w:t>ŠALIŲ TEISĖS IR PAREIGOS</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11.1. Papildomi Pirkėjo įsipareigojimai ir teisės</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965271883"/>
                <w:dropDownList>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dropDownList>
              </w:sdtPr>
              <w:sdtContent>
                <w:r>
                  <w:rPr>
                    <w:shd w:fill="FFFFFF" w:val="clear"/>
                  </w:rPr>
                </w:r>
                <w:r>
                  <w:rPr>
                    <w:shd w:fill="FFFFFF" w:val="clear"/>
                  </w:rPr>
                  <w:t>Papildomų Pirkėjo įsipareigojimų ir teisių nenumatoma</w:t>
                </w:r>
              </w:sdtContent>
            </w:sdt>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11.2. Papildomi Tiekėjo įsipareigojimai ir teisės</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hd w:fill="FFFFFF" w:val="clear"/>
              </w:rPr>
            </w:pPr>
            <w:sdt>
              <w:sdtPr>
                <w:id w:val="1089196273"/>
                <w:dropDownList>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dropDownList>
              </w:sdtPr>
              <w:sdtContent>
                <w:r>
                  <w:rPr>
                    <w:shd w:fill="FFFFFF" w:val="clear"/>
                  </w:rPr>
                </w:r>
                <w:r>
                  <w:rPr>
                    <w:shd w:fill="FFFFFF" w:val="clear"/>
                  </w:rPr>
                  <w:t>Papildomų Tiekėjo įsipareigojimų ir teisių nenumatoma</w:t>
                </w:r>
              </w:sdtContent>
            </w:sdt>
          </w:p>
        </w:tc>
      </w:tr>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ŠALIŲ ATSAKOMYBĖ</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12.1. Pirkėjui taikomos netesybos dėl apmokėjimo vėlavimo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12.2. Tiekėjui taikomos netesybos</w:t>
            </w:r>
          </w:p>
        </w:tc>
        <w:tc>
          <w:tcPr>
            <w:tcW w:w="6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0" w:leader="none"/>
                <w:tab w:val="left" w:pos="561" w:leader="none"/>
              </w:tabs>
              <w:jc w:val="both"/>
              <w:rPr>
                <w:szCs w:val="24"/>
              </w:rPr>
            </w:pPr>
            <w:r>
              <w:rPr>
                <w:kern w:val="2"/>
                <w:sz w:val="20"/>
              </w:rPr>
              <w:t>Jei Paslaugų teikėjas dėl savo kaltės vėluoja įvykdyti sutartinius įsipareigojimus per Sutartyje nustatytą terminą, Pirkėjas be oficialaus įspėjimo ir neprarasdamas teisės į kitas savo teisių gynimo priemones pagal Sutartį gali pradėti skaičiuoti 10 eurų didžio delspinigius už kiekvieną vėluojama suteikti paslaugų darbo valandą. Delspinigius Paslaugų tiekėjas privalo sumokėti per 5 darbo dienų, nuo pareikalavimo delspinigius sumokėti dienos</w:t>
            </w:r>
            <w:r>
              <w:rPr>
                <w:kern w:val="2"/>
                <w:szCs w:val="24"/>
              </w:rPr>
              <w:t>.</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12.3. Bauda Tiekėjui nutraukus Sutartį dėl esminio Sutarties pažeidimo</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t>1 500 eurų</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12.4. Bauda Tiekėjui už subtiekėjo ar specialisto pakeitimą be Pirkėjo raštiško sutikimo</w:t>
            </w:r>
          </w:p>
        </w:tc>
        <w:tc>
          <w:tcPr>
            <w:tcW w:w="677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rStyle w:val="Other"/>
                <w:szCs w:val="20"/>
              </w:rPr>
              <w:t>Netaikoma</w:t>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12.5. Tiekėjui taikomos baudos dėl aplinkosauginių ir (arba) socialinių kriterijų nesilaikymo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jc w:val="both"/>
              <w:rPr>
                <w:rFonts w:cs="" w:cstheme="majorBidi"/>
                <w:kern w:val="2"/>
                <w:sz w:val="20"/>
              </w:rPr>
            </w:pPr>
            <w:r>
              <w:rPr>
                <w:rFonts w:cs="" w:cstheme="majorBidi"/>
                <w:kern w:val="2"/>
                <w:sz w:val="20"/>
              </w:rPr>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12.6. Tiekėjui / Pirkėjui taikoma bauda dėl konfidencialumo reikalavimų nesilaikymo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12.7. Tiekėjui taikomos netesybos dėl pirkimo dokumentuose nustatytų kokybinių kriterijų nepasiekimo Sutarties vykdymo metu</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Netaikoma</w:t>
            </w:r>
          </w:p>
          <w:p>
            <w:pPr>
              <w:pStyle w:val="Normal"/>
              <w:spacing w:lineRule="auto" w:line="276"/>
              <w:jc w:val="both"/>
              <w:rPr>
                <w:rFonts w:cs="" w:cstheme="majorBidi"/>
                <w:sz w:val="20"/>
              </w:rPr>
            </w:pPr>
            <w:r>
              <w:rPr>
                <w:rFonts w:cs="" w:cstheme="majorBidi"/>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12.8. Tiekėjui taikomos netesybos dėl Sutarties įvykdymo užtikrinimo nepratęsimo</w:t>
            </w:r>
          </w:p>
        </w:tc>
        <w:tc>
          <w:tcPr>
            <w:tcW w:w="677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Style w:val="Other"/>
                <w:rFonts w:cs="" w:cstheme="majorBidi"/>
                <w:i w:val="false"/>
                <w:iCs w:val="false"/>
                <w:sz w:val="20"/>
              </w:rPr>
              <w:t>Netaikoma</w:t>
            </w:r>
          </w:p>
          <w:p>
            <w:pPr>
              <w:pStyle w:val="Normal"/>
              <w:spacing w:lineRule="auto" w:line="276"/>
              <w:rPr>
                <w:rFonts w:cs="" w:cstheme="majorBidi"/>
                <w:kern w:val="2"/>
                <w:sz w:val="20"/>
              </w:rPr>
            </w:pPr>
            <w:r>
              <w:rPr>
                <w:rFonts w:cs="" w:cstheme="majorBidi"/>
                <w:kern w:val="2"/>
                <w:sz w:val="20"/>
              </w:rPr>
            </w:r>
            <w:bookmarkStart w:id="28" w:name="_Hlk158819266"/>
            <w:bookmarkStart w:id="29" w:name="_Hlk158819266"/>
            <w:bookmarkEnd w:id="29"/>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12.9. Papildomai taikomos baudos</w:t>
            </w:r>
          </w:p>
        </w:tc>
        <w:tc>
          <w:tcPr>
            <w:tcW w:w="6775"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993" w:leader="none"/>
                <w:tab w:val="left" w:pos="1418" w:leader="none"/>
              </w:tabs>
              <w:jc w:val="both"/>
              <w:rPr/>
            </w:pPr>
            <w:r>
              <w:rPr>
                <w:rFonts w:eastAsia="Arial Unicode MS"/>
                <w:sz w:val="20"/>
              </w:rPr>
              <w:t>Netesybas Paslaugų tiekėjas privalo sumokėti per 5 darbo dienas, Paslaugų gavėjui pareikalavus. Jei Paslaugų tiekėjas per nurodytą terminą netesybų nesumoka, Paslaugų gavėjas turi teisę netesybas išskaičiuoti iš mokėtinų sumų.</w:t>
            </w:r>
          </w:p>
        </w:tc>
      </w:tr>
      <w:tr>
        <w:trPr>
          <w:trHeight w:val="300" w:hRule="atLeast"/>
        </w:trPr>
        <w:tc>
          <w:tcPr>
            <w:tcW w:w="971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GALIOJIMAS IR KEITIMAS</w:t>
            </w:r>
          </w:p>
          <w:p>
            <w:pPr>
              <w:pStyle w:val="Other1"/>
              <w:tabs>
                <w:tab w:val="clear" w:pos="1296"/>
                <w:tab w:val="left" w:pos="1829" w:leader="none"/>
                <w:tab w:val="left" w:pos="3130" w:leader="none"/>
                <w:tab w:val="left" w:pos="4205" w:leader="none"/>
              </w:tabs>
              <w:ind w:left="567"/>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Heading1"/>
              <w:numPr>
                <w:ilvl w:val="0"/>
                <w:numId w:val="0"/>
              </w:numPr>
              <w:ind w:hanging="0" w:left="0"/>
              <w:jc w:val="left"/>
              <w:rPr>
                <w:rFonts w:ascii="Times New Roman" w:hAnsi="Times New Roman"/>
              </w:rPr>
            </w:pPr>
            <w:r>
              <w:rPr>
                <w:rFonts w:ascii="Times New Roman" w:hAnsi="Times New Roman"/>
                <w:sz w:val="20"/>
                <w:szCs w:val="20"/>
              </w:rPr>
              <w:t>13.1. Sutarties sudarymas ir galiojimas</w:t>
            </w:r>
          </w:p>
        </w:tc>
        <w:tc>
          <w:tcPr>
            <w:tcW w:w="67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both"/>
              <w:rPr/>
            </w:pPr>
            <w:r>
              <w:rPr>
                <w:rFonts w:cs="" w:cstheme="majorBidi"/>
                <w:kern w:val="2"/>
                <w:sz w:val="20"/>
              </w:rPr>
              <w:t>Ši Sutartis laikoma sudaryta, kai (pirma) ją pasirašo abi Šalys.</w:t>
            </w:r>
          </w:p>
          <w:p>
            <w:pPr>
              <w:pStyle w:val="Normal"/>
              <w:spacing w:lineRule="auto" w:line="276"/>
              <w:jc w:val="both"/>
              <w:rPr/>
            </w:pPr>
            <w:r>
              <w:rPr>
                <w:rFonts w:cs="" w:cstheme="majorBidi"/>
                <w:kern w:val="2"/>
                <w:sz w:val="20"/>
              </w:rPr>
              <w:t>Sutartis galioja iki visiško prievolių įvykdymo (kol bus išnaudota Pradinės Sutarties vertė), bet jos terminas negali būti ilgesnis kaip 15 mėnesių.</w:t>
            </w:r>
          </w:p>
          <w:p>
            <w:pPr>
              <w:pStyle w:val="Normal"/>
              <w:spacing w:lineRule="auto" w:line="276"/>
              <w:jc w:val="both"/>
              <w:rPr>
                <w:rFonts w:cs="" w:cstheme="majorBidi"/>
                <w:kern w:val="2"/>
                <w:sz w:val="20"/>
              </w:rPr>
            </w:pPr>
            <w:r>
              <w:rPr>
                <w:rFonts w:cs="" w:cstheme="majorBidi"/>
                <w:kern w:val="2"/>
                <w:sz w:val="20"/>
              </w:rPr>
            </w:r>
          </w:p>
        </w:tc>
      </w:tr>
    </w:tbl>
    <w:p>
      <w:pPr>
        <w:pStyle w:val="Normal"/>
        <w:rPr/>
      </w:pPr>
      <w:r>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13.2. Sutarties galiojimo termino pratęsimas</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kern w:val="2"/>
                <w:sz w:val="20"/>
              </w:rPr>
              <w:t>Netaikoma</w:t>
            </w:r>
          </w:p>
          <w:p>
            <w:pPr>
              <w:pStyle w:val="Normal"/>
              <w:spacing w:lineRule="auto" w:line="276"/>
              <w:rPr>
                <w:rFonts w:cs="" w:cstheme="majorBidi"/>
                <w:kern w:val="2"/>
                <w:sz w:val="20"/>
              </w:rPr>
            </w:pPr>
            <w:r>
              <w:rPr>
                <w:rFonts w:cs="" w:cstheme="majorBidi"/>
                <w:kern w:val="2"/>
                <w:sz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13.3. Sutarties pratęsimo metu taikoma kainodara</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r>
              <w:rPr>
                <w:i w:val="false"/>
                <w:iCs w:val="false"/>
              </w:rPr>
              <w:t>Netaikoma</w:t>
            </w:r>
          </w:p>
        </w:tc>
      </w:tr>
    </w:tbl>
    <w:p>
      <w:pPr>
        <w:pStyle w:val="Normal"/>
        <w:spacing w:lineRule="auto" w:line="276"/>
        <w:rPr>
          <w:rFonts w:cs="" w:cstheme="majorBidi"/>
          <w:sz w:val="20"/>
        </w:rPr>
      </w:pPr>
      <w:r>
        <w:rPr>
          <w:rFonts w:cs="" w:cstheme="majorBidi"/>
          <w:sz w:val="20"/>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SUTARTIES NUTRAUKIMAS</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14.1. Sutarties nutraukimo pagrindai</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Sutartis gali būti nutraukiama rašytiniu Šalių susitarimu</w:t>
            </w:r>
            <w:r>
              <w:rPr>
                <w:rStyle w:val="FootnoteReference"/>
                <w:rFonts w:cs="" w:cstheme="majorBidi"/>
                <w:kern w:val="2"/>
                <w:sz w:val="20"/>
              </w:rPr>
              <w:footnoteReference w:id="5"/>
            </w:r>
            <w:r>
              <w:rPr>
                <w:rFonts w:cs="" w:cstheme="majorBidi"/>
                <w:kern w:val="2"/>
                <w:sz w:val="20"/>
              </w:rPr>
              <w:t xml:space="preserve"> arba vienašališkai, Bendrosiose sąlygose ir Specialiosiose sąlygose nurodytais atvejais ir nustatyta tvarka.</w:t>
            </w:r>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14.2. Esminiai Sutarties pažeidimai</w:t>
            </w:r>
          </w:p>
        </w:tc>
        <w:tc>
          <w:tcPr>
            <w:tcW w:w="659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14.2.1. jeigu Tiekėjas nevykdo prisiimtų įsipareigojimų už Sutartyje nustatytą Sutarties kainą / įkainius;</w:t>
            </w:r>
          </w:p>
          <w:p>
            <w:pPr>
              <w:pStyle w:val="Normal"/>
              <w:spacing w:lineRule="auto" w:line="276"/>
              <w:jc w:val="both"/>
              <w:rPr/>
            </w:pPr>
            <w:r>
              <w:rPr>
                <w:rFonts w:eastAsia="Arial" w:cs="" w:cstheme="majorBidi"/>
                <w:kern w:val="2"/>
                <w:sz w:val="20"/>
              </w:rPr>
              <w:t>14.2.2. jeigu Tiekėjas nesilaiko Sutartyje nustatytų Paslaugų teikimo terminų 2 (du) kartus iš eilės arba vėluoja suteikti Paslaugas daugiau nei 10 dienų negu Sutartyje nustatytas Paslaugų pristatymo terminas;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14.2.3. jeigu Tiekėjas pažeidžia Paslaugų suteikimo terminus ir priskaičiuotų netesybų už vėlavimą suma viršija 10 (dešimt) proc. Pradinės sutarties vertės;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14.2.4. Tiekėjas pažeidžia Paslaugų suteikimo terminus ir dėl to Paslaugos tampa nebereikalingos;</w:t>
            </w:r>
          </w:p>
          <w:p>
            <w:pPr>
              <w:pStyle w:val="Normal"/>
              <w:tabs>
                <w:tab w:val="clear" w:pos="1296"/>
                <w:tab w:val="left" w:pos="567" w:leader="none"/>
                <w:tab w:val="left" w:pos="851" w:leader="none"/>
                <w:tab w:val="left" w:pos="992" w:leader="none"/>
                <w:tab w:val="left" w:pos="1134" w:leader="none"/>
              </w:tabs>
              <w:spacing w:lineRule="auto" w:line="276"/>
              <w:jc w:val="both"/>
              <w:rPr/>
            </w:pPr>
            <w:r>
              <w:rPr>
                <w:rFonts w:eastAsia="Arial" w:cs="" w:cstheme="majorBidi"/>
                <w:kern w:val="2"/>
                <w:sz w:val="20"/>
              </w:rPr>
              <w:t xml:space="preserve">14.2.5. </w:t>
            </w:r>
            <w:bookmarkStart w:id="30" w:name="_Hlk161133829"/>
            <w:r>
              <w:rPr>
                <w:rFonts w:eastAsia="Arial" w:cs="" w:cstheme="majorBidi"/>
                <w:kern w:val="2"/>
                <w:sz w:val="20"/>
              </w:rPr>
              <w:t>Tiekėjas pažeidžia šios Sutarties nuostatas, reglamentuojančias konkurenciją, intelektinės nuosavybės ar konfidencialios informacijos valdymą</w:t>
            </w:r>
            <w:bookmarkEnd w:id="30"/>
            <w:r>
              <w:rPr>
                <w:rFonts w:eastAsia="Arial" w:cs="" w:cstheme="majorBidi"/>
                <w:kern w:val="2"/>
                <w:sz w:val="20"/>
              </w:rPr>
              <w:t>;</w:t>
            </w:r>
          </w:p>
          <w:p>
            <w:pPr>
              <w:pStyle w:val="Normal"/>
              <w:spacing w:lineRule="auto" w:line="276"/>
              <w:jc w:val="both"/>
              <w:rPr/>
            </w:pPr>
            <w:r>
              <w:rPr>
                <w:rFonts w:eastAsia="Arial" w:cs="" w:cstheme="majorBidi"/>
                <w:kern w:val="2"/>
                <w:sz w:val="20"/>
              </w:rPr>
              <w:t>14.2.6. Tiekėjas pažeidžia Bendrųjų sąlygų nuostatas dėl Sutarčiai vykdyti pasitelkiamų naujų Subtiekėjų / esamų Subtiekėjų keitimo.</w:t>
            </w:r>
          </w:p>
        </w:tc>
      </w:tr>
    </w:tbl>
    <w:p>
      <w:pPr>
        <w:pStyle w:val="Normal"/>
        <w:rPr/>
      </w:pPr>
      <w:r>
        <w:rPr/>
      </w:r>
    </w:p>
    <w:tbl>
      <w:tblPr>
        <w:tblW w:w="95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39"/>
        <w:gridCol w:w="6595"/>
      </w:tblGrid>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SUBTIEKĖJAI</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15.1 Subtiekėjai, kurių pajėgumais remiamasi</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placeholder>
                  <w:docPart w:val="DefaultPlaceholder_-1854013438"/>
                </w:placeholder>
                <w:alias w:val="Pasirinkti"/>
                <w:tag w:val="Pasirinkti"/>
                <w:id w:val="-1471436333"/>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Content>
                <w:r>
                  <w:rPr/>
                </w:r>
                <w:r>
                  <w:rPr/>
                  <w:t>Nepasitelkiami</w:t>
                </w:r>
              </w:sdtContent>
            </w:sdt>
          </w:p>
          <w:p>
            <w:pPr>
              <w:pStyle w:val="Other1"/>
              <w:tabs>
                <w:tab w:val="clear" w:pos="1296"/>
                <w:tab w:val="left" w:pos="1829" w:leader="none"/>
                <w:tab w:val="left" w:pos="3130" w:leader="none"/>
                <w:tab w:val="left" w:pos="4205" w:leader="none"/>
              </w:tabs>
              <w:jc w:val="both"/>
              <w:rPr>
                <w:rFonts w:cs="" w:cstheme="majorBidi"/>
                <w:szCs w:val="20"/>
              </w:rPr>
            </w:pPr>
            <w:r>
              <w:rPr>
                <w:rFonts w:cs="" w:cstheme="majorBidi"/>
                <w:szCs w:val="20"/>
              </w:rPr>
            </w:r>
          </w:p>
        </w:tc>
      </w:tr>
      <w:tr>
        <w:trPr>
          <w:trHeight w:val="300" w:hRule="atLeast"/>
        </w:trPr>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Fonts w:cs="" w:cstheme="majorBidi"/>
                <w:b/>
                <w:bCs/>
                <w:kern w:val="2"/>
                <w:sz w:val="20"/>
              </w:rPr>
              <w:t>15.2. Subtiekėjai pasitelkiami Sutarčiai vykdyti (kurių pajėgumais nesiremiama)</w:t>
            </w:r>
          </w:p>
        </w:tc>
        <w:tc>
          <w:tcPr>
            <w:tcW w:w="6595" w:type="dxa"/>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pPr>
            <w:sdt>
              <w:sdtPr>
                <w:id w:val="-341090648"/>
                <w:dropDownList>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dropDownList>
              </w:sdtPr>
              <w:sdtContent>
                <w:r>
                  <w:rPr/>
                </w:r>
                <w:r>
                  <w:rPr/>
                  <w:t>Nepasitelkiami</w:t>
                </w:r>
              </w:sdtContent>
            </w:sdt>
          </w:p>
        </w:tc>
      </w:tr>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SPECIALIŲJŲ SUTARTIES SĄLYGŲ PRIEDAI</w:t>
            </w:r>
          </w:p>
          <w:p>
            <w:pPr>
              <w:pStyle w:val="Other1"/>
              <w:tabs>
                <w:tab w:val="clear" w:pos="1296"/>
                <w:tab w:val="left" w:pos="1829" w:leader="none"/>
                <w:tab w:val="left" w:pos="3130" w:leader="none"/>
                <w:tab w:val="left" w:pos="4205" w:leader="none"/>
              </w:tabs>
              <w:rPr>
                <w:rFonts w:cs="" w:cstheme="majorBidi"/>
                <w:b/>
                <w:bCs/>
                <w:szCs w:val="20"/>
              </w:rPr>
            </w:pPr>
            <w:r>
              <w:rPr>
                <w:rFonts w:cs="" w:cstheme="majorBidi"/>
                <w:b/>
                <w:bCs/>
                <w:szCs w:val="20"/>
              </w:rPr>
            </w:r>
          </w:p>
        </w:tc>
      </w:tr>
      <w:tr>
        <w:trPr>
          <w:trHeight w:val="300" w:hRule="atLeast"/>
        </w:trPr>
        <w:tc>
          <w:tcPr>
            <w:tcW w:w="9534"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214" w:leader="none"/>
              </w:tabs>
              <w:rPr/>
            </w:pPr>
            <w:r>
              <w:rPr>
                <w:rStyle w:val="Other"/>
                <w:rFonts w:cs="" w:cstheme="majorBidi"/>
                <w:szCs w:val="20"/>
              </w:rPr>
              <w:t>Netaikoma</w:t>
            </w:r>
          </w:p>
        </w:tc>
      </w:tr>
    </w:tbl>
    <w:p>
      <w:pPr>
        <w:pStyle w:val="Normal"/>
        <w:spacing w:lineRule="auto" w:line="276"/>
        <w:rPr>
          <w:rFonts w:cs="" w:cstheme="majorBidi"/>
          <w:sz w:val="20"/>
        </w:rPr>
      </w:pPr>
      <w:r>
        <w:rPr>
          <w:rFonts w:cs="" w:cstheme="majorBidi"/>
          <w:sz w:val="20"/>
        </w:rPr>
      </w:r>
    </w:p>
    <w:tbl>
      <w:tblPr>
        <w:tblW w:w="98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77"/>
        <w:gridCol w:w="4927"/>
      </w:tblGrid>
      <w:tr>
        <w:trPr>
          <w:trHeight w:val="300" w:hRule="atLeast"/>
        </w:trPr>
        <w:tc>
          <w:tcPr>
            <w:tcW w:w="9804" w:type="dxa"/>
            <w:gridSpan w:val="2"/>
            <w:tcBorders>
              <w:top w:val="single" w:sz="4" w:space="0" w:color="000000"/>
              <w:left w:val="single" w:sz="4" w:space="0" w:color="000000"/>
              <w:bottom w:val="single" w:sz="4" w:space="0" w:color="000000"/>
              <w:right w:val="single" w:sz="4" w:space="0" w:color="000000"/>
            </w:tcBorders>
          </w:tcPr>
          <w:p>
            <w:pPr>
              <w:pStyle w:val="Heading1"/>
              <w:rPr/>
            </w:pPr>
            <w:r>
              <w:rPr>
                <w:rStyle w:val="Other"/>
                <w:rFonts w:cs="" w:cstheme="majorBidi"/>
                <w:i w:val="false"/>
                <w:iCs w:val="false"/>
                <w:sz w:val="20"/>
                <w:szCs w:val="20"/>
              </w:rPr>
              <w:t>ŠALIŲ PARAŠAI</w:t>
            </w:r>
          </w:p>
          <w:p>
            <w:pPr>
              <w:pStyle w:val="Other1"/>
              <w:tabs>
                <w:tab w:val="clear" w:pos="1296"/>
                <w:tab w:val="left" w:pos="1829" w:leader="none"/>
                <w:tab w:val="left" w:pos="3130" w:leader="none"/>
                <w:tab w:val="left" w:pos="4205" w:leader="none"/>
              </w:tabs>
              <w:rPr>
                <w:rFonts w:cs="" w:cstheme="majorBidi"/>
                <w:szCs w:val="20"/>
              </w:rPr>
            </w:pPr>
            <w:r>
              <w:rPr>
                <w:rFonts w:cs="" w:cstheme="majorBidi"/>
                <w:szCs w:val="20"/>
              </w:rPr>
            </w:r>
          </w:p>
        </w:tc>
      </w:tr>
      <w:tr>
        <w:trPr>
          <w:trHeight w:val="485" w:hRule="exact"/>
        </w:trPr>
        <w:tc>
          <w:tcPr>
            <w:tcW w:w="4877" w:type="dxa"/>
            <w:tcBorders>
              <w:top w:val="single" w:sz="4" w:space="0" w:color="000000"/>
              <w:left w:val="single" w:sz="4" w:space="0" w:color="000000"/>
            </w:tcBorders>
            <w:shd w:color="auto" w:fill="auto" w:val="clear"/>
            <w:vAlign w:val="center"/>
          </w:tcPr>
          <w:p>
            <w:pPr>
              <w:pStyle w:val="Other1"/>
              <w:ind w:firstLine="660"/>
              <w:rPr/>
            </w:pPr>
            <w:r>
              <w:rPr>
                <w:rStyle w:val="Other"/>
                <w:rFonts w:cs="" w:cstheme="majorBidi"/>
                <w:b/>
                <w:bCs/>
                <w:szCs w:val="20"/>
              </w:rPr>
              <w:t>Gediminas Sakalauskas</w:t>
            </w:r>
          </w:p>
        </w:tc>
        <w:tc>
          <w:tcPr>
            <w:tcW w:w="4927" w:type="dxa"/>
            <w:tcBorders>
              <w:top w:val="single" w:sz="4" w:space="0" w:color="000000"/>
              <w:left w:val="single" w:sz="4" w:space="0" w:color="000000"/>
              <w:right w:val="single" w:sz="4" w:space="0" w:color="000000"/>
            </w:tcBorders>
            <w:shd w:color="auto" w:fill="auto" w:val="clear"/>
            <w:vAlign w:val="center"/>
          </w:tcPr>
          <w:p>
            <w:pPr>
              <w:pStyle w:val="Other1"/>
              <w:ind w:firstLine="660"/>
              <w:rPr/>
            </w:pPr>
            <w:r>
              <w:rPr>
                <w:rStyle w:val="Other"/>
                <w:rFonts w:cs="" w:cstheme="majorBidi"/>
                <w:b/>
                <w:bCs/>
                <w:szCs w:val="20"/>
              </w:rPr>
              <w:t>Mindaugas Mikulėnas</w:t>
            </w:r>
          </w:p>
        </w:tc>
      </w:tr>
      <w:tr>
        <w:trPr>
          <w:trHeight w:val="744" w:hRule="exact"/>
        </w:trPr>
        <w:tc>
          <w:tcPr>
            <w:tcW w:w="4877" w:type="dxa"/>
            <w:tcBorders>
              <w:top w:val="single" w:sz="4" w:space="0" w:color="000000"/>
              <w:left w:val="single" w:sz="4" w:space="0" w:color="000000"/>
            </w:tcBorders>
            <w:shd w:color="auto" w:fill="auto" w:val="clear"/>
            <w:vAlign w:val="center"/>
          </w:tcPr>
          <w:p>
            <w:pPr>
              <w:pStyle w:val="Other1"/>
              <w:rPr/>
            </w:pPr>
            <w:r>
              <w:rPr>
                <w:rStyle w:val="Other"/>
                <w:rFonts w:cs="" w:cstheme="majorBidi"/>
                <w:b/>
                <w:bCs/>
                <w:szCs w:val="20"/>
              </w:rPr>
              <w:t>Vyriausiosios tarnybinės etikos komisijos pirmininkas</w:t>
            </w:r>
          </w:p>
        </w:tc>
        <w:tc>
          <w:tcPr>
            <w:tcW w:w="4927" w:type="dxa"/>
            <w:tcBorders>
              <w:top w:val="single" w:sz="4" w:space="0" w:color="000000"/>
              <w:left w:val="single" w:sz="4" w:space="0" w:color="000000"/>
              <w:right w:val="single" w:sz="4" w:space="0" w:color="000000"/>
            </w:tcBorders>
            <w:shd w:color="auto" w:fill="auto" w:val="clear"/>
            <w:vAlign w:val="center"/>
          </w:tcPr>
          <w:p>
            <w:pPr>
              <w:pStyle w:val="Other1"/>
              <w:ind w:firstLine="660"/>
              <w:rPr/>
            </w:pPr>
            <w:r>
              <w:rPr>
                <w:rStyle w:val="Other"/>
                <w:rFonts w:cs="" w:cstheme="majorBidi"/>
                <w:b/>
                <w:bCs/>
                <w:szCs w:val="20"/>
              </w:rPr>
              <w:t>UAB „Insoft“ direktorius</w:t>
            </w:r>
          </w:p>
        </w:tc>
      </w:tr>
      <w:tr>
        <w:trPr>
          <w:trHeight w:val="379" w:hRule="exact"/>
        </w:trPr>
        <w:tc>
          <w:tcPr>
            <w:tcW w:w="4877" w:type="dxa"/>
            <w:tcBorders>
              <w:top w:val="single" w:sz="4" w:space="0" w:color="000000"/>
              <w:left w:val="single" w:sz="4" w:space="0" w:color="000000"/>
              <w:bottom w:val="single" w:sz="4" w:space="0" w:color="000000"/>
            </w:tcBorders>
            <w:shd w:color="auto" w:fill="auto" w:val="clear"/>
          </w:tcPr>
          <w:p>
            <w:pPr>
              <w:pStyle w:val="Other1"/>
              <w:ind w:firstLine="660"/>
              <w:rPr/>
            </w:pPr>
            <w:r>
              <w:rPr>
                <w:rStyle w:val="Other"/>
                <w:rFonts w:cs="" w:cstheme="majorBidi"/>
                <w:b/>
                <w:bCs/>
                <w:szCs w:val="20"/>
              </w:rPr>
              <w:t>(parašas)</w:t>
            </w:r>
          </w:p>
        </w:tc>
        <w:tc>
          <w:tcPr>
            <w:tcW w:w="4927" w:type="dxa"/>
            <w:tcBorders>
              <w:top w:val="single" w:sz="4" w:space="0" w:color="000000"/>
              <w:left w:val="single" w:sz="4" w:space="0" w:color="000000"/>
              <w:bottom w:val="single" w:sz="4" w:space="0" w:color="000000"/>
              <w:right w:val="single" w:sz="4" w:space="0" w:color="000000"/>
            </w:tcBorders>
            <w:shd w:color="auto" w:fill="auto" w:val="clear"/>
          </w:tcPr>
          <w:p>
            <w:pPr>
              <w:pStyle w:val="Other1"/>
              <w:ind w:firstLine="660"/>
              <w:rPr/>
            </w:pPr>
            <w:r>
              <w:rPr>
                <w:rStyle w:val="Other"/>
                <w:rFonts w:cs="" w:cstheme="majorBidi"/>
                <w:b/>
                <w:bCs/>
                <w:szCs w:val="20"/>
              </w:rPr>
              <w:t>(parašas)</w:t>
            </w:r>
          </w:p>
        </w:tc>
      </w:tr>
    </w:tbl>
    <w:p>
      <w:pPr>
        <w:pStyle w:val="Normal"/>
        <w:tabs>
          <w:tab w:val="clear" w:pos="1296"/>
          <w:tab w:val="left" w:pos="709" w:leader="none"/>
        </w:tabs>
        <w:spacing w:lineRule="auto" w:line="276"/>
        <w:rPr>
          <w:rFonts w:cs="" w:cstheme="majorBidi"/>
          <w:b/>
          <w:bCs/>
          <w:sz w:val="20"/>
        </w:rPr>
      </w:pPr>
      <w:r>
        <w:rPr>
          <w:rFonts w:cs="" w:cstheme="majorBidi"/>
          <w:b/>
          <w:bCs/>
          <w:sz w:val="20"/>
        </w:rPr>
      </w:r>
    </w:p>
    <w:sectPr>
      <w:headerReference w:type="default" r:id="rId5"/>
      <w:footerReference w:type="default" r:id="rId6"/>
      <w:footnotePr>
        <w:numFmt w:val="decimal"/>
      </w:footnotePr>
      <w:endnotePr>
        <w:numFmt w:val="lowerRoman"/>
      </w:endnotePr>
      <w:type w:val="nextPage"/>
      <w:pgSz w:w="11906" w:h="16838"/>
      <w:pgMar w:left="851" w:right="851" w:gutter="0" w:header="567" w:top="851" w:footer="567" w:bottom="624"/>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rFonts w:ascii="Aptos" w:hAnsi="Aptos"/>
          <w:sz w:val="18"/>
          <w:szCs w:val="18"/>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lang w:val="en-US"/>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0806905"/>
    </w:sdtPr>
    <w:sdtContent>
      <w:p>
        <w:pPr>
          <w:pStyle w:val="Footer"/>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26</w:t>
        </w:r>
        <w:r>
          <w:rPr>
            <w:sz w:val="18"/>
            <w:szCs w:val="18"/>
          </w:rPr>
          <w:fldChar w:fldCharType="end"/>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fldChar w:fldCharType="begin"/>
      </w:r>
      <w:r>
        <w:rPr>
          <w:rStyle w:val="Hyperlink"/>
        </w:rPr>
        <w:instrText xml:space="preserve"> HYPERLINK "https://osp.stat.gov.lt/statistiniu-rodikliu-analize?indicator=S7R260" \l "/"</w:instrText>
      </w:r>
      <w:r>
        <w:rPr>
          <w:rStyle w:val="Hyperlink"/>
        </w:rPr>
        <w:fldChar w:fldCharType="separate"/>
      </w:r>
      <w:r>
        <w:rPr>
          <w:rStyle w:val="Hyperlink"/>
        </w:rPr>
        <w:t>https://osp.stat.gov.lt/</w:t>
      </w:r>
      <w:r>
        <w:rPr>
          <w:rStyle w:val="Hyperlink"/>
        </w:rPr>
        <w:fldChar w:fldCharType="end"/>
      </w:r>
    </w:p>
  </w:footnote>
  <w:footnote w:id="3">
    <w:p>
      <w:pPr>
        <w:pStyle w:val="FootnoteText"/>
        <w:rPr/>
      </w:pPr>
      <w:r>
        <w:rPr>
          <w:rStyle w:val="FootnoteCharacters"/>
        </w:rPr>
        <w:footnoteRef/>
      </w:r>
      <w:r>
        <w:rPr/>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 w:id="4">
    <w:p>
      <w:pPr>
        <w:pStyle w:val="FootnoteText"/>
        <w:rPr/>
      </w:pPr>
      <w:r>
        <w:rPr>
          <w:rStyle w:val="FootnoteCharacters"/>
        </w:rPr>
        <w:footnoteRef/>
      </w:r>
      <w:r>
        <w:rPr/>
        <w:t xml:space="preserve"> </w:t>
      </w:r>
      <w:r>
        <w:rPr/>
        <w:t>Prekei pagaminti ir (ar) tiekti, paslaugai teikti ar darbams atlikti sunaudojama mažiau gamtos išteklių ir (ar) sudėtyje yra pakartotinai panaudotų ir (ar) perdirbtų medžiagų.</w:t>
      </w:r>
    </w:p>
  </w:footnote>
  <w:footnote w:id="5">
    <w:p>
      <w:pPr>
        <w:pStyle w:val="Normal"/>
        <w:tabs>
          <w:tab w:val="clear" w:pos="1296"/>
          <w:tab w:val="left" w:pos="567" w:leader="none"/>
          <w:tab w:val="left" w:pos="851" w:leader="none"/>
          <w:tab w:val="left" w:pos="992" w:leader="none"/>
          <w:tab w:val="left" w:pos="1134" w:leader="none"/>
        </w:tabs>
        <w:jc w:val="both"/>
        <w:rPr>
          <w:rFonts w:eastAsia="Arial" w:cs="" w:asciiTheme="majorBidi" w:cstheme="majorBidi" w:hAnsiTheme="majorBidi"/>
          <w:sz w:val="18"/>
          <w:szCs w:val="18"/>
        </w:rPr>
      </w:pPr>
      <w:r>
        <w:rPr>
          <w:rStyle w:val="FootnoteCharacters"/>
        </w:rPr>
        <w:footnoteRef/>
      </w:r>
      <w:r>
        <w:rPr>
          <w:rFonts w:eastAsia="Arial" w:cs="" w:cstheme="majorBidi"/>
          <w:sz w:val="18"/>
          <w:szCs w:val="18"/>
        </w:rPr>
        <w:t xml:space="preserve"> </w:t>
      </w:r>
      <w:r>
        <w:rPr>
          <w:rFonts w:eastAsia="Arial" w:cs="" w:cstheme="majorBidi"/>
          <w:sz w:val="18"/>
          <w:szCs w:val="18"/>
        </w:rPr>
        <w:t>Susitarime įvardijamos Sutarties nutraukimo priežastys, nutraukimo data ir susitariama dėl apmokėjimo už iki Sutarties nutraukimo suteiktas ir priimtas Paslaugas, taip pat dėl atsakomybės nuostatų taikymo.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rPr>
    </w:pPr>
    <w:r>
      <w:rPr>
        <w:sz w:val="20"/>
      </w:rPr>
    </w:r>
  </w:p>
  <w:p>
    <w:pPr>
      <w:pStyle w:val="Header"/>
      <w:jc w:val="cent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b/>
        <w:bCs/>
        <w:color w:themeColor="text1" w:val="000000"/>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sz w:val="22"/>
        <w:szCs w:val="22"/>
        <w:color w:themeColor="text1" w:val="000000"/>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sz w:val="20"/>
        <w:b w:val="false"/>
        <w:szCs w:val="20"/>
        <w:bCs w:val="false"/>
        <w:rFonts w:cs="" w:asciiTheme="majorBidi" w:cstheme="majorBidi" w:hAnsiTheme="majorBidi"/>
      </w:rPr>
    </w:lvl>
    <w:lvl w:ilvl="2">
      <w:start w:val="1"/>
      <w:numFmt w:val="decimal"/>
      <w:lvlText w:val="%1.%2.%3."/>
      <w:lvlJc w:val="left"/>
      <w:pPr>
        <w:tabs>
          <w:tab w:val="num" w:pos="0"/>
        </w:tabs>
        <w:ind w:left="5114" w:hanging="720"/>
      </w:pPr>
      <w:rPr>
        <w:i w:val="false"/>
        <w:b w:val="false"/>
        <w:iCs w:val="false"/>
        <w:bCs w:val="false"/>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endnotePr>
    <w:numFmt w:val="lowerRoman"/>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Calibri" w:cs="" w:cstheme="minorBidi" w:eastAsiaTheme="minorHAnsi"/>
        <w:color w:themeColor="text1" w:val="000000"/>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19e9"/>
    <w:pPr>
      <w:widowControl/>
      <w:suppressAutoHyphens w:val="true"/>
      <w:bidi w:val="0"/>
      <w:spacing w:before="0" w:after="0"/>
      <w:jc w:val="left"/>
    </w:pPr>
    <w:rPr>
      <w:rFonts w:ascii="Times New Roman" w:hAnsi="Times New Roman" w:eastAsia="Times New Roman" w:cs="Times New Roman"/>
      <w:color w:themeColor="text1" w:val="000000"/>
      <w:kern w:val="0"/>
      <w:sz w:val="24"/>
      <w:szCs w:val="20"/>
      <w:lang w:val="lt-LT" w:eastAsia="en-US" w:bidi="ar-SA"/>
    </w:rPr>
  </w:style>
  <w:style w:type="paragraph" w:styleId="Heading1">
    <w:name w:val="Heading 1"/>
    <w:basedOn w:val="ListParagraph"/>
    <w:next w:val="Normal"/>
    <w:link w:val="Antrat1Diagrama"/>
    <w:uiPriority w:val="9"/>
    <w:qFormat/>
    <w:rsid w:val="007e0756"/>
    <w:pPr>
      <w:numPr>
        <w:ilvl w:val="0"/>
        <w:numId w:val="1"/>
      </w:numPr>
      <w:spacing w:lineRule="auto" w:line="276"/>
      <w:jc w:val="center"/>
      <w:outlineLvl w:val="0"/>
    </w:pPr>
    <w:rPr>
      <w:rFonts w:cs="" w:asciiTheme="majorBidi" w:cstheme="majorBidi" w:hAnsiTheme="majorBidi"/>
      <w:b/>
      <w:bCs/>
      <w:kern w:val="2"/>
      <w:sz w:val="22"/>
      <w:szCs w:val="22"/>
    </w:rPr>
  </w:style>
  <w:style w:type="paragraph" w:styleId="Heading2">
    <w:name w:val="Heading 2"/>
    <w:basedOn w:val="Normal"/>
    <w:next w:val="Normal"/>
    <w:link w:val="Antrat2Diagrama"/>
    <w:uiPriority w:val="9"/>
    <w:unhideWhenUsed/>
    <w:qFormat/>
    <w:rsid w:val="007e0756"/>
    <w:pPr>
      <w:numPr>
        <w:ilvl w:val="1"/>
        <w:numId w:val="1"/>
      </w:numPr>
      <w:spacing w:lineRule="auto" w:line="276"/>
      <w:outlineLvl w:val="1"/>
    </w:pPr>
    <w:rPr>
      <w:rFonts w:cs="" w:asciiTheme="majorBidi" w:cstheme="majorBidi" w:hAnsiTheme="majorBidi"/>
      <w:b/>
      <w:bCs/>
      <w:kern w:val="2"/>
      <w:sz w:val="22"/>
      <w:szCs w:val="22"/>
    </w:rPr>
  </w:style>
  <w:style w:type="paragraph" w:styleId="Heading3">
    <w:name w:val="Heading 3"/>
    <w:basedOn w:val="Normal"/>
    <w:next w:val="Normal"/>
    <w:link w:val="Antrat3Diagrama"/>
    <w:uiPriority w:val="9"/>
    <w:unhideWhenUsed/>
    <w:qFormat/>
    <w:rsid w:val="007e0756"/>
    <w:pPr>
      <w:keepNext w:val="true"/>
      <w:keepLines/>
      <w:numPr>
        <w:ilvl w:val="2"/>
        <w:numId w:val="1"/>
      </w:numPr>
      <w:spacing w:before="40" w:after="0"/>
      <w:outlineLvl w:val="2"/>
    </w:pPr>
    <w:rPr>
      <w:rFonts w:eastAsia="" w:eastAsiaTheme="majorEastAsia"/>
      <w:sz w:val="22"/>
      <w:szCs w:val="22"/>
    </w:rPr>
  </w:style>
  <w:style w:type="paragraph" w:styleId="Heading4">
    <w:name w:val="Heading 4"/>
    <w:basedOn w:val="Normal"/>
    <w:next w:val="Normal"/>
    <w:link w:val="Antrat4Diagrama"/>
    <w:uiPriority w:val="9"/>
    <w:semiHidden/>
    <w:unhideWhenUsed/>
    <w:qFormat/>
    <w:rsid w:val="007e0756"/>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Antrat5Diagrama"/>
    <w:uiPriority w:val="9"/>
    <w:semiHidden/>
    <w:unhideWhenUsed/>
    <w:qFormat/>
    <w:rsid w:val="007e0756"/>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6">
    <w:name w:val="Heading 6"/>
    <w:basedOn w:val="Normal"/>
    <w:next w:val="Normal"/>
    <w:link w:val="Antrat6Diagrama"/>
    <w:uiPriority w:val="9"/>
    <w:semiHidden/>
    <w:unhideWhenUsed/>
    <w:qFormat/>
    <w:rsid w:val="007e0756"/>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themeColor="accent1" w:themeShade="7f" w:val="1F3763"/>
    </w:rPr>
  </w:style>
  <w:style w:type="paragraph" w:styleId="Heading7">
    <w:name w:val="Heading 7"/>
    <w:basedOn w:val="Normal"/>
    <w:next w:val="Normal"/>
    <w:link w:val="Antrat7Diagrama"/>
    <w:uiPriority w:val="9"/>
    <w:semiHidden/>
    <w:unhideWhenUsed/>
    <w:qFormat/>
    <w:rsid w:val="007e0756"/>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Antrat8Diagrama"/>
    <w:uiPriority w:val="9"/>
    <w:semiHidden/>
    <w:unhideWhenUsed/>
    <w:qFormat/>
    <w:rsid w:val="007e0756"/>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Antrat9Diagrama"/>
    <w:uiPriority w:val="9"/>
    <w:semiHidden/>
    <w:unhideWhenUsed/>
    <w:qFormat/>
    <w:rsid w:val="007e0756"/>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PagrindinistekstasDiagrama" w:customStyle="1">
    <w:name w:val="Pagrindinis tekstas Diagrama"/>
    <w:basedOn w:val="DefaultParagraphFont"/>
    <w:qFormat/>
    <w:rsid w:val="00ef6ec6"/>
    <w:rPr/>
  </w:style>
  <w:style w:type="character" w:styleId="BodyTextChar1" w:customStyle="1">
    <w:name w:val="Body Text Char1"/>
    <w:basedOn w:val="DefaultParagraphFont"/>
    <w:uiPriority w:val="99"/>
    <w:semiHidden/>
    <w:qFormat/>
    <w:rsid w:val="00ef6ec6"/>
    <w:rPr>
      <w:rFonts w:ascii="Times New Roman" w:hAnsi="Times New Roman" w:eastAsia="Times New Roman" w:cs="Times New Roman"/>
      <w:color w:themeColor="text1" w:val="000000"/>
      <w:sz w:val="24"/>
      <w:szCs w:val="20"/>
    </w:rPr>
  </w:style>
  <w:style w:type="character" w:styleId="Heading11" w:customStyle="1">
    <w:name w:val="Heading #1_"/>
    <w:basedOn w:val="DefaultParagraphFont"/>
    <w:link w:val="Heading12"/>
    <w:qFormat/>
    <w:rsid w:val="00215c8d"/>
    <w:rPr>
      <w:rFonts w:ascii="Times New Roman" w:hAnsi="Times New Roman" w:eastAsia="Times New Roman" w:cs="Times New Roman"/>
      <w:b/>
      <w:bCs/>
    </w:rPr>
  </w:style>
  <w:style w:type="character" w:styleId="AntratsDiagrama" w:customStyle="1">
    <w:name w:val="Antraštės Diagrama"/>
    <w:basedOn w:val="DefaultParagraphFont"/>
    <w:link w:val="Header"/>
    <w:uiPriority w:val="99"/>
    <w:qFormat/>
    <w:rsid w:val="00ed521a"/>
    <w:rPr>
      <w:rFonts w:ascii="Times New Roman" w:hAnsi="Times New Roman" w:eastAsia="Times New Roman" w:cs="Times New Roman"/>
      <w:color w:themeColor="text1" w:val="000000"/>
      <w:sz w:val="24"/>
      <w:szCs w:val="20"/>
    </w:rPr>
  </w:style>
  <w:style w:type="character" w:styleId="PoratDiagrama" w:customStyle="1">
    <w:name w:val="Poraštė Diagrama"/>
    <w:basedOn w:val="DefaultParagraphFont"/>
    <w:link w:val="Footer"/>
    <w:uiPriority w:val="99"/>
    <w:qFormat/>
    <w:rsid w:val="00ed521a"/>
    <w:rPr>
      <w:rFonts w:ascii="Times New Roman" w:hAnsi="Times New Roman" w:eastAsia="Times New Roman" w:cs="Times New Roman"/>
      <w:color w:themeColor="text1" w:val="000000"/>
      <w:sz w:val="24"/>
      <w:szCs w:val="20"/>
    </w:rPr>
  </w:style>
  <w:style w:type="character" w:styleId="PlaceholderText">
    <w:name w:val="Placeholder Text"/>
    <w:basedOn w:val="DefaultParagraphFont"/>
    <w:uiPriority w:val="99"/>
    <w:semiHidden/>
    <w:qFormat/>
    <w:rsid w:val="00051ae1"/>
    <w:rPr>
      <w:color w:themeColor="text1" w:val="000000"/>
    </w:rPr>
  </w:style>
  <w:style w:type="character" w:styleId="Style11" w:customStyle="1">
    <w:name w:val="Style1"/>
    <w:basedOn w:val="DefaultParagraphFont"/>
    <w:uiPriority w:val="1"/>
    <w:qFormat/>
    <w:rsid w:val="0003078a"/>
    <w:rPr>
      <w:color w:themeColor="text1" w:val="000000"/>
    </w:rPr>
  </w:style>
  <w:style w:type="character" w:styleId="Annotationreference">
    <w:name w:val="annotation reference"/>
    <w:basedOn w:val="DefaultParagraphFont"/>
    <w:uiPriority w:val="99"/>
    <w:semiHidden/>
    <w:unhideWhenUsed/>
    <w:qFormat/>
    <w:rsid w:val="00574190"/>
    <w:rPr>
      <w:sz w:val="16"/>
      <w:szCs w:val="16"/>
    </w:rPr>
  </w:style>
  <w:style w:type="character" w:styleId="KomentarotekstasDiagrama" w:customStyle="1">
    <w:name w:val="Komentaro tekstas Diagrama"/>
    <w:basedOn w:val="DefaultParagraphFont"/>
    <w:link w:val="Annotationtext"/>
    <w:uiPriority w:val="99"/>
    <w:qFormat/>
    <w:rsid w:val="00574190"/>
    <w:rPr>
      <w:rFonts w:ascii="Times New Roman" w:hAnsi="Times New Roman" w:eastAsia="Times New Roman" w:cs="Times New Roman"/>
      <w:color w:themeColor="text1" w:val="000000"/>
      <w:szCs w:val="20"/>
    </w:rPr>
  </w:style>
  <w:style w:type="character" w:styleId="KomentarotemaDiagrama" w:customStyle="1">
    <w:name w:val="Komentaro tema Diagrama"/>
    <w:basedOn w:val="KomentarotekstasDiagrama"/>
    <w:link w:val="Annotationsubject"/>
    <w:uiPriority w:val="99"/>
    <w:semiHidden/>
    <w:qFormat/>
    <w:rsid w:val="00574190"/>
    <w:rPr>
      <w:rFonts w:ascii="Times New Roman" w:hAnsi="Times New Roman" w:eastAsia="Times New Roman" w:cs="Times New Roman"/>
      <w:b/>
      <w:bCs/>
      <w:color w:themeColor="text1" w:val="000000"/>
      <w:szCs w:val="20"/>
    </w:rPr>
  </w:style>
  <w:style w:type="character" w:styleId="PuslapioinaostekstasDiagrama" w:customStyle="1">
    <w:name w:val="Puslapio išnašos tekstas Diagrama"/>
    <w:basedOn w:val="DefaultParagraphFont"/>
    <w:link w:val="FootnoteText"/>
    <w:uiPriority w:val="99"/>
    <w:semiHidden/>
    <w:qFormat/>
    <w:rsid w:val="000a5e37"/>
    <w:rPr>
      <w:rFonts w:ascii="Times New Roman" w:hAnsi="Times New Roman" w:eastAsia="Times New Roman" w:cs="Times New Roman"/>
      <w:color w:themeColor="text1" w:val="000000"/>
      <w:szCs w:val="20"/>
    </w:rPr>
  </w:style>
  <w:style w:type="character" w:styleId="FootnoteCharacters" w:customStyle="1">
    <w:name w:val="Footnote Characters"/>
    <w:uiPriority w:val="99"/>
    <w:semiHidden/>
    <w:unhideWhenUsed/>
    <w:qFormat/>
    <w:rsid w:val="000a5e37"/>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0a5e37"/>
    <w:rPr>
      <w:color w:themeColor="hyperlink" w:val="0563C1"/>
      <w:u w:val="single"/>
    </w:rPr>
  </w:style>
  <w:style w:type="character" w:styleId="UnresolvedMention">
    <w:name w:val="Unresolved Mention"/>
    <w:basedOn w:val="DefaultParagraphFont"/>
    <w:uiPriority w:val="99"/>
    <w:semiHidden/>
    <w:unhideWhenUsed/>
    <w:qFormat/>
    <w:rsid w:val="000a5e37"/>
    <w:rPr>
      <w:color w:themeColor="text1" w:val="000000"/>
      <w:shd w:fill="E1DFDD" w:val="clear"/>
    </w:rPr>
  </w:style>
  <w:style w:type="character" w:styleId="Other" w:customStyle="1">
    <w:name w:val="Other_"/>
    <w:basedOn w:val="DefaultParagraphFont"/>
    <w:link w:val="Other1"/>
    <w:qFormat/>
    <w:rsid w:val="000a5e37"/>
    <w:rPr>
      <w:rFonts w:ascii="Times New Roman" w:hAnsi="Times New Roman" w:eastAsia="Times New Roman" w:cs="Times New Roman"/>
      <w:i/>
      <w:iCs/>
      <w:color w:themeColor="text1" w:val="000000"/>
    </w:rPr>
  </w:style>
  <w:style w:type="character" w:styleId="DebesliotekstasDiagrama" w:customStyle="1">
    <w:name w:val="Debesėlio tekstas Diagrama"/>
    <w:basedOn w:val="DefaultParagraphFont"/>
    <w:link w:val="BalloonText"/>
    <w:uiPriority w:val="99"/>
    <w:semiHidden/>
    <w:qFormat/>
    <w:rsid w:val="00bc73ea"/>
    <w:rPr>
      <w:rFonts w:ascii="Segoe UI" w:hAnsi="Segoe UI" w:eastAsia="Times New Roman" w:cs="Segoe UI"/>
      <w:color w:themeColor="text1" w:val="000000"/>
      <w:sz w:val="18"/>
      <w:szCs w:val="18"/>
    </w:rPr>
  </w:style>
  <w:style w:type="character" w:styleId="Antrat1Diagrama" w:customStyle="1">
    <w:name w:val="Antraštė 1 Diagrama"/>
    <w:basedOn w:val="DefaultParagraphFont"/>
    <w:link w:val="Heading1"/>
    <w:uiPriority w:val="9"/>
    <w:qFormat/>
    <w:rsid w:val="007e0756"/>
    <w:rPr>
      <w:rFonts w:eastAsia="Times New Roman" w:cs="" w:asciiTheme="majorBidi" w:cstheme="majorBidi" w:hAnsiTheme="majorBidi"/>
      <w:b/>
      <w:bCs/>
      <w:color w:themeColor="text1" w:val="000000"/>
      <w:kern w:val="2"/>
      <w:sz w:val="22"/>
    </w:rPr>
  </w:style>
  <w:style w:type="character" w:styleId="Antrat2Diagrama" w:customStyle="1">
    <w:name w:val="Antraštė 2 Diagrama"/>
    <w:basedOn w:val="DefaultParagraphFont"/>
    <w:link w:val="Heading2"/>
    <w:uiPriority w:val="9"/>
    <w:qFormat/>
    <w:rsid w:val="007e0756"/>
    <w:rPr>
      <w:rFonts w:eastAsia="Times New Roman" w:cs="" w:asciiTheme="majorBidi" w:cstheme="majorBidi" w:hAnsiTheme="majorBidi"/>
      <w:b/>
      <w:bCs/>
      <w:color w:themeColor="text1" w:val="000000"/>
      <w:kern w:val="2"/>
      <w:sz w:val="22"/>
    </w:rPr>
  </w:style>
  <w:style w:type="character" w:styleId="Antrat3Diagrama" w:customStyle="1">
    <w:name w:val="Antraštė 3 Diagrama"/>
    <w:basedOn w:val="DefaultParagraphFont"/>
    <w:link w:val="Heading3"/>
    <w:uiPriority w:val="9"/>
    <w:qFormat/>
    <w:rsid w:val="007e0756"/>
    <w:rPr>
      <w:rFonts w:ascii="Times New Roman" w:hAnsi="Times New Roman" w:eastAsia="" w:cs="Times New Roman" w:eastAsiaTheme="majorEastAsia"/>
      <w:color w:themeColor="text1" w:val="000000"/>
      <w:sz w:val="22"/>
    </w:rPr>
  </w:style>
  <w:style w:type="character" w:styleId="Antrat4Diagrama" w:customStyle="1">
    <w:name w:val="Antraštė 4 Diagrama"/>
    <w:basedOn w:val="DefaultParagraphFont"/>
    <w:link w:val="Heading4"/>
    <w:uiPriority w:val="9"/>
    <w:semiHidden/>
    <w:qFormat/>
    <w:rsid w:val="007e0756"/>
    <w:rPr>
      <w:rFonts w:ascii="Calibri Light" w:hAnsi="Calibri Light" w:eastAsia="" w:cs="" w:asciiTheme="majorHAnsi" w:cstheme="majorBidi" w:eastAsiaTheme="majorEastAsia" w:hAnsiTheme="majorHAnsi"/>
      <w:i/>
      <w:iCs/>
      <w:color w:themeColor="accent1" w:themeShade="bf" w:val="2F5496"/>
      <w:sz w:val="24"/>
      <w:szCs w:val="20"/>
    </w:rPr>
  </w:style>
  <w:style w:type="character" w:styleId="Antrat5Diagrama" w:customStyle="1">
    <w:name w:val="Antraštė 5 Diagrama"/>
    <w:basedOn w:val="DefaultParagraphFont"/>
    <w:link w:val="Heading5"/>
    <w:uiPriority w:val="9"/>
    <w:semiHidden/>
    <w:qFormat/>
    <w:rsid w:val="007e0756"/>
    <w:rPr>
      <w:rFonts w:ascii="Calibri Light" w:hAnsi="Calibri Light" w:eastAsia="" w:cs="" w:asciiTheme="majorHAnsi" w:cstheme="majorBidi" w:eastAsiaTheme="majorEastAsia" w:hAnsiTheme="majorHAnsi"/>
      <w:color w:themeColor="accent1" w:themeShade="bf" w:val="2F5496"/>
      <w:sz w:val="24"/>
      <w:szCs w:val="20"/>
    </w:rPr>
  </w:style>
  <w:style w:type="character" w:styleId="Antrat6Diagrama" w:customStyle="1">
    <w:name w:val="Antraštė 6 Diagrama"/>
    <w:basedOn w:val="DefaultParagraphFont"/>
    <w:link w:val="Heading6"/>
    <w:uiPriority w:val="9"/>
    <w:semiHidden/>
    <w:qFormat/>
    <w:rsid w:val="007e0756"/>
    <w:rPr>
      <w:rFonts w:ascii="Calibri Light" w:hAnsi="Calibri Light" w:eastAsia="" w:cs="" w:asciiTheme="majorHAnsi" w:cstheme="majorBidi" w:eastAsiaTheme="majorEastAsia" w:hAnsiTheme="majorHAnsi"/>
      <w:color w:themeColor="accent1" w:themeShade="7f" w:val="1F3763"/>
      <w:sz w:val="24"/>
      <w:szCs w:val="20"/>
    </w:rPr>
  </w:style>
  <w:style w:type="character" w:styleId="Antrat7Diagrama" w:customStyle="1">
    <w:name w:val="Antraštė 7 Diagrama"/>
    <w:basedOn w:val="DefaultParagraphFont"/>
    <w:link w:val="Heading7"/>
    <w:uiPriority w:val="9"/>
    <w:semiHidden/>
    <w:qFormat/>
    <w:rsid w:val="007e0756"/>
    <w:rPr>
      <w:rFonts w:ascii="Calibri Light" w:hAnsi="Calibri Light" w:eastAsia="" w:cs="" w:asciiTheme="majorHAnsi" w:cstheme="majorBidi" w:eastAsiaTheme="majorEastAsia" w:hAnsiTheme="majorHAnsi"/>
      <w:i/>
      <w:iCs/>
      <w:color w:themeColor="accent1" w:themeShade="7f" w:val="1F3763"/>
      <w:sz w:val="24"/>
      <w:szCs w:val="20"/>
    </w:rPr>
  </w:style>
  <w:style w:type="character" w:styleId="Antrat8Diagrama" w:customStyle="1">
    <w:name w:val="Antraštė 8 Diagrama"/>
    <w:basedOn w:val="DefaultParagraphFont"/>
    <w:link w:val="Heading8"/>
    <w:uiPriority w:val="9"/>
    <w:semiHidden/>
    <w:qFormat/>
    <w:rsid w:val="007e0756"/>
    <w:rPr>
      <w:rFonts w:ascii="Calibri Light" w:hAnsi="Calibri Light" w:eastAsia="" w:cs="" w:asciiTheme="majorHAnsi" w:cstheme="majorBidi" w:eastAsiaTheme="majorEastAsia" w:hAnsiTheme="majorHAnsi"/>
      <w:color w:themeColor="text1" w:themeTint="d8" w:val="272727"/>
      <w:sz w:val="21"/>
      <w:szCs w:val="21"/>
    </w:rPr>
  </w:style>
  <w:style w:type="character" w:styleId="Antrat9Diagrama" w:customStyle="1">
    <w:name w:val="Antraštė 9 Diagrama"/>
    <w:basedOn w:val="DefaultParagraphFont"/>
    <w:link w:val="Heading9"/>
    <w:uiPriority w:val="9"/>
    <w:semiHidden/>
    <w:qFormat/>
    <w:rsid w:val="007e0756"/>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Normaltextrun" w:customStyle="1">
    <w:name w:val="normaltextrun"/>
    <w:basedOn w:val="DefaultParagraphFont"/>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Numatytasispastraiposriftas1" w:customStyle="1">
    <w:name w:val="Numatytasis pastraipos šriftas1"/>
    <w:qFormat/>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qFormat/>
    <w:rsid w:val="00ef6ec6"/>
    <w:pPr>
      <w:widowControl w:val="false"/>
      <w:ind w:firstLine="400"/>
    </w:pPr>
    <w:rPr>
      <w:rFonts w:ascii="Trebuchet MS" w:hAnsi="Trebuchet MS" w:eastAsia="Calibri" w:cs="" w:cstheme="minorBidi" w:eastAsiaTheme="minorHAnsi"/>
      <w:sz w:val="20"/>
      <w:szCs w:val="22"/>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ListParagraph">
    <w:name w:val="List Paragraph"/>
    <w:basedOn w:val="Normal"/>
    <w:qFormat/>
    <w:rsid w:val="00f719e9"/>
    <w:pPr>
      <w:spacing w:before="0" w:after="0"/>
      <w:ind w:left="720"/>
      <w:contextualSpacing/>
    </w:pPr>
    <w:rPr/>
  </w:style>
  <w:style w:type="paragraph" w:styleId="Heading12" w:customStyle="1">
    <w:name w:val="Heading #1"/>
    <w:basedOn w:val="Normal"/>
    <w:link w:val="Heading11"/>
    <w:qFormat/>
    <w:rsid w:val="00215c8d"/>
    <w:pPr>
      <w:widowControl w:val="false"/>
      <w:spacing w:before="0" w:after="260"/>
      <w:jc w:val="center"/>
      <w:outlineLvl w:val="0"/>
    </w:pPr>
    <w:rPr>
      <w:b/>
      <w:bCs/>
      <w:sz w:val="20"/>
      <w:szCs w:val="22"/>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ed521a"/>
    <w:pPr>
      <w:tabs>
        <w:tab w:val="clear" w:pos="1296"/>
        <w:tab w:val="center" w:pos="4986" w:leader="none"/>
        <w:tab w:val="right" w:pos="9972" w:leader="none"/>
      </w:tabs>
    </w:pPr>
    <w:rPr/>
  </w:style>
  <w:style w:type="paragraph" w:styleId="Footer">
    <w:name w:val="Footer"/>
    <w:basedOn w:val="Normal"/>
    <w:link w:val="PoratDiagrama"/>
    <w:uiPriority w:val="99"/>
    <w:unhideWhenUsed/>
    <w:rsid w:val="00ed521a"/>
    <w:pPr>
      <w:tabs>
        <w:tab w:val="clear" w:pos="1296"/>
        <w:tab w:val="center" w:pos="4986" w:leader="none"/>
        <w:tab w:val="right" w:pos="9972" w:leader="none"/>
      </w:tabs>
    </w:pPr>
    <w:rPr/>
  </w:style>
  <w:style w:type="paragraph" w:styleId="Annotationtext">
    <w:name w:val="annotation text"/>
    <w:basedOn w:val="Normal"/>
    <w:link w:val="KomentarotekstasDiagrama"/>
    <w:uiPriority w:val="99"/>
    <w:unhideWhenUsed/>
    <w:qFormat/>
    <w:rsid w:val="00574190"/>
    <w:pPr/>
    <w:rPr>
      <w:sz w:val="20"/>
    </w:rPr>
  </w:style>
  <w:style w:type="paragraph" w:styleId="Annotationsubject">
    <w:name w:val="annotation subject"/>
    <w:basedOn w:val="Annotationtext"/>
    <w:next w:val="Annotationtext"/>
    <w:link w:val="KomentarotemaDiagrama"/>
    <w:uiPriority w:val="99"/>
    <w:semiHidden/>
    <w:unhideWhenUsed/>
    <w:qFormat/>
    <w:rsid w:val="00574190"/>
    <w:pPr/>
    <w:rPr>
      <w:b/>
      <w:bCs/>
    </w:rPr>
  </w:style>
  <w:style w:type="paragraph" w:styleId="FootnoteText">
    <w:name w:val="Footnote Text"/>
    <w:basedOn w:val="Normal"/>
    <w:link w:val="PuslapioinaostekstasDiagrama"/>
    <w:uiPriority w:val="99"/>
    <w:semiHidden/>
    <w:unhideWhenUsed/>
    <w:rsid w:val="000a5e37"/>
    <w:pPr/>
    <w:rPr>
      <w:sz w:val="20"/>
    </w:rPr>
  </w:style>
  <w:style w:type="paragraph" w:styleId="Other1" w:customStyle="1">
    <w:name w:val="Other"/>
    <w:basedOn w:val="Normal"/>
    <w:link w:val="Other"/>
    <w:qFormat/>
    <w:rsid w:val="000a5e37"/>
    <w:pPr>
      <w:widowControl w:val="false"/>
      <w:spacing w:lineRule="auto" w:line="276"/>
    </w:pPr>
    <w:rPr>
      <w:i/>
      <w:iCs/>
      <w:sz w:val="20"/>
      <w:szCs w:val="22"/>
    </w:rPr>
  </w:style>
  <w:style w:type="paragraph" w:styleId="BalloonText">
    <w:name w:val="Balloon Text"/>
    <w:basedOn w:val="Normal"/>
    <w:link w:val="DebesliotekstasDiagrama"/>
    <w:uiPriority w:val="99"/>
    <w:semiHidden/>
    <w:unhideWhenUsed/>
    <w:qFormat/>
    <w:rsid w:val="00bc73ea"/>
    <w:pPr/>
    <w:rPr>
      <w:rFonts w:ascii="Segoe UI" w:hAnsi="Segoe UI" w:cs="Segoe UI"/>
      <w:sz w:val="18"/>
      <w:szCs w:val="18"/>
    </w:rPr>
  </w:style>
  <w:style w:type="paragraph" w:styleId="Revision">
    <w:name w:val="Revision"/>
    <w:uiPriority w:val="99"/>
    <w:semiHidden/>
    <w:qFormat/>
    <w:rsid w:val="00777c28"/>
    <w:pPr>
      <w:widowControl/>
      <w:suppressAutoHyphens w:val="true"/>
      <w:bidi w:val="0"/>
      <w:spacing w:before="0" w:after="0"/>
      <w:jc w:val="left"/>
    </w:pPr>
    <w:rPr>
      <w:rFonts w:ascii="Times New Roman" w:hAnsi="Times New Roman" w:eastAsia="Times New Roman" w:cs="Times New Roman"/>
      <w:color w:themeColor="text1" w:val="000000"/>
      <w:kern w:val="0"/>
      <w:sz w:val="24"/>
      <w:szCs w:val="20"/>
      <w:lang w:val="lt-LT" w:eastAsia="en-US" w:bidi="ar-SA"/>
    </w:rPr>
  </w:style>
  <w:style w:type="paragraph" w:styleId="EndnoteText">
    <w:name w:val="Endnote Text"/>
    <w:basedOn w:val="Normal"/>
    <w:pPr>
      <w:suppressLineNumbers/>
      <w:ind w:hanging="340" w:left="340"/>
    </w:pPr>
    <w:rPr>
      <w:sz w:val="20"/>
    </w:rPr>
  </w:style>
  <w:style w:type="paragraph" w:styleId="Prastasis1" w:customStyle="1">
    <w:name w:val="Įprastasis1"/>
    <w:qFormat/>
    <w:pPr>
      <w:widowControl w:val="false"/>
      <w:suppressAutoHyphens w:val="true"/>
      <w:bidi w:val="0"/>
      <w:spacing w:before="0" w:after="0"/>
      <w:jc w:val="left"/>
      <w:textAlignment w:val="baseline"/>
    </w:pPr>
    <w:rPr>
      <w:rFonts w:ascii="Trebuchet MS" w:hAnsi="Trebuchet MS" w:eastAsia="Calibri" w:cs="" w:cstheme="minorBidi" w:eastAsiaTheme="minorHAnsi"/>
      <w:color w:themeColor="text1" w:val="000000"/>
      <w:kern w:val="0"/>
      <w:sz w:val="20"/>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853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notice" TargetMode="External"/><Relationship Id="rId3" Type="http://schemas.openxmlformats.org/officeDocument/2006/relationships/hyperlink" Target="http://sabis.nbfc.lt/" TargetMode="External"/><Relationship Id="rId4" Type="http://schemas.openxmlformats.org/officeDocument/2006/relationships/hyperlink" Target="mailto:justas.klikna@insoft.l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C6976B02-346F-45C2-8BB6-84CECDB7FC0B}"/>
      </w:docPartPr>
      <w:docPartBody>
        <w:p w:rsidR="005D41E0" w:rsidRDefault="005D41E0">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43"/>
    <w:rsid w:val="0000477A"/>
    <w:rsid w:val="000109C1"/>
    <w:rsid w:val="000661FB"/>
    <w:rsid w:val="000A2977"/>
    <w:rsid w:val="000C5DAB"/>
    <w:rsid w:val="000D04D9"/>
    <w:rsid w:val="000F5D66"/>
    <w:rsid w:val="00110669"/>
    <w:rsid w:val="003A43EA"/>
    <w:rsid w:val="003B7CBE"/>
    <w:rsid w:val="003F0D69"/>
    <w:rsid w:val="004A7B99"/>
    <w:rsid w:val="004C247D"/>
    <w:rsid w:val="004D6699"/>
    <w:rsid w:val="005D41E0"/>
    <w:rsid w:val="006E33A8"/>
    <w:rsid w:val="007D10F3"/>
    <w:rsid w:val="007F3943"/>
    <w:rsid w:val="00964C20"/>
    <w:rsid w:val="009A53C6"/>
    <w:rsid w:val="00AC5F6F"/>
    <w:rsid w:val="00C80446"/>
    <w:rsid w:val="00CF64AF"/>
    <w:rsid w:val="00D63BE3"/>
    <w:rsid w:val="00D80993"/>
    <w:rsid w:val="00DE2371"/>
    <w:rsid w:val="00DF5288"/>
    <w:rsid w:val="00E917C4"/>
    <w:rsid w:val="00FA1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3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Custom 1">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449CF-CEC5-4460-A778-D7FC7474A706}">
  <ds:schemaRefs>
    <ds:schemaRef ds:uri="http://schemas.microsoft.com/sharepoint/v3/contenttype/forms"/>
  </ds:schemaRefs>
</ds:datastoreItem>
</file>

<file path=customXml/itemProps2.xml><?xml version="1.0" encoding="utf-8"?>
<ds:datastoreItem xmlns:ds="http://schemas.openxmlformats.org/officeDocument/2006/customXml" ds:itemID="{EBA05645-8AA3-4DB9-99CF-09E38B41986C}">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5D565934-6956-44ED-AB6A-466A514B6D31}">
  <ds:schemaRefs>
    <ds:schemaRef ds:uri="http://schemas.openxmlformats.org/officeDocument/2006/bibliography"/>
  </ds:schemaRefs>
</ds:datastoreItem>
</file>

<file path=customXml/itemProps4.xml><?xml version="1.0" encoding="utf-8"?>
<ds:datastoreItem xmlns:ds="http://schemas.openxmlformats.org/officeDocument/2006/customXml" ds:itemID="{D05222B9-E476-40BB-8A61-093A6B41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LibreOffice/7.6.4.1$Windows_X86_64 LibreOffice_project/e19e193f88cd6c0525a17fb7a176ed8e6a3e2aa1</Application>
  <AppVersion>15.0000</AppVersion>
  <Pages>27</Pages>
  <Words>12923</Words>
  <Characters>91970</Characters>
  <CharactersWithSpaces>104052</CharactersWithSpaces>
  <Paragraphs>576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2024-09-03T11:44:00Z</dcterms:created>
  <dc:creator>Greta Norkutė, TRINITI JUREX</dc:creator>
  <dc:description/>
  <dc:language>en-US</dc:language>
  <cp:lastModifiedBy/>
  <dcterms:modified xsi:type="dcterms:W3CDTF">2024-09-17T15:45:56Z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