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EB47" w14:textId="2D33487A" w:rsidR="00630C47" w:rsidRPr="00CA64F2" w:rsidRDefault="00CA64F2" w:rsidP="00630C47">
      <w:pPr>
        <w:jc w:val="center"/>
        <w:rPr>
          <w:b/>
          <w:bCs/>
          <w:lang w:val="lt-LT"/>
        </w:rPr>
      </w:pPr>
      <w:r w:rsidRPr="00CA64F2">
        <w:rPr>
          <w:b/>
          <w:bCs/>
          <w:lang w:val="lt-LT"/>
        </w:rPr>
        <w:t xml:space="preserve">VALSTYBINIO ŠIAULIŲ DRAMOS TEATRO </w:t>
      </w:r>
    </w:p>
    <w:p w14:paraId="2B9ECDDE" w14:textId="76F09013" w:rsidR="00D12491" w:rsidRPr="00630C47" w:rsidRDefault="0034075A" w:rsidP="00630C47">
      <w:pPr>
        <w:widowControl w:val="0"/>
        <w:jc w:val="center"/>
        <w:outlineLvl w:val="0"/>
        <w:rPr>
          <w:b/>
          <w:bCs/>
          <w:lang w:val="lt-LT"/>
        </w:rPr>
      </w:pPr>
      <w:r w:rsidRPr="00630C47">
        <w:rPr>
          <w:b/>
          <w:bCs/>
          <w:lang w:val="lt-LT"/>
        </w:rPr>
        <w:t>TECHNINĖ SPECIFIKACIJA</w:t>
      </w:r>
    </w:p>
    <w:p w14:paraId="064C8369" w14:textId="77777777" w:rsidR="00D12491" w:rsidRPr="00D12491" w:rsidRDefault="00D12491" w:rsidP="00D12491">
      <w:pPr>
        <w:widowControl w:val="0"/>
        <w:jc w:val="center"/>
        <w:rPr>
          <w:lang w:val="lt-LT"/>
        </w:rPr>
      </w:pPr>
    </w:p>
    <w:p w14:paraId="387E4E02" w14:textId="55FAD090" w:rsidR="00D12491" w:rsidRPr="00D12491" w:rsidRDefault="00D12491" w:rsidP="00D12491">
      <w:pPr>
        <w:jc w:val="center"/>
        <w:rPr>
          <w:lang w:val="lt-LT"/>
        </w:rPr>
      </w:pPr>
      <w:r w:rsidRPr="00D12491">
        <w:rPr>
          <w:lang w:val="lt-LT"/>
        </w:rPr>
        <w:t>202</w:t>
      </w:r>
      <w:r w:rsidR="002E2B05">
        <w:rPr>
          <w:lang w:val="lt-LT"/>
        </w:rPr>
        <w:t>4</w:t>
      </w:r>
      <w:r w:rsidR="00C130E2">
        <w:rPr>
          <w:lang w:val="lt-LT"/>
        </w:rPr>
        <w:t xml:space="preserve"> </w:t>
      </w:r>
      <w:r w:rsidRPr="00D12491">
        <w:rPr>
          <w:lang w:val="lt-LT"/>
        </w:rPr>
        <w:t xml:space="preserve">m. </w:t>
      </w:r>
      <w:r w:rsidR="00106DD4">
        <w:t>spalio 1</w:t>
      </w:r>
      <w:r w:rsidR="00C30E9F" w:rsidRPr="0032222B">
        <w:t xml:space="preserve"> d. </w:t>
      </w:r>
      <w:r w:rsidRPr="00D12491">
        <w:rPr>
          <w:lang w:val="lt-LT"/>
        </w:rPr>
        <w:t>Nr. .........</w:t>
      </w:r>
    </w:p>
    <w:p w14:paraId="6083760C" w14:textId="34BB75D2" w:rsidR="00D12491" w:rsidRPr="00D12491" w:rsidRDefault="00CA64F2" w:rsidP="00D12491">
      <w:pPr>
        <w:jc w:val="center"/>
        <w:rPr>
          <w:lang w:val="lt-LT"/>
        </w:rPr>
      </w:pPr>
      <w:r w:rsidRPr="00CA64F2">
        <w:rPr>
          <w:lang w:val="lt-LT"/>
        </w:rPr>
        <w:t>Šiauliai</w:t>
      </w:r>
    </w:p>
    <w:p w14:paraId="4767EFF6" w14:textId="77777777" w:rsidR="00D45505" w:rsidRPr="00D12491" w:rsidRDefault="00D45505" w:rsidP="00D12491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D12491" w14:paraId="5A6BF4CD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25DAABF0" w:rsidR="00D12491" w:rsidRPr="00D12491" w:rsidRDefault="00D12491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12491">
              <w:rPr>
                <w:b/>
                <w:lang w:val="lt-LT"/>
              </w:rPr>
              <w:t>Pirkimo objekto pavadinimas</w:t>
            </w:r>
          </w:p>
        </w:tc>
      </w:tr>
      <w:tr w:rsidR="00D12491" w:rsidRPr="00D12491" w14:paraId="300F2645" w14:textId="77777777" w:rsidTr="00E7501A">
        <w:trPr>
          <w:cantSplit/>
          <w:trHeight w:val="345"/>
        </w:trPr>
        <w:tc>
          <w:tcPr>
            <w:tcW w:w="9606" w:type="dxa"/>
            <w:shd w:val="clear" w:color="auto" w:fill="FFFFFF" w:themeFill="background1"/>
          </w:tcPr>
          <w:p w14:paraId="7A9B3A0E" w14:textId="24F8219E" w:rsidR="00D45505" w:rsidRPr="00D45505" w:rsidRDefault="004702E7" w:rsidP="0057500B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Valstybinio Šiaulių dramos teatro pastato r</w:t>
            </w:r>
            <w:r w:rsidR="00353BDC">
              <w:rPr>
                <w:bCs/>
                <w:lang w:val="lt-LT"/>
              </w:rPr>
              <w:t>ūsio</w:t>
            </w:r>
            <w:r w:rsidR="0057500B">
              <w:rPr>
                <w:bCs/>
                <w:lang w:val="lt-LT"/>
              </w:rPr>
              <w:t xml:space="preserve"> </w:t>
            </w:r>
            <w:r w:rsidR="00353BDC">
              <w:rPr>
                <w:bCs/>
                <w:lang w:val="lt-LT"/>
              </w:rPr>
              <w:t>remonto darbai</w:t>
            </w:r>
          </w:p>
        </w:tc>
      </w:tr>
      <w:tr w:rsidR="00D12491" w:rsidRPr="00D12491" w14:paraId="267B754E" w14:textId="77777777" w:rsidTr="00806893">
        <w:trPr>
          <w:cantSplit/>
          <w:trHeight w:val="406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29E4076D" w:rsidR="00D12491" w:rsidRPr="00D45505" w:rsidRDefault="00D45505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lang w:val="lt-LT"/>
              </w:rPr>
              <w:t>Pirkimo objekto aprašymas ir pirkimo objektui keliami reikalavimai</w:t>
            </w:r>
            <w:r w:rsidRPr="00D45505">
              <w:rPr>
                <w:lang w:val="lt-LT"/>
              </w:rPr>
              <w:t xml:space="preserve"> </w:t>
            </w:r>
          </w:p>
        </w:tc>
      </w:tr>
      <w:tr w:rsidR="00D12491" w:rsidRPr="00D12491" w14:paraId="6F7E181F" w14:textId="77777777" w:rsidTr="00E7501A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AE51F" w14:textId="2958F02C" w:rsidR="00AB5B7D" w:rsidRDefault="008F1F1D" w:rsidP="00AB5B7D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lang w:val="lt-LT"/>
              </w:rPr>
              <w:t>Perkami teatro pastato</w:t>
            </w:r>
            <w:r w:rsidR="0057500B">
              <w:rPr>
                <w:lang w:val="lt-LT"/>
              </w:rPr>
              <w:t xml:space="preserve"> </w:t>
            </w:r>
            <w:r>
              <w:rPr>
                <w:lang w:val="lt-LT"/>
              </w:rPr>
              <w:t>rūsio</w:t>
            </w:r>
            <w:r w:rsidR="0057500B">
              <w:rPr>
                <w:lang w:val="lt-LT"/>
              </w:rPr>
              <w:t xml:space="preserve"> ir m</w:t>
            </w:r>
            <w:r>
              <w:rPr>
                <w:lang w:val="lt-LT"/>
              </w:rPr>
              <w:t>ažosios salės rūbinės remonto darbai</w:t>
            </w:r>
            <w:r w:rsidR="0057500B">
              <w:rPr>
                <w:lang w:val="lt-LT"/>
              </w:rPr>
              <w:t xml:space="preserve">. </w:t>
            </w:r>
            <w:r w:rsidR="000F392F">
              <w:rPr>
                <w:lang w:val="lt-LT"/>
              </w:rPr>
              <w:t xml:space="preserve">Atliekamas paprastasis remontas </w:t>
            </w:r>
            <w:r w:rsidR="004702E7">
              <w:rPr>
                <w:lang w:val="lt-LT"/>
              </w:rPr>
              <w:t xml:space="preserve">rangovo </w:t>
            </w:r>
            <w:r w:rsidR="000F392F">
              <w:rPr>
                <w:lang w:val="lt-LT"/>
              </w:rPr>
              <w:t>medžiagomis.</w:t>
            </w:r>
            <w:r w:rsidR="004702E7">
              <w:rPr>
                <w:lang w:val="lt-LT"/>
              </w:rPr>
              <w:t xml:space="preserve"> </w:t>
            </w:r>
            <w:r w:rsidR="000F392F">
              <w:rPr>
                <w:lang w:val="lt-LT"/>
              </w:rPr>
              <w:t xml:space="preserve">Medžiagų parinkimas vykdomas derinant </w:t>
            </w:r>
            <w:r w:rsidR="009634EA">
              <w:rPr>
                <w:lang w:val="lt-LT"/>
              </w:rPr>
              <w:t xml:space="preserve">medžiagiškumą, spalvas ir pan. </w:t>
            </w:r>
            <w:r w:rsidR="000F392F">
              <w:rPr>
                <w:lang w:val="lt-LT"/>
              </w:rPr>
              <w:t>su užsakovu.</w:t>
            </w:r>
            <w:r w:rsidR="002E2B05">
              <w:rPr>
                <w:lang w:val="lt-LT"/>
              </w:rPr>
              <w:t xml:space="preserve"> R</w:t>
            </w:r>
            <w:r w:rsidR="00AB5B7D">
              <w:rPr>
                <w:lang w:val="lt-LT"/>
              </w:rPr>
              <w:t>emontuojamos sandėliavimo</w:t>
            </w:r>
            <w:r w:rsidR="002E2B05">
              <w:rPr>
                <w:lang w:val="lt-LT"/>
              </w:rPr>
              <w:t xml:space="preserve"> ir ūkinės paskirties</w:t>
            </w:r>
            <w:r w:rsidR="00AB5B7D">
              <w:rPr>
                <w:lang w:val="lt-LT"/>
              </w:rPr>
              <w:t xml:space="preserve"> patalpos, elektros skydinė</w:t>
            </w:r>
            <w:r w:rsidR="004702E7">
              <w:rPr>
                <w:lang w:val="lt-LT"/>
              </w:rPr>
              <w:t>,</w:t>
            </w:r>
            <w:r w:rsidR="002E2B05">
              <w:rPr>
                <w:lang w:val="lt-LT"/>
              </w:rPr>
              <w:t xml:space="preserve"> dimerių patalpa,</w:t>
            </w:r>
            <w:r w:rsidR="004702E7">
              <w:rPr>
                <w:lang w:val="lt-LT"/>
              </w:rPr>
              <w:t xml:space="preserve"> m</w:t>
            </w:r>
            <w:r w:rsidR="00AB5B7D">
              <w:rPr>
                <w:lang w:val="lt-LT"/>
              </w:rPr>
              <w:t xml:space="preserve">ažosios salės rūbinė. </w:t>
            </w:r>
            <w:r w:rsidR="00CE08CE">
              <w:rPr>
                <w:lang w:val="lt-LT"/>
              </w:rPr>
              <w:t>D</w:t>
            </w:r>
            <w:r w:rsidR="00AB5B7D">
              <w:rPr>
                <w:lang w:val="lt-LT"/>
              </w:rPr>
              <w:t>arbų kiekis</w:t>
            </w:r>
            <w:r w:rsidR="00E15BAB">
              <w:rPr>
                <w:lang w:val="lt-LT"/>
              </w:rPr>
              <w:t>:</w:t>
            </w:r>
          </w:p>
          <w:p w14:paraId="2033C477" w14:textId="77777777" w:rsidR="008E770F" w:rsidRDefault="008E770F" w:rsidP="00AB5B7D">
            <w:pPr>
              <w:ind w:firstLine="319"/>
              <w:contextualSpacing/>
              <w:jc w:val="both"/>
              <w:rPr>
                <w:lang w:val="lt-LT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07"/>
              <w:gridCol w:w="2410"/>
            </w:tblGrid>
            <w:tr w:rsidR="00CA2A69" w14:paraId="0B91C0B4" w14:textId="77777777" w:rsidTr="00887B18">
              <w:tc>
                <w:tcPr>
                  <w:tcW w:w="5807" w:type="dxa"/>
                </w:tcPr>
                <w:p w14:paraId="6A5AB7E7" w14:textId="51FAE135" w:rsidR="00CA2A69" w:rsidRPr="008E770F" w:rsidRDefault="00CA2A69" w:rsidP="00AB5B7D">
                  <w:pPr>
                    <w:contextualSpacing/>
                    <w:jc w:val="both"/>
                    <w:rPr>
                      <w:b/>
                      <w:bCs/>
                      <w:lang w:val="lt-LT"/>
                    </w:rPr>
                  </w:pPr>
                  <w:r w:rsidRPr="008E770F">
                    <w:rPr>
                      <w:b/>
                      <w:bCs/>
                      <w:lang w:val="lt-LT"/>
                    </w:rPr>
                    <w:t>Darbų pavadinimas</w:t>
                  </w:r>
                </w:p>
              </w:tc>
              <w:tc>
                <w:tcPr>
                  <w:tcW w:w="2410" w:type="dxa"/>
                </w:tcPr>
                <w:p w14:paraId="354DFA8D" w14:textId="27CF5364" w:rsidR="00CA2A69" w:rsidRPr="008E770F" w:rsidRDefault="008E770F" w:rsidP="00AB5B7D">
                  <w:pPr>
                    <w:contextualSpacing/>
                    <w:jc w:val="both"/>
                    <w:rPr>
                      <w:b/>
                      <w:bCs/>
                      <w:lang w:val="lt-LT"/>
                    </w:rPr>
                  </w:pPr>
                  <w:r>
                    <w:rPr>
                      <w:b/>
                      <w:bCs/>
                      <w:lang w:val="lt-LT"/>
                    </w:rPr>
                    <w:t>Preliminarus k</w:t>
                  </w:r>
                  <w:r w:rsidR="00CA2A69" w:rsidRPr="008E770F">
                    <w:rPr>
                      <w:b/>
                      <w:bCs/>
                      <w:lang w:val="lt-LT"/>
                    </w:rPr>
                    <w:t>iekis</w:t>
                  </w:r>
                </w:p>
              </w:tc>
            </w:tr>
            <w:tr w:rsidR="00CA2A69" w14:paraId="1C3B0B75" w14:textId="77777777" w:rsidTr="00887B18">
              <w:tc>
                <w:tcPr>
                  <w:tcW w:w="5807" w:type="dxa"/>
                </w:tcPr>
                <w:p w14:paraId="719A65D2" w14:textId="4D94A381" w:rsidR="00CA2A69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Tinko darbai iki 10 mm</w:t>
                  </w:r>
                </w:p>
              </w:tc>
              <w:tc>
                <w:tcPr>
                  <w:tcW w:w="2410" w:type="dxa"/>
                </w:tcPr>
                <w:p w14:paraId="4B411E7A" w14:textId="57BEFD51" w:rsidR="00CA2A69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105 m²</w:t>
                  </w:r>
                </w:p>
              </w:tc>
            </w:tr>
            <w:tr w:rsidR="00CA2A69" w14:paraId="389D3553" w14:textId="77777777" w:rsidTr="00887B18">
              <w:tc>
                <w:tcPr>
                  <w:tcW w:w="5807" w:type="dxa"/>
                </w:tcPr>
                <w:p w14:paraId="203358E1" w14:textId="26828A68" w:rsidR="00CA2A69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Sienų ir lubų glaistymas</w:t>
                  </w:r>
                </w:p>
              </w:tc>
              <w:tc>
                <w:tcPr>
                  <w:tcW w:w="2410" w:type="dxa"/>
                </w:tcPr>
                <w:p w14:paraId="6CE56D41" w14:textId="5508EC09" w:rsidR="00CA2A69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190 m²</w:t>
                  </w:r>
                </w:p>
              </w:tc>
            </w:tr>
            <w:tr w:rsidR="00CA2A69" w14:paraId="75162B0C" w14:textId="77777777" w:rsidTr="00887B18">
              <w:tc>
                <w:tcPr>
                  <w:tcW w:w="5807" w:type="dxa"/>
                </w:tcPr>
                <w:p w14:paraId="02137B69" w14:textId="3AB6A439" w:rsidR="00CA2A69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Sienų gruntavimas</w:t>
                  </w:r>
                </w:p>
              </w:tc>
              <w:tc>
                <w:tcPr>
                  <w:tcW w:w="2410" w:type="dxa"/>
                </w:tcPr>
                <w:p w14:paraId="40721ED8" w14:textId="5253E66B" w:rsidR="00CA2A69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100 m²</w:t>
                  </w:r>
                </w:p>
              </w:tc>
            </w:tr>
            <w:tr w:rsidR="00CA2A69" w14:paraId="0587A9FF" w14:textId="77777777" w:rsidTr="00AD69D8">
              <w:tc>
                <w:tcPr>
                  <w:tcW w:w="5807" w:type="dxa"/>
                  <w:shd w:val="clear" w:color="auto" w:fill="auto"/>
                </w:tcPr>
                <w:p w14:paraId="6E7E4F63" w14:textId="69D3AD18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Sienų</w:t>
                  </w:r>
                  <w:r w:rsidR="00AD69D8" w:rsidRPr="00AD69D8">
                    <w:rPr>
                      <w:lang w:val="lt-LT"/>
                    </w:rPr>
                    <w:t xml:space="preserve"> ir lubų</w:t>
                  </w:r>
                  <w:r w:rsidRPr="00AD69D8">
                    <w:rPr>
                      <w:lang w:val="lt-LT"/>
                    </w:rPr>
                    <w:t xml:space="preserve"> dažymas</w:t>
                  </w:r>
                  <w:r w:rsidR="00766A5C" w:rsidRPr="00AD69D8">
                    <w:rPr>
                      <w:lang w:val="lt-LT"/>
                    </w:rPr>
                    <w:t xml:space="preserve">, </w:t>
                  </w:r>
                  <w:r w:rsidR="00AD69D8" w:rsidRPr="00AD69D8">
                    <w:rPr>
                      <w:lang w:val="lt-LT"/>
                    </w:rPr>
                    <w:t>2</w:t>
                  </w:r>
                  <w:r w:rsidR="00766A5C" w:rsidRPr="00AD69D8">
                    <w:rPr>
                      <w:lang w:val="lt-LT"/>
                    </w:rPr>
                    <w:t xml:space="preserve"> k.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EB875AF" w14:textId="77BB65D8" w:rsidR="00CA2A69" w:rsidRPr="00AD69D8" w:rsidRDefault="00CA2A69" w:rsidP="00CA2A69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255 m²</w:t>
                  </w:r>
                </w:p>
              </w:tc>
            </w:tr>
            <w:tr w:rsidR="00CA2A69" w14:paraId="4D4495F5" w14:textId="77777777" w:rsidTr="00AD69D8">
              <w:tc>
                <w:tcPr>
                  <w:tcW w:w="5807" w:type="dxa"/>
                  <w:shd w:val="clear" w:color="auto" w:fill="auto"/>
                </w:tcPr>
                <w:p w14:paraId="40915302" w14:textId="78A46794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Metalinių profilių kreipiančiųjų montavimas</w:t>
                  </w:r>
                  <w:r w:rsidR="00AD69D8" w:rsidRPr="00AD69D8">
                    <w:rPr>
                      <w:lang w:val="lt-LT"/>
                    </w:rPr>
                    <w:t xml:space="preserve"> grindyse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22A567C" w14:textId="6B3EFA8A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60 m</w:t>
                  </w:r>
                </w:p>
              </w:tc>
            </w:tr>
            <w:tr w:rsidR="00CA2A69" w14:paraId="317715FD" w14:textId="77777777" w:rsidTr="00AD69D8">
              <w:tc>
                <w:tcPr>
                  <w:tcW w:w="5807" w:type="dxa"/>
                  <w:shd w:val="clear" w:color="auto" w:fill="auto"/>
                </w:tcPr>
                <w:p w14:paraId="5B39B9B6" w14:textId="63CA1BEF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Betonavimo darbai iki 80 mm betono storio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0964F90" w14:textId="6A1E6FB3" w:rsidR="00CA2A69" w:rsidRPr="00AD69D8" w:rsidRDefault="00CA2A69" w:rsidP="00CA2A69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20 m²</w:t>
                  </w:r>
                </w:p>
              </w:tc>
            </w:tr>
            <w:tr w:rsidR="00CA2A69" w14:paraId="1B21AB27" w14:textId="77777777" w:rsidTr="00AD69D8">
              <w:tc>
                <w:tcPr>
                  <w:tcW w:w="5807" w:type="dxa"/>
                  <w:shd w:val="clear" w:color="auto" w:fill="auto"/>
                </w:tcPr>
                <w:p w14:paraId="40935A1C" w14:textId="3E280C22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Grindų dažymas aliejiniais dažais</w:t>
                  </w:r>
                  <w:r w:rsidR="005E4ACC" w:rsidRPr="00AD69D8">
                    <w:rPr>
                      <w:lang w:val="lt-LT"/>
                    </w:rPr>
                    <w:t>,</w:t>
                  </w:r>
                  <w:r w:rsidRPr="00AD69D8">
                    <w:rPr>
                      <w:lang w:val="lt-LT"/>
                    </w:rPr>
                    <w:t xml:space="preserve"> 2 k.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FF4BDC9" w14:textId="4917F107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20 m</w:t>
                  </w:r>
                  <w:r w:rsidR="00CB198F" w:rsidRPr="00AD69D8">
                    <w:rPr>
                      <w:vertAlign w:val="superscript"/>
                      <w:lang w:val="lt-LT"/>
                    </w:rPr>
                    <w:t>2</w:t>
                  </w:r>
                </w:p>
              </w:tc>
            </w:tr>
            <w:tr w:rsidR="00CA2A69" w14:paraId="09C7FEEC" w14:textId="77777777" w:rsidTr="00AD69D8">
              <w:tc>
                <w:tcPr>
                  <w:tcW w:w="5807" w:type="dxa"/>
                  <w:shd w:val="clear" w:color="auto" w:fill="auto"/>
                </w:tcPr>
                <w:p w14:paraId="5DB3502F" w14:textId="7C524476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Senų durų demontavimas ir naujų sumontavimas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317F969" w14:textId="202C2643" w:rsidR="00CA2A69" w:rsidRPr="00AD69D8" w:rsidRDefault="00AD69D8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3</w:t>
                  </w:r>
                  <w:r w:rsidR="00CA2A69" w:rsidRPr="00AD69D8">
                    <w:rPr>
                      <w:lang w:val="lt-LT"/>
                    </w:rPr>
                    <w:t xml:space="preserve"> vnt.</w:t>
                  </w:r>
                </w:p>
              </w:tc>
            </w:tr>
            <w:tr w:rsidR="00CA2A69" w14:paraId="76C928DF" w14:textId="77777777" w:rsidTr="00AD69D8">
              <w:tc>
                <w:tcPr>
                  <w:tcW w:w="5807" w:type="dxa"/>
                  <w:shd w:val="clear" w:color="auto" w:fill="auto"/>
                </w:tcPr>
                <w:p w14:paraId="38FC9616" w14:textId="7ABFB23F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Grindų išlyginamųjų sluoksnių įrengimas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D1697C4" w14:textId="1E03CA29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36 m²</w:t>
                  </w:r>
                </w:p>
              </w:tc>
            </w:tr>
            <w:tr w:rsidR="00CA2A69" w14:paraId="1A884FB7" w14:textId="77777777" w:rsidTr="00AD69D8">
              <w:tc>
                <w:tcPr>
                  <w:tcW w:w="5807" w:type="dxa"/>
                  <w:shd w:val="clear" w:color="auto" w:fill="auto"/>
                </w:tcPr>
                <w:p w14:paraId="3888402E" w14:textId="052CA127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Metalinių ortakių montavimas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E1303DE" w14:textId="126F3B46" w:rsidR="00CA2A69" w:rsidRPr="00AD69D8" w:rsidRDefault="00CA2A69" w:rsidP="00CA2A69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5 m</w:t>
                  </w:r>
                </w:p>
              </w:tc>
            </w:tr>
            <w:tr w:rsidR="00CA2A69" w14:paraId="33E33F92" w14:textId="77777777" w:rsidTr="00AD69D8">
              <w:tc>
                <w:tcPr>
                  <w:tcW w:w="5807" w:type="dxa"/>
                  <w:shd w:val="clear" w:color="auto" w:fill="auto"/>
                </w:tcPr>
                <w:p w14:paraId="54266DB6" w14:textId="4B942B36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Kanalinio ventiliatoriaus montavimas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614BCC23" w14:textId="50419EA2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1 vnt.</w:t>
                  </w:r>
                </w:p>
              </w:tc>
            </w:tr>
            <w:tr w:rsidR="00CA2A69" w14:paraId="5F197833" w14:textId="77777777" w:rsidTr="00AD69D8">
              <w:tc>
                <w:tcPr>
                  <w:tcW w:w="5807" w:type="dxa"/>
                  <w:shd w:val="clear" w:color="auto" w:fill="auto"/>
                </w:tcPr>
                <w:p w14:paraId="6A1BB4B0" w14:textId="261517E4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Keramikinių plytelių grindų įrengimas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43EFBC59" w14:textId="09401887" w:rsidR="00CA2A69" w:rsidRPr="00AD69D8" w:rsidRDefault="00CA2A69" w:rsidP="00AB5B7D">
                  <w:pPr>
                    <w:contextualSpacing/>
                    <w:jc w:val="both"/>
                    <w:rPr>
                      <w:vertAlign w:val="superscript"/>
                      <w:lang w:val="lt-LT"/>
                    </w:rPr>
                  </w:pPr>
                  <w:r w:rsidRPr="00AD69D8">
                    <w:rPr>
                      <w:lang w:val="lt-LT"/>
                    </w:rPr>
                    <w:t>39 m</w:t>
                  </w:r>
                  <w:r w:rsidR="00AB19AC" w:rsidRPr="00AD69D8">
                    <w:rPr>
                      <w:vertAlign w:val="superscript"/>
                      <w:lang w:val="lt-LT"/>
                    </w:rPr>
                    <w:t>2</w:t>
                  </w:r>
                </w:p>
              </w:tc>
            </w:tr>
            <w:tr w:rsidR="00CA2A69" w14:paraId="62C29A13" w14:textId="77777777" w:rsidTr="00AD69D8">
              <w:tc>
                <w:tcPr>
                  <w:tcW w:w="5807" w:type="dxa"/>
                  <w:shd w:val="clear" w:color="auto" w:fill="auto"/>
                </w:tcPr>
                <w:p w14:paraId="2CA3E0DA" w14:textId="75931F16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Langų rėm</w:t>
                  </w:r>
                  <w:r w:rsidR="00DC1470" w:rsidRPr="00AD69D8">
                    <w:rPr>
                      <w:lang w:val="lt-LT"/>
                    </w:rPr>
                    <w:t>o</w:t>
                  </w:r>
                  <w:r w:rsidRPr="00AD69D8">
                    <w:rPr>
                      <w:lang w:val="lt-LT"/>
                    </w:rPr>
                    <w:t xml:space="preserve"> remontas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5F5D394" w14:textId="11975F27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1 vnt.</w:t>
                  </w:r>
                </w:p>
              </w:tc>
            </w:tr>
            <w:tr w:rsidR="00CA2A69" w14:paraId="4EB7D223" w14:textId="77777777" w:rsidTr="00AD69D8">
              <w:tc>
                <w:tcPr>
                  <w:tcW w:w="5807" w:type="dxa"/>
                  <w:shd w:val="clear" w:color="auto" w:fill="auto"/>
                </w:tcPr>
                <w:p w14:paraId="0276E513" w14:textId="57EBEFA8" w:rsidR="00CA2A69" w:rsidRPr="00AD69D8" w:rsidRDefault="00CA2A69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Laiptų pakopų aptaisymas keram</w:t>
                  </w:r>
                  <w:r w:rsidR="00894D91" w:rsidRPr="00AD69D8">
                    <w:rPr>
                      <w:lang w:val="lt-LT"/>
                    </w:rPr>
                    <w:t>ikinėmis</w:t>
                  </w:r>
                  <w:r w:rsidRPr="00AD69D8">
                    <w:rPr>
                      <w:lang w:val="lt-LT"/>
                    </w:rPr>
                    <w:t xml:space="preserve"> plytelėmis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63EB523" w14:textId="1DD807BC" w:rsidR="00CA2A69" w:rsidRPr="00AD69D8" w:rsidRDefault="00AD69D8" w:rsidP="00AB5B7D">
                  <w:pPr>
                    <w:contextualSpacing/>
                    <w:jc w:val="both"/>
                    <w:rPr>
                      <w:lang w:val="lt-LT"/>
                    </w:rPr>
                  </w:pPr>
                  <w:r w:rsidRPr="00AD69D8">
                    <w:rPr>
                      <w:lang w:val="lt-LT"/>
                    </w:rPr>
                    <w:t>3</w:t>
                  </w:r>
                  <w:r w:rsidR="00AB19AC" w:rsidRPr="00AD69D8">
                    <w:rPr>
                      <w:lang w:val="lt-LT"/>
                    </w:rPr>
                    <w:t xml:space="preserve"> m</w:t>
                  </w:r>
                  <w:r w:rsidR="00AB19AC" w:rsidRPr="00AD69D8">
                    <w:rPr>
                      <w:vertAlign w:val="superscript"/>
                      <w:lang w:val="lt-LT"/>
                    </w:rPr>
                    <w:t>2</w:t>
                  </w:r>
                </w:p>
              </w:tc>
            </w:tr>
          </w:tbl>
          <w:p w14:paraId="42B9DDC8" w14:textId="7E8DFAED" w:rsidR="004702E7" w:rsidRPr="00D12491" w:rsidRDefault="004702E7" w:rsidP="00AB5B7D">
            <w:pPr>
              <w:ind w:firstLine="319"/>
              <w:contextualSpacing/>
              <w:jc w:val="both"/>
              <w:rPr>
                <w:lang w:val="lt-LT"/>
              </w:rPr>
            </w:pPr>
          </w:p>
        </w:tc>
      </w:tr>
      <w:tr w:rsidR="00D12491" w:rsidRPr="00D12491" w14:paraId="16854996" w14:textId="77777777" w:rsidTr="00C35384">
        <w:trPr>
          <w:cantSplit/>
          <w:trHeight w:val="489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3704EA1" w14:textId="58498894" w:rsidR="00D12491" w:rsidRPr="00D45505" w:rsidRDefault="00D45505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bCs/>
                <w:color w:val="000000"/>
                <w:lang w:val="lt-LT"/>
              </w:rPr>
              <w:t>Pirkimo objekto k</w:t>
            </w:r>
            <w:r w:rsidRPr="00D45505">
              <w:rPr>
                <w:b/>
                <w:lang w:val="lt-LT"/>
              </w:rPr>
              <w:t>iekis ar apimtys</w:t>
            </w:r>
          </w:p>
        </w:tc>
      </w:tr>
      <w:tr w:rsidR="00D12491" w:rsidRPr="00D12491" w14:paraId="3EB968AB" w14:textId="77777777" w:rsidTr="00E7501A">
        <w:trPr>
          <w:cantSplit/>
          <w:trHeight w:val="345"/>
        </w:trPr>
        <w:tc>
          <w:tcPr>
            <w:tcW w:w="9606" w:type="dxa"/>
          </w:tcPr>
          <w:p w14:paraId="1264C3D4" w14:textId="159CADFF" w:rsidR="005A0F30" w:rsidRPr="00261838" w:rsidRDefault="0057500B" w:rsidP="005A0F30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Nurodyta aukščiau</w:t>
            </w:r>
          </w:p>
        </w:tc>
      </w:tr>
      <w:tr w:rsidR="00D12491" w:rsidRPr="00D12491" w14:paraId="6670F810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69F13AFD" w14:textId="30EB3F64" w:rsidR="00D12491" w:rsidRPr="00261838" w:rsidRDefault="00D45505" w:rsidP="00261838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n-GB"/>
              </w:rPr>
            </w:pPr>
            <w:r w:rsidRPr="005F4026"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D12491" w:rsidRPr="00D12491" w14:paraId="1674928D" w14:textId="77777777" w:rsidTr="00E7501A">
        <w:trPr>
          <w:cantSplit/>
          <w:trHeight w:val="345"/>
        </w:trPr>
        <w:tc>
          <w:tcPr>
            <w:tcW w:w="9606" w:type="dxa"/>
          </w:tcPr>
          <w:p w14:paraId="16E97D32" w14:textId="4FA29FDD" w:rsidR="005A0F30" w:rsidRPr="00261838" w:rsidRDefault="00AD66BB" w:rsidP="005A0F30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</w:t>
            </w:r>
            <w:r w:rsidR="004702E7">
              <w:rPr>
                <w:bCs/>
                <w:lang w:val="lt-LT"/>
              </w:rPr>
              <w:t>emonto darbai turi būti atlikti ne vėliau kaip iki 2024 m. spalio 31 d</w:t>
            </w:r>
            <w:r w:rsidR="0057500B">
              <w:rPr>
                <w:bCs/>
                <w:lang w:val="lt-LT"/>
              </w:rPr>
              <w:t>.</w:t>
            </w:r>
          </w:p>
        </w:tc>
      </w:tr>
      <w:tr w:rsidR="00D12491" w:rsidRPr="00D12491" w14:paraId="1C345F73" w14:textId="77777777" w:rsidTr="00E7501A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D12491" w:rsidRPr="00D12491" w:rsidRDefault="00261838" w:rsidP="00261838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5F4026">
              <w:rPr>
                <w:b/>
                <w:bCs/>
                <w:lang w:val="lt-LT"/>
              </w:rPr>
              <w:t>Papildoma informacija</w:t>
            </w:r>
          </w:p>
        </w:tc>
      </w:tr>
      <w:tr w:rsidR="00D12491" w:rsidRPr="00261838" w14:paraId="1A63AEBD" w14:textId="77777777" w:rsidTr="00E7501A">
        <w:trPr>
          <w:cantSplit/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E8AE8" w14:textId="571CCBE0" w:rsidR="00261838" w:rsidRPr="008A6E20" w:rsidRDefault="008A6E20" w:rsidP="005A0F30">
            <w:pPr>
              <w:tabs>
                <w:tab w:val="left" w:pos="319"/>
              </w:tabs>
              <w:ind w:firstLine="319"/>
              <w:jc w:val="both"/>
              <w:rPr>
                <w:lang w:val="lt-LT"/>
              </w:rPr>
            </w:pPr>
            <w:r w:rsidRPr="008A6E20">
              <w:rPr>
                <w:lang w:val="lt-LT"/>
              </w:rPr>
              <w:t>Esant poreikiui, rangovas gali atvykti objekto apžiūrai.</w:t>
            </w:r>
          </w:p>
        </w:tc>
      </w:tr>
    </w:tbl>
    <w:p w14:paraId="647D23D7" w14:textId="76D2417D" w:rsidR="000B76DB" w:rsidRPr="000B76DB" w:rsidRDefault="00E05E07" w:rsidP="00D12491">
      <w:pPr>
        <w:widowControl w:val="0"/>
        <w:jc w:val="both"/>
        <w:rPr>
          <w:bCs/>
          <w:lang w:val="lt-LT"/>
        </w:rPr>
      </w:pPr>
      <w:r>
        <w:rPr>
          <w:bCs/>
          <w:lang w:val="lt-LT"/>
        </w:rPr>
        <w:t xml:space="preserve">Teatro vadovo pavaduotojas </w:t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>Albertas Ožalinskas</w:t>
      </w:r>
    </w:p>
    <w:p w14:paraId="585EFB20" w14:textId="4ED5B450" w:rsidR="00D12491" w:rsidRPr="00D12491" w:rsidRDefault="00E05E07" w:rsidP="00D12491">
      <w:pPr>
        <w:widowControl w:val="0"/>
        <w:jc w:val="both"/>
        <w:rPr>
          <w:lang w:val="lt-LT"/>
        </w:rPr>
      </w:pPr>
      <w:r>
        <w:rPr>
          <w:lang w:val="lt-LT"/>
        </w:rPr>
        <w:t>gamybai ir ūkio reikalams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2491" w:rsidRPr="00D12491" w14:paraId="0623C1A4" w14:textId="77777777" w:rsidTr="00C76325">
        <w:trPr>
          <w:trHeight w:val="20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EB51" w14:textId="4F977253" w:rsidR="00D12491" w:rsidRPr="000B76DB" w:rsidRDefault="00D12491" w:rsidP="00317E99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 w:rsidRPr="0034075A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(Viešojo pirkimo iniciatoriaus pareigos)</w:t>
            </w:r>
          </w:p>
        </w:tc>
        <w:tc>
          <w:tcPr>
            <w:tcW w:w="284" w:type="dxa"/>
          </w:tcPr>
          <w:p w14:paraId="59546375" w14:textId="77777777" w:rsidR="00D12491" w:rsidRPr="000B76DB" w:rsidRDefault="00D12491" w:rsidP="00317E99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861F6" w14:textId="77777777" w:rsidR="00D12491" w:rsidRPr="000B76DB" w:rsidRDefault="00D12491" w:rsidP="00317E99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 w:rsidRPr="0034075A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4652E7C5" w14:textId="77777777" w:rsidR="00D12491" w:rsidRPr="000B76DB" w:rsidRDefault="00D12491" w:rsidP="00317E99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23C64" w14:textId="77777777" w:rsidR="00D12491" w:rsidRPr="000B76DB" w:rsidRDefault="00D12491" w:rsidP="00317E99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 w:rsidRPr="0034075A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797B9A35" w14:textId="77777777" w:rsidR="00806344" w:rsidRPr="00D12491" w:rsidRDefault="00806344" w:rsidP="000B76DB">
      <w:pPr>
        <w:tabs>
          <w:tab w:val="left" w:pos="5540"/>
        </w:tabs>
        <w:jc w:val="both"/>
        <w:rPr>
          <w:lang w:val="lt-LT"/>
        </w:rPr>
      </w:pPr>
    </w:p>
    <w:p w14:paraId="507BFD7E" w14:textId="77777777" w:rsidR="00D12491" w:rsidRPr="00D12491" w:rsidRDefault="00D12491" w:rsidP="00D12491">
      <w:pPr>
        <w:tabs>
          <w:tab w:val="left" w:pos="5540"/>
        </w:tabs>
        <w:rPr>
          <w:lang w:val="lt-LT"/>
        </w:rPr>
      </w:pPr>
      <w:r w:rsidRPr="00D12491">
        <w:rPr>
          <w:lang w:val="lt-LT"/>
        </w:rPr>
        <w:t>TVIRTINA:</w:t>
      </w:r>
    </w:p>
    <w:p w14:paraId="3DC8C1DF" w14:textId="7B274C3F" w:rsidR="00806344" w:rsidRPr="00D12491" w:rsidRDefault="00E05E07" w:rsidP="00806344">
      <w:pPr>
        <w:widowControl w:val="0"/>
        <w:jc w:val="both"/>
        <w:rPr>
          <w:lang w:val="lt-LT"/>
        </w:rPr>
      </w:pPr>
      <w:r>
        <w:rPr>
          <w:lang w:val="lt-LT"/>
        </w:rPr>
        <w:t>Teatro vadovas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Aurimas Žvinys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806344" w:rsidRPr="00D12491" w14:paraId="3465CFB7" w14:textId="77777777" w:rsidTr="00D6732F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5ABB" w14:textId="77777777" w:rsidR="00806344" w:rsidRPr="000B76DB" w:rsidRDefault="00806344" w:rsidP="00D6732F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</w:t>
            </w:r>
            <w:r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Vadovo pareigos</w:t>
            </w: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)</w:t>
            </w:r>
          </w:p>
        </w:tc>
        <w:tc>
          <w:tcPr>
            <w:tcW w:w="284" w:type="dxa"/>
          </w:tcPr>
          <w:p w14:paraId="101FA628" w14:textId="77777777" w:rsidR="00806344" w:rsidRPr="000B76DB" w:rsidRDefault="00806344" w:rsidP="00D6732F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076D" w14:textId="77777777" w:rsidR="00806344" w:rsidRPr="000B76DB" w:rsidRDefault="00806344" w:rsidP="00D6732F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8C7B199" w14:textId="77777777" w:rsidR="00806344" w:rsidRPr="000B76DB" w:rsidRDefault="00806344" w:rsidP="00D6732F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FB9F" w14:textId="77777777" w:rsidR="00806344" w:rsidRPr="000B76DB" w:rsidRDefault="00806344" w:rsidP="00D6732F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 w:rsidRPr="00341C68">
              <w:rPr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40DE67DD" w14:textId="77777777" w:rsidR="00806344" w:rsidRPr="00D12491" w:rsidRDefault="00806344" w:rsidP="0057500B">
      <w:pPr>
        <w:tabs>
          <w:tab w:val="left" w:pos="5540"/>
        </w:tabs>
        <w:rPr>
          <w:lang w:val="lt-LT"/>
        </w:rPr>
      </w:pPr>
    </w:p>
    <w:sectPr w:rsidR="00806344" w:rsidRPr="00D12491" w:rsidSect="00540DF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AB6CD" w14:textId="77777777" w:rsidR="00EC2551" w:rsidRDefault="00EC2551" w:rsidP="00D12491">
      <w:r>
        <w:separator/>
      </w:r>
    </w:p>
  </w:endnote>
  <w:endnote w:type="continuationSeparator" w:id="0">
    <w:p w14:paraId="7012B38F" w14:textId="77777777" w:rsidR="00EC2551" w:rsidRDefault="00EC2551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F8570" w14:textId="77777777" w:rsidR="00EC2551" w:rsidRDefault="00EC2551" w:rsidP="00D12491">
      <w:r>
        <w:separator/>
      </w:r>
    </w:p>
  </w:footnote>
  <w:footnote w:type="continuationSeparator" w:id="0">
    <w:p w14:paraId="3ACF1155" w14:textId="77777777" w:rsidR="00EC2551" w:rsidRDefault="00EC2551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95509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979EF81" w14:textId="0F333DBC" w:rsidR="00D12491" w:rsidRDefault="00D12491" w:rsidP="00A21313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61800A" w14:textId="77777777" w:rsidR="00D12491" w:rsidRDefault="00D12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21559132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Header"/>
          <w:framePr w:wrap="none" w:vAnchor="text" w:hAnchor="margin" w:xAlign="center" w:y="1"/>
          <w:rPr>
            <w:rStyle w:val="PageNumber"/>
            <w:rFonts w:ascii="Times New Roman" w:hAnsi="Times New Roman"/>
          </w:rPr>
        </w:pPr>
        <w:r w:rsidRPr="00D12491">
          <w:rPr>
            <w:rStyle w:val="PageNumber"/>
            <w:rFonts w:ascii="Times New Roman" w:hAnsi="Times New Roman"/>
          </w:rPr>
          <w:fldChar w:fldCharType="begin"/>
        </w:r>
        <w:r w:rsidRPr="00D12491">
          <w:rPr>
            <w:rStyle w:val="PageNumber"/>
            <w:rFonts w:ascii="Times New Roman" w:hAnsi="Times New Roman"/>
          </w:rPr>
          <w:instrText xml:space="preserve"> PAGE </w:instrText>
        </w:r>
        <w:r w:rsidRPr="00D12491">
          <w:rPr>
            <w:rStyle w:val="PageNumber"/>
            <w:rFonts w:ascii="Times New Roman" w:hAnsi="Times New Roman"/>
          </w:rPr>
          <w:fldChar w:fldCharType="separate"/>
        </w:r>
        <w:r w:rsidR="0057500B">
          <w:rPr>
            <w:rStyle w:val="PageNumber"/>
            <w:rFonts w:ascii="Times New Roman" w:hAnsi="Times New Roman"/>
            <w:noProof/>
          </w:rPr>
          <w:t>2</w:t>
        </w:r>
        <w:r w:rsidRPr="00D12491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32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16D4B"/>
    <w:rsid w:val="00017D77"/>
    <w:rsid w:val="000330D5"/>
    <w:rsid w:val="00046D4D"/>
    <w:rsid w:val="00081E86"/>
    <w:rsid w:val="000853BC"/>
    <w:rsid w:val="000B3C08"/>
    <w:rsid w:val="000B76DB"/>
    <w:rsid w:val="000E47B2"/>
    <w:rsid w:val="000F392F"/>
    <w:rsid w:val="00106DD4"/>
    <w:rsid w:val="00132A35"/>
    <w:rsid w:val="001A440D"/>
    <w:rsid w:val="001E20A1"/>
    <w:rsid w:val="001F5B8A"/>
    <w:rsid w:val="001F67F1"/>
    <w:rsid w:val="00203272"/>
    <w:rsid w:val="00261838"/>
    <w:rsid w:val="00280DBC"/>
    <w:rsid w:val="00291776"/>
    <w:rsid w:val="002A074A"/>
    <w:rsid w:val="002B3730"/>
    <w:rsid w:val="002B69FC"/>
    <w:rsid w:val="002C3EDA"/>
    <w:rsid w:val="002C6F92"/>
    <w:rsid w:val="002E2B05"/>
    <w:rsid w:val="0033797F"/>
    <w:rsid w:val="0034075A"/>
    <w:rsid w:val="003421D2"/>
    <w:rsid w:val="00353BDC"/>
    <w:rsid w:val="003A79B5"/>
    <w:rsid w:val="003B6C26"/>
    <w:rsid w:val="003C34A2"/>
    <w:rsid w:val="003E3B1C"/>
    <w:rsid w:val="003E6ECC"/>
    <w:rsid w:val="003F1B1F"/>
    <w:rsid w:val="00446011"/>
    <w:rsid w:val="004702E7"/>
    <w:rsid w:val="004F00C5"/>
    <w:rsid w:val="00530220"/>
    <w:rsid w:val="005310DB"/>
    <w:rsid w:val="005405A6"/>
    <w:rsid w:val="00540DF8"/>
    <w:rsid w:val="00560182"/>
    <w:rsid w:val="0057500B"/>
    <w:rsid w:val="00576866"/>
    <w:rsid w:val="00585D49"/>
    <w:rsid w:val="00586664"/>
    <w:rsid w:val="005A0F30"/>
    <w:rsid w:val="005D08BF"/>
    <w:rsid w:val="005E4ACC"/>
    <w:rsid w:val="005F1E37"/>
    <w:rsid w:val="0060528A"/>
    <w:rsid w:val="00613343"/>
    <w:rsid w:val="00630C47"/>
    <w:rsid w:val="00663CCD"/>
    <w:rsid w:val="00692734"/>
    <w:rsid w:val="006A757D"/>
    <w:rsid w:val="006D5B2B"/>
    <w:rsid w:val="006E11D6"/>
    <w:rsid w:val="006F3A7F"/>
    <w:rsid w:val="006F4F3E"/>
    <w:rsid w:val="00720EE9"/>
    <w:rsid w:val="007344AB"/>
    <w:rsid w:val="00753A3A"/>
    <w:rsid w:val="00766A5C"/>
    <w:rsid w:val="007D28FF"/>
    <w:rsid w:val="007F7A07"/>
    <w:rsid w:val="00806344"/>
    <w:rsid w:val="00806893"/>
    <w:rsid w:val="00834CF1"/>
    <w:rsid w:val="0084671E"/>
    <w:rsid w:val="00857C70"/>
    <w:rsid w:val="00870458"/>
    <w:rsid w:val="008824F9"/>
    <w:rsid w:val="00887B18"/>
    <w:rsid w:val="00894D91"/>
    <w:rsid w:val="008A6E20"/>
    <w:rsid w:val="008B5381"/>
    <w:rsid w:val="008C333A"/>
    <w:rsid w:val="008C3412"/>
    <w:rsid w:val="008D2A4C"/>
    <w:rsid w:val="008D2B8E"/>
    <w:rsid w:val="008E2D17"/>
    <w:rsid w:val="008E770F"/>
    <w:rsid w:val="008F1F1D"/>
    <w:rsid w:val="008F69D3"/>
    <w:rsid w:val="00915E9B"/>
    <w:rsid w:val="00920B0F"/>
    <w:rsid w:val="00941C4C"/>
    <w:rsid w:val="009634EA"/>
    <w:rsid w:val="00963B60"/>
    <w:rsid w:val="00975410"/>
    <w:rsid w:val="009B067C"/>
    <w:rsid w:val="009E0C09"/>
    <w:rsid w:val="00A17757"/>
    <w:rsid w:val="00A47E42"/>
    <w:rsid w:val="00A87F3A"/>
    <w:rsid w:val="00AB19AC"/>
    <w:rsid w:val="00AB5B7D"/>
    <w:rsid w:val="00AC3197"/>
    <w:rsid w:val="00AD66BB"/>
    <w:rsid w:val="00AD69D8"/>
    <w:rsid w:val="00AE6B34"/>
    <w:rsid w:val="00B4518A"/>
    <w:rsid w:val="00BD2495"/>
    <w:rsid w:val="00BD4BDF"/>
    <w:rsid w:val="00C130E2"/>
    <w:rsid w:val="00C30E9F"/>
    <w:rsid w:val="00C35384"/>
    <w:rsid w:val="00C76325"/>
    <w:rsid w:val="00C813B3"/>
    <w:rsid w:val="00C902F1"/>
    <w:rsid w:val="00C915A4"/>
    <w:rsid w:val="00C978BE"/>
    <w:rsid w:val="00C97F61"/>
    <w:rsid w:val="00CA2A69"/>
    <w:rsid w:val="00CA64F2"/>
    <w:rsid w:val="00CB198F"/>
    <w:rsid w:val="00CE08CE"/>
    <w:rsid w:val="00CF2C8D"/>
    <w:rsid w:val="00CF75CC"/>
    <w:rsid w:val="00D12491"/>
    <w:rsid w:val="00D30AA0"/>
    <w:rsid w:val="00D45505"/>
    <w:rsid w:val="00D92A1E"/>
    <w:rsid w:val="00DB5BF3"/>
    <w:rsid w:val="00DC1470"/>
    <w:rsid w:val="00DD166A"/>
    <w:rsid w:val="00E05E07"/>
    <w:rsid w:val="00E1364C"/>
    <w:rsid w:val="00E15BAB"/>
    <w:rsid w:val="00E21EE3"/>
    <w:rsid w:val="00E40C61"/>
    <w:rsid w:val="00E7501A"/>
    <w:rsid w:val="00E80125"/>
    <w:rsid w:val="00EB2111"/>
    <w:rsid w:val="00EC2551"/>
    <w:rsid w:val="00EC3A11"/>
    <w:rsid w:val="00EC7E60"/>
    <w:rsid w:val="00F02660"/>
    <w:rsid w:val="00F53FB0"/>
    <w:rsid w:val="00FD1E2A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docId w15:val="{D6964101-E464-459E-BD2F-1D462C25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Header">
    <w:name w:val="header"/>
    <w:basedOn w:val="Normal"/>
    <w:link w:val="HeaderChar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HeaderChar">
    <w:name w:val="Header Char"/>
    <w:basedOn w:val="DefaultParagraphFont"/>
    <w:link w:val="Header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12491"/>
  </w:style>
  <w:style w:type="paragraph" w:styleId="Footer">
    <w:name w:val="footer"/>
    <w:basedOn w:val="Normal"/>
    <w:link w:val="FooterChar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1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776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776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76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7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Lipskytė</dc:creator>
  <cp:lastModifiedBy>Šarūnė Vaikasienė</cp:lastModifiedBy>
  <cp:revision>2</cp:revision>
  <dcterms:created xsi:type="dcterms:W3CDTF">2024-10-02T09:05:00Z</dcterms:created>
  <dcterms:modified xsi:type="dcterms:W3CDTF">2024-10-02T09:05:00Z</dcterms:modified>
</cp:coreProperties>
</file>