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07C" w:rsidRDefault="0088307C" w:rsidP="009A3FFB">
      <w:pPr>
        <w:shd w:val="clear" w:color="auto" w:fill="FFFFFF"/>
        <w:spacing w:after="0" w:line="312" w:lineRule="atLeast"/>
        <w:textAlignment w:val="baseline"/>
        <w:outlineLvl w:val="1"/>
        <w:rPr>
          <w:rFonts w:eastAsia="Times New Roman" w:cs="Times New Roman"/>
          <w:b/>
          <w:bCs/>
          <w:spacing w:val="8"/>
          <w:sz w:val="27"/>
          <w:szCs w:val="27"/>
          <w:lang w:val="en-US" w:eastAsia="lt-LT"/>
        </w:rPr>
      </w:pPr>
      <w:r>
        <w:rPr>
          <w:rFonts w:ascii="Open Sans" w:eastAsia="Times New Roman" w:hAnsi="Open Sans" w:cs="Times New Roman"/>
          <w:b/>
          <w:bCs/>
          <w:spacing w:val="8"/>
          <w:sz w:val="27"/>
          <w:szCs w:val="27"/>
          <w:lang w:eastAsia="lt-LT"/>
        </w:rPr>
        <w:t>Perversmas kompozitų pasaulyje-viena spalva visai spalvų gamai</w:t>
      </w:r>
      <w:r>
        <w:rPr>
          <w:rFonts w:eastAsia="Times New Roman" w:cs="Times New Roman"/>
          <w:b/>
          <w:bCs/>
          <w:spacing w:val="8"/>
          <w:sz w:val="27"/>
          <w:szCs w:val="27"/>
          <w:lang w:val="en-US" w:eastAsia="lt-LT"/>
        </w:rPr>
        <w:t>!!!!</w:t>
      </w:r>
    </w:p>
    <w:p w:rsidR="0088307C" w:rsidRPr="0088307C" w:rsidRDefault="0088307C" w:rsidP="009A3FFB">
      <w:pPr>
        <w:shd w:val="clear" w:color="auto" w:fill="FFFFFF"/>
        <w:spacing w:after="0" w:line="312" w:lineRule="atLeast"/>
        <w:textAlignment w:val="baseline"/>
        <w:outlineLvl w:val="1"/>
        <w:rPr>
          <w:rFonts w:eastAsia="Times New Roman" w:cs="Times New Roman"/>
          <w:b/>
          <w:bCs/>
          <w:spacing w:val="8"/>
          <w:sz w:val="27"/>
          <w:szCs w:val="27"/>
          <w:lang w:val="en-US" w:eastAsia="lt-LT"/>
        </w:rPr>
      </w:pPr>
      <w:r>
        <w:rPr>
          <w:rFonts w:eastAsia="Times New Roman" w:cs="Times New Roman"/>
          <w:b/>
          <w:bCs/>
          <w:spacing w:val="8"/>
          <w:sz w:val="27"/>
          <w:szCs w:val="27"/>
          <w:lang w:val="en-US" w:eastAsia="lt-LT"/>
        </w:rPr>
        <w:t>Omnichroma</w:t>
      </w:r>
    </w:p>
    <w:p w:rsidR="0088307C" w:rsidRDefault="00000000" w:rsidP="009A3FFB">
      <w:pPr>
        <w:shd w:val="clear" w:color="auto" w:fill="FFFFFF"/>
        <w:spacing w:after="0" w:line="312" w:lineRule="atLeast"/>
        <w:textAlignment w:val="baseline"/>
        <w:outlineLvl w:val="1"/>
        <w:rPr>
          <w:rStyle w:val="Hipersaitas"/>
        </w:rPr>
      </w:pPr>
      <w:hyperlink r:id="rId4" w:history="1">
        <w:r w:rsidR="0088307C">
          <w:rPr>
            <w:rStyle w:val="Hipersaitas"/>
          </w:rPr>
          <w:t>https://www.tokuyama-us.com/omnichroma-dental-composite/</w:t>
        </w:r>
      </w:hyperlink>
    </w:p>
    <w:p w:rsidR="000C2F03" w:rsidRDefault="000C2F03" w:rsidP="009A3FFB">
      <w:pPr>
        <w:shd w:val="clear" w:color="auto" w:fill="FFFFFF"/>
        <w:spacing w:after="0" w:line="312" w:lineRule="atLeast"/>
        <w:textAlignment w:val="baseline"/>
        <w:outlineLvl w:val="1"/>
      </w:pPr>
      <w:hyperlink r:id="rId5" w:history="1">
        <w:r w:rsidRPr="00317F34">
          <w:rPr>
            <w:rStyle w:val="Hipersaitas"/>
          </w:rPr>
          <w:t>https://tokuyama-dental.de/en/shop/composite/10112-omnichroma</w:t>
        </w:r>
      </w:hyperlink>
    </w:p>
    <w:p w:rsidR="000C2F03" w:rsidRDefault="000C2F03" w:rsidP="009A3FFB">
      <w:pPr>
        <w:shd w:val="clear" w:color="auto" w:fill="FFFFFF"/>
        <w:spacing w:after="0" w:line="312" w:lineRule="atLeast"/>
        <w:textAlignment w:val="baseline"/>
        <w:outlineLvl w:val="1"/>
      </w:pPr>
      <w:hyperlink r:id="rId6" w:history="1">
        <w:r w:rsidRPr="00317F34">
          <w:rPr>
            <w:rStyle w:val="Hipersaitas"/>
          </w:rPr>
          <w:t>https://tokuyama-dental.de/en/shop/composite/10113-omnichroma-blocker</w:t>
        </w:r>
      </w:hyperlink>
    </w:p>
    <w:p w:rsidR="000C2F03" w:rsidRDefault="000C2F03" w:rsidP="009A3FFB">
      <w:pPr>
        <w:shd w:val="clear" w:color="auto" w:fill="FFFFFF"/>
        <w:spacing w:after="0" w:line="312" w:lineRule="atLeast"/>
        <w:textAlignment w:val="baseline"/>
        <w:outlineLvl w:val="1"/>
      </w:pPr>
    </w:p>
    <w:p w:rsidR="0088307C" w:rsidRDefault="0088307C" w:rsidP="009A3FFB">
      <w:pPr>
        <w:shd w:val="clear" w:color="auto" w:fill="FFFFFF"/>
        <w:spacing w:after="0" w:line="312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spacing w:val="8"/>
          <w:sz w:val="27"/>
          <w:szCs w:val="27"/>
          <w:lang w:eastAsia="lt-LT"/>
        </w:rPr>
      </w:pPr>
    </w:p>
    <w:p w:rsidR="0088307C" w:rsidRDefault="0088307C" w:rsidP="009A3FFB">
      <w:pPr>
        <w:shd w:val="clear" w:color="auto" w:fill="FFFFFF"/>
        <w:spacing w:after="0" w:line="312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spacing w:val="8"/>
          <w:sz w:val="27"/>
          <w:szCs w:val="27"/>
          <w:lang w:eastAsia="lt-LT"/>
        </w:rPr>
      </w:pPr>
    </w:p>
    <w:p w:rsidR="0088307C" w:rsidRDefault="0088307C" w:rsidP="009A3FFB">
      <w:pPr>
        <w:shd w:val="clear" w:color="auto" w:fill="FFFFFF"/>
        <w:spacing w:after="0" w:line="312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spacing w:val="8"/>
          <w:sz w:val="27"/>
          <w:szCs w:val="27"/>
          <w:lang w:eastAsia="lt-LT"/>
        </w:rPr>
      </w:pPr>
    </w:p>
    <w:p w:rsidR="0088307C" w:rsidRDefault="0088307C" w:rsidP="009A3FFB">
      <w:pPr>
        <w:shd w:val="clear" w:color="auto" w:fill="FFFFFF"/>
        <w:spacing w:after="0" w:line="312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spacing w:val="8"/>
          <w:sz w:val="27"/>
          <w:szCs w:val="27"/>
          <w:lang w:eastAsia="lt-LT"/>
        </w:rPr>
      </w:pPr>
    </w:p>
    <w:p w:rsidR="0088307C" w:rsidRDefault="0088307C" w:rsidP="009A3FFB">
      <w:pPr>
        <w:shd w:val="clear" w:color="auto" w:fill="FFFFFF"/>
        <w:spacing w:after="0" w:line="312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spacing w:val="8"/>
          <w:sz w:val="27"/>
          <w:szCs w:val="27"/>
          <w:lang w:eastAsia="lt-LT"/>
        </w:rPr>
      </w:pPr>
    </w:p>
    <w:p w:rsidR="0088307C" w:rsidRDefault="0088307C" w:rsidP="009A3FFB">
      <w:pPr>
        <w:shd w:val="clear" w:color="auto" w:fill="FFFFFF"/>
        <w:spacing w:after="0" w:line="312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spacing w:val="8"/>
          <w:sz w:val="27"/>
          <w:szCs w:val="27"/>
          <w:lang w:eastAsia="lt-LT"/>
        </w:rPr>
      </w:pPr>
    </w:p>
    <w:p w:rsidR="009A3FFB" w:rsidRPr="009A3FFB" w:rsidRDefault="009A3FFB" w:rsidP="009A3FFB">
      <w:pPr>
        <w:shd w:val="clear" w:color="auto" w:fill="FFFFFF"/>
        <w:spacing w:after="0" w:line="312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spacing w:val="8"/>
          <w:sz w:val="27"/>
          <w:szCs w:val="27"/>
          <w:lang w:eastAsia="lt-LT"/>
        </w:rPr>
      </w:pPr>
      <w:r w:rsidRPr="009A3FFB">
        <w:rPr>
          <w:rFonts w:ascii="Open Sans" w:eastAsia="Times New Roman" w:hAnsi="Open Sans" w:cs="Times New Roman"/>
          <w:b/>
          <w:bCs/>
          <w:spacing w:val="8"/>
          <w:sz w:val="27"/>
          <w:szCs w:val="27"/>
          <w:lang w:eastAsia="lt-LT"/>
        </w:rPr>
        <w:t>One Shade</w:t>
      </w:r>
    </w:p>
    <w:p w:rsidR="009A3FFB" w:rsidRPr="009A3FFB" w:rsidRDefault="009A3FFB" w:rsidP="009A3FFB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</w:pPr>
      <w:r w:rsidRPr="009A3FFB"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  <w:t>OMNICHROMA offers a single shade of composite that matches every tooth from A1 to D4 and beyond.</w:t>
      </w:r>
    </w:p>
    <w:p w:rsidR="009A3FFB" w:rsidRPr="009A3FFB" w:rsidRDefault="009A3FFB" w:rsidP="009A3FFB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</w:pPr>
      <w:r w:rsidRPr="009A3FFB"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  <w:t>OMNICHROMA follows a standard, easy-to-use procedure for most cases. While opaque-white before curing, OMNICHROMA becomes natural in appearance and matches the color of the surrounding tooth after light curing.</w:t>
      </w:r>
    </w:p>
    <w:p w:rsidR="009A3FFB" w:rsidRPr="009A3FFB" w:rsidRDefault="009A3FFB" w:rsidP="009A3FFB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</w:pPr>
      <w:r w:rsidRPr="009A3FFB">
        <w:rPr>
          <w:rFonts w:ascii="inherit" w:eastAsia="Times New Roman" w:hAnsi="inherit" w:cs="Times New Roman"/>
          <w:noProof/>
          <w:color w:val="222222"/>
          <w:sz w:val="21"/>
          <w:szCs w:val="21"/>
          <w:lang w:eastAsia="lt-LT"/>
        </w:rPr>
        <w:lastRenderedPageBreak/>
        <w:drawing>
          <wp:inline distT="0" distB="0" distL="0" distR="0" wp14:anchorId="4D1DCB58" wp14:editId="0B0EDCD1">
            <wp:extent cx="7315200" cy="5303520"/>
            <wp:effectExtent l="0" t="0" r="0" b="0"/>
            <wp:docPr id="1" name="Picture 1" descr="https://www.tokuyama-us.com/wp-content/uploads/2019/01/omnichroma-proced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okuyama-us.com/wp-content/uploads/2019/01/omnichroma-procedur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FB" w:rsidRPr="009A3FFB" w:rsidRDefault="009A3FFB" w:rsidP="009A3FFB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</w:pPr>
      <w:r w:rsidRPr="009A3FFB">
        <w:rPr>
          <w:rFonts w:ascii="inherit" w:eastAsia="Times New Roman" w:hAnsi="inherit" w:cs="Times New Roman"/>
          <w:noProof/>
          <w:color w:val="222222"/>
          <w:sz w:val="21"/>
          <w:szCs w:val="21"/>
          <w:lang w:eastAsia="lt-LT"/>
        </w:rPr>
        <w:lastRenderedPageBreak/>
        <w:drawing>
          <wp:inline distT="0" distB="0" distL="0" distR="0" wp14:anchorId="5439FC57" wp14:editId="4F927B35">
            <wp:extent cx="7315200" cy="7315200"/>
            <wp:effectExtent l="0" t="0" r="0" b="0"/>
            <wp:docPr id="2" name="Picture 2" descr="https://www.tokuyama-us.com/wp-content/uploads/2019/01/Omnichroma-syringe-1200-sq-768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okuyama-us.com/wp-content/uploads/2019/01/Omnichroma-syringe-1200-sq-768x7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FB" w:rsidRPr="009A3FFB" w:rsidRDefault="009A3FFB" w:rsidP="009A3FFB">
      <w:pPr>
        <w:shd w:val="clear" w:color="auto" w:fill="FFFFFF"/>
        <w:spacing w:after="384" w:line="408" w:lineRule="atLeast"/>
        <w:textAlignment w:val="baseline"/>
        <w:rPr>
          <w:rFonts w:ascii="Open Sans" w:eastAsia="Times New Roman" w:hAnsi="Open Sans" w:cs="Times New Roman"/>
          <w:color w:val="222222"/>
          <w:sz w:val="21"/>
          <w:szCs w:val="21"/>
          <w:lang w:eastAsia="lt-LT"/>
        </w:rPr>
      </w:pPr>
      <w:r w:rsidRPr="009A3FFB">
        <w:rPr>
          <w:rFonts w:ascii="Open Sans" w:eastAsia="Times New Roman" w:hAnsi="Open Sans" w:cs="Times New Roman"/>
          <w:color w:val="222222"/>
          <w:sz w:val="21"/>
          <w:szCs w:val="21"/>
          <w:lang w:eastAsia="lt-LT"/>
        </w:rPr>
        <w:lastRenderedPageBreak/>
        <w:t> </w:t>
      </w:r>
    </w:p>
    <w:p w:rsidR="009A3FFB" w:rsidRPr="009A3FFB" w:rsidRDefault="009A3FFB" w:rsidP="009A3FFB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</w:pPr>
      <w:r w:rsidRPr="009A3FFB">
        <w:rPr>
          <w:rFonts w:ascii="inherit" w:eastAsia="Times New Roman" w:hAnsi="inherit" w:cs="Times New Roman"/>
          <w:b/>
          <w:bCs/>
          <w:color w:val="222222"/>
          <w:sz w:val="21"/>
          <w:szCs w:val="21"/>
          <w:bdr w:val="none" w:sz="0" w:space="0" w:color="auto" w:frame="1"/>
          <w:lang w:eastAsia="lt-LT"/>
        </w:rPr>
        <w:t>For Large Anterior Cases:</w:t>
      </w:r>
    </w:p>
    <w:p w:rsidR="009A3FFB" w:rsidRPr="009A3FFB" w:rsidRDefault="009A3FFB" w:rsidP="009A3FFB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</w:pPr>
      <w:r w:rsidRPr="009A3FFB"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  <w:t>For use with large and extensive anterior cases, Tokuyama offers OMNICHROMA BLOCKER, a supplementary material to be used in conjunction with OMNICHROMA for the direct restoration of extensive Class III and IV cavities.</w:t>
      </w:r>
    </w:p>
    <w:p w:rsidR="009A3FFB" w:rsidRPr="009A3FFB" w:rsidRDefault="009A3FFB" w:rsidP="009A3FFB">
      <w:pPr>
        <w:shd w:val="clear" w:color="auto" w:fill="FFFFFF"/>
        <w:spacing w:after="384" w:line="408" w:lineRule="atLeast"/>
        <w:textAlignment w:val="baseline"/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</w:pPr>
      <w:r w:rsidRPr="009A3FFB"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  <w:t>OMNICHROMA BLOCKER can be used as a lingual layer to prevent shade-matching interference in these cases. OMNICHROMA BLOCKER can also be used to mask slight staining, or to reconstruct a highly opaque tooth.</w:t>
      </w:r>
    </w:p>
    <w:p w:rsidR="009A3FFB" w:rsidRPr="009A3FFB" w:rsidRDefault="009A3FFB" w:rsidP="009A3FFB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222222"/>
          <w:sz w:val="21"/>
          <w:szCs w:val="21"/>
          <w:lang w:eastAsia="lt-LT"/>
        </w:rPr>
      </w:pPr>
      <w:r w:rsidRPr="009A3FFB">
        <w:rPr>
          <w:rFonts w:ascii="inherit" w:eastAsia="Times New Roman" w:hAnsi="inherit" w:cs="Times New Roman"/>
          <w:noProof/>
          <w:color w:val="222222"/>
          <w:sz w:val="21"/>
          <w:szCs w:val="21"/>
          <w:lang w:eastAsia="lt-LT"/>
        </w:rPr>
        <w:drawing>
          <wp:inline distT="0" distB="0" distL="0" distR="0" wp14:anchorId="418D85C8" wp14:editId="6D522837">
            <wp:extent cx="7315200" cy="2522220"/>
            <wp:effectExtent l="0" t="0" r="0" b="0"/>
            <wp:docPr id="3" name="Picture 3" descr="https://www.tokuyama-us.com/wp-content/uploads/2019/01/omnichroma-proced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okuyama-us.com/wp-content/uploads/2019/01/omnichroma-procedur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68C" w:rsidRDefault="0052568C"/>
    <w:sectPr w:rsidR="0052568C" w:rsidSect="009A3FFB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roman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FB"/>
    <w:rsid w:val="000C2F03"/>
    <w:rsid w:val="0052568C"/>
    <w:rsid w:val="0088307C"/>
    <w:rsid w:val="009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1D04"/>
  <w15:docId w15:val="{6D343500-CB92-4BAB-97AA-5119DA74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3FFB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8307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2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2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22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kuyama-dental.de/en/shop/composite/10113-omnichroma-block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kuyama-dental.de/en/shop/composite/10112-omnichrom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okuyama-us.com/omnichroma-dental-composite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 Bartaseviciene</cp:lastModifiedBy>
  <cp:revision>2</cp:revision>
  <dcterms:created xsi:type="dcterms:W3CDTF">2023-07-19T13:45:00Z</dcterms:created>
  <dcterms:modified xsi:type="dcterms:W3CDTF">2023-07-19T13:45:00Z</dcterms:modified>
</cp:coreProperties>
</file>