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39"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639"/>
      </w:tblGrid>
      <w:tr>
        <w:trPr/>
        <w:tc>
          <w:tcPr>
            <w:tcW w:w="9639" w:type="dxa"/>
            <w:tcBorders/>
          </w:tcPr>
          <w:p>
            <w:pPr>
              <w:pStyle w:val="Normal"/>
              <w:tabs>
                <w:tab w:val="clear" w:pos="1296"/>
                <w:tab w:val="left" w:pos="851" w:leader="none"/>
              </w:tabs>
              <w:spacing w:lineRule="auto" w:line="240" w:before="0" w:after="0"/>
              <w:ind w:firstLine="720"/>
              <w:jc w:val="center"/>
              <w:rPr>
                <w:rFonts w:eastAsia="Times New Roman"/>
                <w:b/>
                <w:szCs w:val="24"/>
                <w:lang w:eastAsia="lt-LT"/>
              </w:rPr>
            </w:pPr>
            <w:r>
              <w:rPr>
                <w:rFonts w:eastAsia="Times New Roman"/>
                <w:b/>
                <w:szCs w:val="24"/>
                <w:lang w:eastAsia="lt-LT"/>
              </w:rPr>
            </w:r>
          </w:p>
          <w:p>
            <w:pPr>
              <w:pStyle w:val="Normal"/>
              <w:spacing w:lineRule="auto" w:line="240" w:before="0" w:after="0"/>
              <w:ind w:firstLine="720"/>
              <w:jc w:val="center"/>
              <w:rPr>
                <w:rFonts w:eastAsia="Times New Roman"/>
                <w:b/>
                <w:szCs w:val="24"/>
              </w:rPr>
            </w:pPr>
            <w:r>
              <w:rPr>
                <w:b/>
                <w:szCs w:val="24"/>
              </w:rPr>
              <w:t>PASLAUGŲ TEIKIMO SUTARTIS</w:t>
            </w:r>
          </w:p>
          <w:p>
            <w:pPr>
              <w:pStyle w:val="Normal"/>
              <w:tabs>
                <w:tab w:val="clear" w:pos="1296"/>
                <w:tab w:val="left" w:pos="851" w:leader="none"/>
              </w:tabs>
              <w:spacing w:lineRule="auto" w:line="240" w:before="0" w:after="0"/>
              <w:ind w:firstLine="720"/>
              <w:jc w:val="center"/>
              <w:rPr>
                <w:rFonts w:eastAsia="Times New Roman"/>
                <w:lang w:eastAsia="lt-LT"/>
              </w:rPr>
            </w:pPr>
            <w:r>
              <w:rPr>
                <w:rFonts w:eastAsia="Times New Roman"/>
                <w:lang w:eastAsia="lt-LT"/>
              </w:rPr>
            </w:r>
          </w:p>
          <w:p>
            <w:pPr>
              <w:pStyle w:val="Normal"/>
              <w:tabs>
                <w:tab w:val="clear" w:pos="1296"/>
                <w:tab w:val="left" w:pos="851" w:leader="none"/>
              </w:tabs>
              <w:spacing w:lineRule="auto" w:line="240" w:before="0" w:after="0"/>
              <w:ind w:firstLine="720"/>
              <w:jc w:val="center"/>
              <w:rPr>
                <w:rFonts w:eastAsia="Times New Roman"/>
                <w:lang w:eastAsia="lt-LT"/>
              </w:rPr>
            </w:pPr>
            <w:r>
              <w:rPr>
                <w:rFonts w:eastAsia="Times New Roman"/>
                <w:lang w:eastAsia="lt-LT"/>
              </w:rPr>
              <w:t>2024 m.  rugsėjo 20 d. Nr. MS-2024/30</w:t>
            </w:r>
          </w:p>
          <w:p>
            <w:pPr>
              <w:pStyle w:val="Normal"/>
              <w:tabs>
                <w:tab w:val="clear" w:pos="1296"/>
                <w:tab w:val="left" w:pos="851" w:leader="none"/>
              </w:tabs>
              <w:spacing w:lineRule="auto" w:line="240" w:before="0" w:after="0"/>
              <w:ind w:firstLine="720"/>
              <w:jc w:val="center"/>
              <w:rPr>
                <w:rFonts w:eastAsia="Times New Roman"/>
                <w:szCs w:val="24"/>
                <w:lang w:eastAsia="lt-LT"/>
              </w:rPr>
            </w:pPr>
            <w:r>
              <w:rPr>
                <w:rFonts w:eastAsia="Times New Roman"/>
                <w:szCs w:val="24"/>
                <w:lang w:eastAsia="lt-LT"/>
              </w:rPr>
              <w:t>Vilnius</w:t>
            </w:r>
          </w:p>
          <w:p>
            <w:pPr>
              <w:pStyle w:val="Normal"/>
              <w:tabs>
                <w:tab w:val="clear" w:pos="1296"/>
                <w:tab w:val="left" w:pos="851" w:leader="none"/>
              </w:tabs>
              <w:spacing w:lineRule="auto" w:line="240" w:before="0" w:after="0"/>
              <w:ind w:firstLine="720"/>
              <w:rPr>
                <w:rFonts w:eastAsia="Times New Roman"/>
                <w:iCs/>
                <w:szCs w:val="24"/>
                <w:lang w:eastAsia="lt-LT"/>
              </w:rPr>
            </w:pPr>
            <w:r>
              <w:rPr>
                <w:rFonts w:eastAsia="Times New Roman"/>
                <w:iCs/>
                <w:szCs w:val="24"/>
                <w:lang w:eastAsia="lt-LT"/>
              </w:rPr>
            </w:r>
          </w:p>
          <w:p>
            <w:pPr>
              <w:pStyle w:val="Normal"/>
              <w:spacing w:lineRule="auto" w:line="242" w:before="0" w:after="0"/>
              <w:ind w:firstLine="532" w:left="113" w:right="224"/>
              <w:jc w:val="both"/>
              <w:rPr>
                <w:szCs w:val="24"/>
              </w:rPr>
            </w:pPr>
            <w:r>
              <w:rPr>
                <w:rFonts w:eastAsia="Times New Roman"/>
                <w:b/>
                <w:bCs/>
                <w:color w:val="00000A"/>
                <w:szCs w:val="24"/>
              </w:rPr>
              <w:t>Vyriausioji tarnybinės etikos komisija</w:t>
            </w:r>
            <w:r>
              <w:rPr>
                <w:rFonts w:eastAsia="Times New Roman"/>
                <w:color w:val="00000A"/>
                <w:szCs w:val="24"/>
              </w:rPr>
              <w:t xml:space="preserve">, juridinio asmens kodas 188736355, kurios buveinė registruota adresu A. Goštauto g. 9, Vilniuje, duomenys apie įstaigą kaupiami ir saugomi Lietuvos Respublikos juridinių asmenų registre, atstovaujama komisijos pirmininko Gedimino Sakalausko, veikiančio pagal Lietuvos Respublikos Vyriausiosios tarnybinės etikos komisijos įstatymą </w:t>
            </w:r>
            <w:r>
              <w:rPr/>
              <w:t>(toliau – Paslaugų gavėjas), viena šalis, ir</w:t>
            </w:r>
          </w:p>
          <w:p>
            <w:pPr>
              <w:pStyle w:val="Normal"/>
              <w:spacing w:lineRule="auto" w:line="240" w:before="0" w:after="0"/>
              <w:ind w:firstLine="720"/>
              <w:jc w:val="both"/>
              <w:rPr>
                <w:szCs w:val="24"/>
              </w:rPr>
            </w:pPr>
            <w:r>
              <w:rPr>
                <w:b/>
                <w:szCs w:val="24"/>
              </w:rPr>
              <w:t>Vilija Kruopienė</w:t>
            </w:r>
            <w:r>
              <w:rPr>
                <w:bCs/>
                <w:szCs w:val="24"/>
              </w:rPr>
              <w:t>,</w:t>
            </w:r>
            <w:r>
              <w:rPr>
                <w:szCs w:val="24"/>
              </w:rPr>
              <w:t xml:space="preserve"> veikianti pagal 2017 m. sausio 26 d. išduotą nuolatinio Lietuvos gyventojo individualios veiklos vykdymo pažymą Nr. 723268 (toliau – Paslaugų teikėjas), kita šalis, toliau kartu vadinami Šalimis, sudarė šią paslaugų teikimo sutartį (toliau – Sutartis).</w:t>
            </w:r>
          </w:p>
          <w:p>
            <w:pPr>
              <w:pStyle w:val="Normal"/>
              <w:spacing w:lineRule="auto" w:line="240" w:before="0" w:after="0"/>
              <w:ind w:firstLine="720"/>
              <w:jc w:val="both"/>
              <w:rPr>
                <w:szCs w:val="24"/>
              </w:rPr>
            </w:pPr>
            <w:r>
              <w:rPr>
                <w:szCs w:val="24"/>
              </w:rPr>
            </w:r>
          </w:p>
          <w:p>
            <w:pPr>
              <w:pStyle w:val="Normal"/>
              <w:tabs>
                <w:tab w:val="clear" w:pos="1296"/>
                <w:tab w:val="left" w:pos="284" w:leader="none"/>
              </w:tabs>
              <w:spacing w:lineRule="auto" w:line="240" w:before="0" w:after="0"/>
              <w:ind w:left="720"/>
              <w:jc w:val="center"/>
              <w:rPr>
                <w:rFonts w:eastAsia="Times New Roman"/>
                <w:b/>
                <w:szCs w:val="24"/>
                <w:lang w:eastAsia="lt-LT"/>
              </w:rPr>
            </w:pPr>
            <w:r>
              <w:rPr>
                <w:rFonts w:eastAsia="Times New Roman"/>
                <w:b/>
                <w:szCs w:val="24"/>
                <w:lang w:eastAsia="lt-LT"/>
              </w:rPr>
              <w:t>1. Sutarties objektas</w:t>
            </w:r>
          </w:p>
          <w:p>
            <w:pPr>
              <w:pStyle w:val="Normal"/>
              <w:tabs>
                <w:tab w:val="clear" w:pos="1296"/>
                <w:tab w:val="left" w:pos="851" w:leader="none"/>
              </w:tabs>
              <w:spacing w:lineRule="auto" w:line="240" w:before="0" w:after="0"/>
              <w:ind w:firstLine="720"/>
              <w:rPr>
                <w:rFonts w:eastAsia="Times New Roman"/>
                <w:b/>
                <w:szCs w:val="24"/>
                <w:lang w:eastAsia="lt-LT"/>
              </w:rPr>
            </w:pPr>
            <w:r>
              <w:rPr>
                <w:rFonts w:eastAsia="Times New Roman"/>
                <w:b/>
                <w:szCs w:val="24"/>
                <w:lang w:eastAsia="lt-LT"/>
              </w:rPr>
            </w:r>
          </w:p>
        </w:tc>
      </w:tr>
      <w:tr>
        <w:trPr>
          <w:trHeight w:val="1563" w:hRule="atLeast"/>
        </w:trPr>
        <w:tc>
          <w:tcPr>
            <w:tcW w:w="9639" w:type="dxa"/>
            <w:tcBorders/>
          </w:tcPr>
          <w:p>
            <w:pPr>
              <w:pStyle w:val="Heading3"/>
              <w:numPr>
                <w:ilvl w:val="0"/>
                <w:numId w:val="0"/>
              </w:numPr>
              <w:ind w:firstLine="269" w:left="449" w:right="89"/>
              <w:rPr>
                <w:color w:themeColor="text1" w:val="000000"/>
              </w:rPr>
            </w:pPr>
            <w:r>
              <w:rPr/>
              <w:t xml:space="preserve">1.1. Paslaugų teikėjas įsipareigoja </w:t>
            </w:r>
            <w:r>
              <w:rPr>
                <w:color w:themeColor="text1" w:val="000000"/>
              </w:rPr>
              <w:t>Sutarties galiojimo laikotarpiu, aptartu Sutarties 2.1 punkte, šioje Sutartyje nustatytomis sąlygomis ir tvarka, atlikti pagal Sutartį Paslaugų gavėjui reikalingas paslaugas, t. y.:</w:t>
            </w:r>
          </w:p>
          <w:p>
            <w:pPr>
              <w:pStyle w:val="Heading3"/>
              <w:numPr>
                <w:ilvl w:val="0"/>
                <w:numId w:val="0"/>
              </w:numPr>
              <w:ind w:firstLine="720" w:left="0"/>
              <w:rPr>
                <w:color w:themeColor="text1" w:val="000000"/>
                <w:szCs w:val="24"/>
              </w:rPr>
            </w:pPr>
            <w:r>
              <w:rPr>
                <w:color w:themeColor="text1" w:val="000000"/>
                <w:szCs w:val="24"/>
              </w:rPr>
              <w:t>1.1.1. pagal poreikį konsultuoti Paslaugų gavėją taisyklingo lietuvių kalbos vartojimo ir raštų stiliaus tvarkymo klausimais;</w:t>
            </w:r>
          </w:p>
          <w:p>
            <w:pPr>
              <w:pStyle w:val="Heading3"/>
              <w:numPr>
                <w:ilvl w:val="0"/>
                <w:numId w:val="0"/>
              </w:numPr>
              <w:ind w:firstLine="720" w:left="0"/>
              <w:rPr>
                <w:color w:themeColor="text1" w:val="000000"/>
                <w:szCs w:val="24"/>
              </w:rPr>
            </w:pPr>
            <w:r>
              <w:rPr>
                <w:color w:themeColor="text1" w:val="000000"/>
                <w:szCs w:val="24"/>
              </w:rPr>
              <w:t>1.1.2. redaguoti Paslaugų gavėjo pateiktų dokumentų tekstus valstybinės kalbos taisyklingumo požiūriu;</w:t>
            </w:r>
          </w:p>
          <w:p>
            <w:pPr>
              <w:pStyle w:val="Normal"/>
              <w:spacing w:lineRule="auto" w:line="240" w:before="0" w:after="0"/>
              <w:jc w:val="both"/>
              <w:rPr>
                <w:color w:themeColor="text1" w:val="000000"/>
                <w:szCs w:val="24"/>
              </w:rPr>
            </w:pPr>
            <w:r>
              <w:rPr>
                <w:color w:themeColor="text1" w:val="000000"/>
                <w:lang w:eastAsia="lt-LT"/>
              </w:rPr>
              <w:t xml:space="preserve">            </w:t>
            </w:r>
            <w:r>
              <w:rPr>
                <w:color w:themeColor="text1" w:val="000000"/>
                <w:lang w:eastAsia="lt-LT"/>
              </w:rPr>
              <w:t xml:space="preserve">1.1.3. </w:t>
            </w:r>
            <w:r>
              <w:rPr>
                <w:color w:themeColor="text1" w:val="000000"/>
                <w:szCs w:val="24"/>
              </w:rPr>
              <w:t>teikti redagavimo paslaugas laiku ir kokybiškai, laikytis Lietuvos Respublikos valstybinės kalbos įstatymo, Valstybinės lietuvių kalbos komisijos nutarimų, kitų Lietuvos Respublikos teisės aktų reikalavimų;</w:t>
            </w:r>
          </w:p>
          <w:p>
            <w:pPr>
              <w:pStyle w:val="Normal"/>
              <w:spacing w:lineRule="auto" w:line="240" w:before="0" w:after="0"/>
              <w:jc w:val="both"/>
              <w:rPr>
                <w:color w:themeColor="text1" w:val="000000"/>
              </w:rPr>
            </w:pPr>
            <w:r>
              <w:rPr>
                <w:color w:themeColor="text1" w:val="000000"/>
                <w:szCs w:val="24"/>
              </w:rPr>
              <w:t xml:space="preserve">            </w:t>
            </w:r>
            <w:r>
              <w:rPr>
                <w:color w:themeColor="text1" w:val="000000"/>
                <w:szCs w:val="24"/>
              </w:rPr>
              <w:t>1.1.4. suteikęs Sutartyje numatytas redagavimo paslaugas, pateikti sąskaitą faktūrą.</w:t>
            </w:r>
          </w:p>
          <w:p>
            <w:pPr>
              <w:pStyle w:val="Heading3"/>
              <w:numPr>
                <w:ilvl w:val="0"/>
                <w:numId w:val="0"/>
              </w:numPr>
              <w:ind w:firstLine="720" w:left="0"/>
              <w:rPr>
                <w:szCs w:val="24"/>
              </w:rPr>
            </w:pPr>
            <w:r>
              <w:rPr>
                <w:color w:themeColor="text1" w:val="000000"/>
                <w:szCs w:val="24"/>
              </w:rPr>
              <w:t xml:space="preserve">1.2. Paslaugų gavėjas įsipareigoja laiku mokėti Paslaugų teikėjui už jo suteiktas </w:t>
            </w:r>
            <w:r>
              <w:rPr>
                <w:szCs w:val="24"/>
              </w:rPr>
              <w:t>paslaugas.</w:t>
            </w:r>
          </w:p>
          <w:p>
            <w:pPr>
              <w:pStyle w:val="Heading3"/>
              <w:numPr>
                <w:ilvl w:val="0"/>
                <w:numId w:val="0"/>
              </w:numPr>
              <w:ind w:firstLine="720" w:left="0"/>
              <w:rPr>
                <w:szCs w:val="24"/>
              </w:rPr>
            </w:pPr>
            <w:r>
              <w:rPr>
                <w:szCs w:val="24"/>
              </w:rPr>
              <w:t xml:space="preserve">1.3. Ši Sutartis neatima galimybės Šalims sudaryti atskiras tarpusavio sutartis, kuriose būtų susitarta dėl konkrečių paslaugų teikimo kitomis sąlygomis, negu numatytos šioje Sutartyje. </w:t>
            </w:r>
          </w:p>
          <w:p>
            <w:pPr>
              <w:pStyle w:val="Heading3"/>
              <w:numPr>
                <w:ilvl w:val="0"/>
                <w:numId w:val="0"/>
              </w:numPr>
              <w:ind w:firstLine="426" w:left="0"/>
              <w:rPr>
                <w:szCs w:val="24"/>
              </w:rPr>
            </w:pPr>
            <w:r>
              <w:rPr>
                <w:szCs w:val="24"/>
              </w:rPr>
            </w:r>
          </w:p>
        </w:tc>
      </w:tr>
      <w:tr>
        <w:trPr/>
        <w:tc>
          <w:tcPr>
            <w:tcW w:w="9639" w:type="dxa"/>
            <w:tcBorders/>
          </w:tcPr>
          <w:p>
            <w:pPr>
              <w:pStyle w:val="ListParagraph"/>
              <w:tabs>
                <w:tab w:val="clear" w:pos="1296"/>
                <w:tab w:val="left" w:pos="284" w:leader="none"/>
              </w:tabs>
              <w:ind w:hanging="0" w:left="720"/>
              <w:jc w:val="center"/>
              <w:rPr>
                <w:b/>
                <w:lang w:eastAsia="lt-LT"/>
              </w:rPr>
            </w:pPr>
            <w:r>
              <w:rPr>
                <w:b/>
                <w:lang w:eastAsia="lt-LT"/>
              </w:rPr>
              <w:t>2. Sutarties pradžia ir trukmė</w:t>
            </w:r>
          </w:p>
          <w:p>
            <w:pPr>
              <w:pStyle w:val="Normal"/>
              <w:tabs>
                <w:tab w:val="clear" w:pos="1296"/>
                <w:tab w:val="left" w:pos="851" w:leader="none"/>
              </w:tabs>
              <w:spacing w:lineRule="auto" w:line="240" w:before="0" w:after="0"/>
              <w:ind w:firstLine="720"/>
              <w:rPr>
                <w:rFonts w:eastAsia="Times New Roman"/>
                <w:b/>
                <w:szCs w:val="24"/>
                <w:lang w:eastAsia="lt-LT"/>
              </w:rPr>
            </w:pPr>
            <w:r>
              <w:rPr>
                <w:rFonts w:eastAsia="Times New Roman"/>
                <w:b/>
                <w:szCs w:val="24"/>
                <w:lang w:eastAsia="lt-LT"/>
              </w:rPr>
            </w:r>
          </w:p>
        </w:tc>
      </w:tr>
      <w:tr>
        <w:trPr/>
        <w:tc>
          <w:tcPr>
            <w:tcW w:w="9639" w:type="dxa"/>
            <w:tcBorders/>
          </w:tcPr>
          <w:p>
            <w:pPr>
              <w:pStyle w:val="Normal"/>
              <w:tabs>
                <w:tab w:val="clear" w:pos="1296"/>
                <w:tab w:val="left" w:pos="720" w:leader="none"/>
              </w:tabs>
              <w:spacing w:lineRule="auto" w:line="240" w:before="0" w:after="0"/>
              <w:ind w:firstLine="720"/>
              <w:jc w:val="both"/>
              <w:rPr>
                <w:color w:val="FF0000"/>
                <w:lang w:eastAsia="lt-LT"/>
              </w:rPr>
            </w:pPr>
            <w:r>
              <w:rPr>
                <w:lang w:eastAsia="lt-LT"/>
              </w:rPr>
              <w:t xml:space="preserve">2.1. Sutartis įsigalioja, kai ją pasirašo abi Sutarties Šalys. </w:t>
            </w:r>
            <w:r>
              <w:rPr>
                <w:rFonts w:eastAsia="Times New Roman"/>
                <w:szCs w:val="24"/>
              </w:rPr>
              <w:t>Paslaugų vykdymo trukmė – 12 mėnesių. Konkrečių paslaugų suteikimo terminas suderinamas užsakant paslaugas.</w:t>
            </w:r>
            <w:r>
              <w:rPr>
                <w:lang w:eastAsia="lt-LT"/>
              </w:rPr>
              <w:t xml:space="preserve"> </w:t>
            </w:r>
            <w:r>
              <w:rPr>
                <w:color w:themeColor="text1" w:val="000000"/>
                <w:lang w:eastAsia="lt-LT"/>
              </w:rPr>
              <w:t xml:space="preserve">Jei Šalys likus ne mažiau kaip 30 (trisdešimt) kalendorinių dienų iki Sutarties galiojimo nepraneša apie Sutarties nutraukimą, Sutarties galiojimas automatiškai pratęsiamas dar </w:t>
            </w:r>
            <w:r>
              <w:rPr/>
              <w:t>12 (dvylika) mėnesių laikotarpiui.</w:t>
            </w:r>
          </w:p>
          <w:p>
            <w:pPr>
              <w:pStyle w:val="ListParagraph"/>
              <w:tabs>
                <w:tab w:val="clear" w:pos="1296"/>
                <w:tab w:val="left" w:pos="1134" w:leader="none"/>
              </w:tabs>
              <w:ind w:firstLine="720" w:left="0"/>
              <w:jc w:val="both"/>
              <w:rPr>
                <w:lang w:eastAsia="lt-LT"/>
              </w:rPr>
            </w:pPr>
            <w:r>
              <w:rPr>
                <w:lang w:eastAsia="lt-LT"/>
              </w:rPr>
            </w:r>
          </w:p>
          <w:p>
            <w:pPr>
              <w:pStyle w:val="ListParagraph"/>
              <w:ind w:hanging="0" w:left="720"/>
              <w:jc w:val="center"/>
              <w:rPr>
                <w:b/>
                <w:lang w:eastAsia="lt-LT"/>
              </w:rPr>
            </w:pPr>
            <w:r>
              <w:rPr>
                <w:b/>
                <w:lang w:eastAsia="lt-LT"/>
              </w:rPr>
              <w:t>3. Paslaugų įkainiai ir atsiskaitymo tvarka</w:t>
            </w:r>
          </w:p>
          <w:p>
            <w:pPr>
              <w:pStyle w:val="ListParagraph"/>
              <w:tabs>
                <w:tab w:val="clear" w:pos="1296"/>
                <w:tab w:val="left" w:pos="1134" w:leader="none"/>
              </w:tabs>
              <w:ind w:firstLine="720" w:left="0"/>
              <w:jc w:val="both"/>
              <w:rPr>
                <w:b/>
                <w:lang w:eastAsia="lt-LT"/>
              </w:rPr>
            </w:pPr>
            <w:r>
              <w:rPr>
                <w:b/>
                <w:lang w:eastAsia="lt-LT"/>
              </w:rPr>
            </w:r>
          </w:p>
          <w:p>
            <w:pPr>
              <w:pStyle w:val="ListParagraph"/>
              <w:numPr>
                <w:ilvl w:val="1"/>
                <w:numId w:val="3"/>
              </w:numPr>
              <w:tabs>
                <w:tab w:val="clear" w:pos="1296"/>
                <w:tab w:val="left" w:pos="1134" w:leader="none"/>
              </w:tabs>
              <w:ind w:firstLine="720" w:left="0"/>
              <w:jc w:val="both"/>
              <w:rPr>
                <w:b/>
              </w:rPr>
            </w:pPr>
            <w:r>
              <w:rPr>
                <w:lang w:eastAsia="lt-LT"/>
              </w:rPr>
              <w:t xml:space="preserve"> </w:t>
            </w:r>
            <w:r>
              <w:rPr>
                <w:lang w:eastAsia="lt-LT"/>
              </w:rPr>
              <w:t>Paslaugos teikiamos pagal šiuos įkainius:</w:t>
            </w:r>
          </w:p>
          <w:p>
            <w:pPr>
              <w:pStyle w:val="Normal"/>
              <w:tabs>
                <w:tab w:val="clear" w:pos="1296"/>
                <w:tab w:val="left" w:pos="1738" w:leader="none"/>
              </w:tabs>
              <w:spacing w:lineRule="auto" w:line="240" w:before="0" w:after="0"/>
              <w:ind w:firstLine="720"/>
              <w:jc w:val="both"/>
              <w:rPr>
                <w:bCs/>
                <w:color w:themeColor="text1" w:val="000000"/>
              </w:rPr>
            </w:pPr>
            <w:r>
              <w:rPr>
                <w:bCs/>
                <w:color w:themeColor="text1" w:val="000000"/>
              </w:rPr>
              <w:t>3.1.1. konsultavimo paslaugos – 60 (šešiasdešimt) Eur/val.;</w:t>
            </w:r>
          </w:p>
          <w:p>
            <w:pPr>
              <w:pStyle w:val="Normal"/>
              <w:tabs>
                <w:tab w:val="clear" w:pos="1296"/>
                <w:tab w:val="left" w:pos="1738" w:leader="none"/>
              </w:tabs>
              <w:spacing w:lineRule="auto" w:line="240" w:before="0" w:after="0"/>
              <w:ind w:firstLine="720"/>
              <w:jc w:val="both"/>
              <w:rPr>
                <w:bCs/>
                <w:color w:themeColor="text1" w:val="000000"/>
              </w:rPr>
            </w:pPr>
            <w:r>
              <w:rPr>
                <w:bCs/>
                <w:color w:themeColor="text1" w:val="000000"/>
              </w:rPr>
              <w:t xml:space="preserve">3.1.2. </w:t>
            </w:r>
            <w:r>
              <w:rPr>
                <w:color w:themeColor="text1" w:val="000000"/>
                <w:szCs w:val="24"/>
              </w:rPr>
              <w:t xml:space="preserve">tekstų redagavimo paslaugos – </w:t>
            </w:r>
            <w:r>
              <w:rPr>
                <w:bCs/>
                <w:color w:themeColor="text1" w:val="000000"/>
                <w:szCs w:val="24"/>
              </w:rPr>
              <w:t xml:space="preserve">kompiuterinis puslapis </w:t>
            </w:r>
            <w:bookmarkStart w:id="0" w:name="_Hlk17185955"/>
            <w:r>
              <w:rPr>
                <w:bCs/>
                <w:color w:themeColor="text1" w:val="000000"/>
                <w:szCs w:val="24"/>
              </w:rPr>
              <w:t xml:space="preserve">(1 500 spaudos ženklų be tarpų) </w:t>
            </w:r>
            <w:bookmarkEnd w:id="0"/>
            <w:r>
              <w:rPr>
                <w:bCs/>
                <w:color w:themeColor="text1" w:val="000000"/>
                <w:szCs w:val="24"/>
              </w:rPr>
              <w:t>8,30 Eur (aštuoni eurai, 30 ct);</w:t>
            </w:r>
          </w:p>
          <w:p>
            <w:pPr>
              <w:pStyle w:val="Normal"/>
              <w:tabs>
                <w:tab w:val="clear" w:pos="1296"/>
                <w:tab w:val="left" w:pos="1738" w:leader="none"/>
              </w:tabs>
              <w:spacing w:lineRule="auto" w:line="240" w:before="0" w:after="0"/>
              <w:ind w:firstLine="720"/>
              <w:jc w:val="both"/>
              <w:rPr>
                <w:bCs/>
                <w:color w:themeColor="text1" w:val="000000"/>
              </w:rPr>
            </w:pPr>
            <w:r>
              <w:rPr>
                <w:bCs/>
                <w:color w:themeColor="text1" w:val="000000"/>
              </w:rPr>
              <w:t>3.1.3. už sudėtingo tekstų redagavimą mokamas 15 (penkiolikos) procentų priedas. Kriterijai, kuriais remiantis tekstai priskiriami sudėtingų kūrinių kategorijai, – darbo atlikimo skubumas, teksto grafinis sudėtingumas.</w:t>
            </w:r>
          </w:p>
          <w:p>
            <w:pPr>
              <w:pStyle w:val="Normal"/>
              <w:tabs>
                <w:tab w:val="clear" w:pos="1296"/>
                <w:tab w:val="left" w:pos="1738" w:leader="none"/>
              </w:tabs>
              <w:spacing w:lineRule="auto" w:line="240" w:before="0" w:after="0"/>
              <w:ind w:firstLine="720"/>
              <w:jc w:val="both"/>
              <w:rPr>
                <w:bCs/>
                <w:color w:themeColor="text1" w:val="000000"/>
              </w:rPr>
            </w:pPr>
            <w:r>
              <w:rPr>
                <w:bCs/>
                <w:color w:themeColor="text1" w:val="000000"/>
              </w:rPr>
              <w:t>3.2. Maksimali sutarties kaina – 14508,00 eurų (įskaitant visus mokėtinus mokesčius).</w:t>
            </w:r>
          </w:p>
          <w:p>
            <w:pPr>
              <w:pStyle w:val="Normal"/>
              <w:tabs>
                <w:tab w:val="clear" w:pos="1296"/>
                <w:tab w:val="left" w:pos="1738" w:leader="none"/>
              </w:tabs>
              <w:spacing w:lineRule="auto" w:line="240" w:before="0" w:after="0"/>
              <w:ind w:firstLine="720"/>
              <w:jc w:val="both"/>
              <w:rPr>
                <w:color w:themeColor="text1" w:val="000000"/>
              </w:rPr>
            </w:pPr>
            <w:r>
              <w:rPr>
                <w:bCs/>
                <w:color w:themeColor="text1" w:val="000000"/>
              </w:rPr>
              <w:t>3.3. Į šios sutarties 3.1.1 ir 3.1.2 punktuose nurodytus įkainius įskaičiuoti visi privalomi mokesčiai. Privalomus mokesčius Paslaugų teikėjas sumoka savarankiškai.</w:t>
            </w:r>
            <w:r>
              <w:rPr>
                <w:color w:themeColor="text1" w:val="000000"/>
              </w:rPr>
              <w:t xml:space="preserve"> </w:t>
            </w:r>
          </w:p>
          <w:p>
            <w:pPr>
              <w:pStyle w:val="Normal"/>
              <w:tabs>
                <w:tab w:val="clear" w:pos="1296"/>
                <w:tab w:val="left" w:pos="1738" w:leader="none"/>
              </w:tabs>
              <w:spacing w:lineRule="auto" w:line="240" w:before="0" w:after="0"/>
              <w:ind w:firstLine="720"/>
              <w:jc w:val="both"/>
              <w:rPr>
                <w:color w:themeColor="text1" w:val="000000"/>
              </w:rPr>
            </w:pPr>
            <w:r>
              <w:rPr>
                <w:color w:themeColor="text1" w:val="000000"/>
              </w:rPr>
              <w:t>3.3.1. Paslaugų teikėjas nėra PVM mokėtojas ir PVM mokestis jam nėra taikomas.</w:t>
            </w:r>
          </w:p>
          <w:p>
            <w:pPr>
              <w:pStyle w:val="Normal"/>
              <w:tabs>
                <w:tab w:val="clear" w:pos="1296"/>
                <w:tab w:val="left" w:pos="1738" w:leader="none"/>
              </w:tabs>
              <w:spacing w:lineRule="auto" w:line="240" w:before="0" w:after="0"/>
              <w:ind w:firstLine="720"/>
              <w:jc w:val="both"/>
              <w:rPr>
                <w:rFonts w:eastAsia="Times New Roman"/>
                <w:color w:themeColor="text1" w:val="000000"/>
                <w:szCs w:val="24"/>
              </w:rPr>
            </w:pPr>
            <w:r>
              <w:rPr/>
              <w:t xml:space="preserve">3.4. Paslaugų teikėjas darbus, jų apimtį ir jiems atlikti skirtą laiką fiksuoja </w:t>
            </w:r>
            <w:r>
              <w:rPr>
                <w:color w:themeColor="text1" w:val="000000"/>
              </w:rPr>
              <w:t xml:space="preserve">ir kiekvieno metų ketvirčio pabaigoje pateikia Paslaugų gavėjui priėmimo–perdavimo aktą apie faktiškai suteiktas paslaugas. </w:t>
            </w:r>
            <w:r>
              <w:rPr>
                <w:rFonts w:eastAsia="Times New Roman"/>
                <w:szCs w:val="24"/>
              </w:rPr>
              <w:t>Šalims pasirašius paslaugų perdavimo-priėmimo aktą ir Užsakovui gavus sąskaitą-faktūrą, atsiskaitoma su Paslaugos teikėju per 30 kalendorinių dienų nuo visų dokumentų gavimo dienos. Sąskait</w:t>
            </w:r>
            <w:r>
              <w:rPr>
                <w:rFonts w:eastAsia="Times New Roman"/>
                <w:color w:themeColor="text1" w:val="000000"/>
                <w:szCs w:val="24"/>
              </w:rPr>
              <w:t xml:space="preserve">a faktūra turi būti pateikiama per Sąskaitų administravimo bendrąją informacinę sistemą, </w:t>
            </w:r>
            <w:hyperlink r:id="rId2">
              <w:r>
                <w:rPr>
                  <w:rStyle w:val="Hyperlink"/>
                  <w:rFonts w:eastAsia="Times New Roman"/>
                  <w:szCs w:val="24"/>
                </w:rPr>
                <w:t>https://sabis.nbfc.lt/;</w:t>
              </w:r>
            </w:hyperlink>
          </w:p>
          <w:p>
            <w:pPr>
              <w:pStyle w:val="Normal"/>
              <w:tabs>
                <w:tab w:val="clear" w:pos="1296"/>
                <w:tab w:val="left" w:pos="1738" w:leader="none"/>
              </w:tabs>
              <w:spacing w:lineRule="auto" w:line="240" w:before="0" w:after="0"/>
              <w:jc w:val="both"/>
              <w:rPr>
                <w:bCs/>
                <w:color w:val="FF0000"/>
              </w:rPr>
            </w:pPr>
            <w:r>
              <w:rPr>
                <w:bCs/>
              </w:rPr>
              <w:t xml:space="preserve">            </w:t>
            </w:r>
            <w:r>
              <w:rPr>
                <w:bCs/>
              </w:rPr>
              <w:t>3.5. Paslaugų gavėjas gautą sąskaitą faktūrą apmoka ne vėliau kaip per 30 (trisdešimt) kalendorinių dienų nuo sąskaitos</w:t>
            </w:r>
            <w:r>
              <w:rPr/>
              <w:t xml:space="preserve"> </w:t>
            </w:r>
            <w:r>
              <w:rPr>
                <w:bCs/>
              </w:rPr>
              <w:t>faktūros gavimo (registravimo) Komisijoje dienos.</w:t>
            </w:r>
          </w:p>
        </w:tc>
      </w:tr>
      <w:tr>
        <w:trPr>
          <w:trHeight w:val="80" w:hRule="atLeast"/>
        </w:trPr>
        <w:tc>
          <w:tcPr>
            <w:tcW w:w="9639" w:type="dxa"/>
            <w:tcBorders/>
          </w:tcPr>
          <w:p>
            <w:pPr>
              <w:pStyle w:val="Normal"/>
              <w:tabs>
                <w:tab w:val="clear" w:pos="1296"/>
                <w:tab w:val="left" w:pos="851" w:leader="none"/>
              </w:tabs>
              <w:spacing w:lineRule="auto" w:line="240" w:before="0" w:after="0"/>
              <w:jc w:val="both"/>
              <w:rPr>
                <w:szCs w:val="24"/>
                <w:lang w:eastAsia="lt-LT"/>
              </w:rPr>
            </w:pPr>
            <w:r>
              <w:rPr>
                <w:szCs w:val="24"/>
                <w:lang w:eastAsia="lt-LT"/>
              </w:rPr>
            </w:r>
          </w:p>
        </w:tc>
      </w:tr>
      <w:tr>
        <w:trPr/>
        <w:tc>
          <w:tcPr>
            <w:tcW w:w="9639" w:type="dxa"/>
            <w:tcBorders/>
          </w:tcPr>
          <w:p>
            <w:pPr>
              <w:pStyle w:val="ListParagraph"/>
              <w:tabs>
                <w:tab w:val="clear" w:pos="1296"/>
                <w:tab w:val="left" w:pos="426" w:leader="none"/>
              </w:tabs>
              <w:ind w:hanging="23" w:left="743"/>
              <w:jc w:val="center"/>
              <w:rPr>
                <w:b/>
                <w:lang w:eastAsia="lt-LT"/>
              </w:rPr>
            </w:pPr>
            <w:r>
              <w:rPr>
                <w:b/>
                <w:lang w:eastAsia="lt-LT"/>
              </w:rPr>
              <w:t>4. Šalių teisės ir pareigos</w:t>
            </w:r>
          </w:p>
          <w:p>
            <w:pPr>
              <w:pStyle w:val="Normal"/>
              <w:tabs>
                <w:tab w:val="clear" w:pos="1296"/>
                <w:tab w:val="left" w:pos="851" w:leader="none"/>
              </w:tabs>
              <w:spacing w:lineRule="auto" w:line="240" w:before="0" w:after="0"/>
              <w:ind w:firstLine="720"/>
              <w:jc w:val="center"/>
              <w:rPr>
                <w:rFonts w:eastAsia="Times New Roman"/>
                <w:b/>
                <w:szCs w:val="24"/>
                <w:lang w:eastAsia="lt-LT"/>
              </w:rPr>
            </w:pPr>
            <w:r>
              <w:rPr>
                <w:rFonts w:eastAsia="Times New Roman"/>
                <w:b/>
                <w:szCs w:val="24"/>
                <w:lang w:eastAsia="lt-LT"/>
              </w:rPr>
            </w:r>
          </w:p>
        </w:tc>
      </w:tr>
      <w:tr>
        <w:trPr>
          <w:trHeight w:val="80" w:hRule="atLeast"/>
        </w:trPr>
        <w:tc>
          <w:tcPr>
            <w:tcW w:w="9639" w:type="dxa"/>
            <w:tcBorders/>
          </w:tcPr>
          <w:p>
            <w:pPr>
              <w:pStyle w:val="Normal"/>
              <w:tabs>
                <w:tab w:val="clear" w:pos="1296"/>
                <w:tab w:val="left" w:pos="708" w:leader="none"/>
                <w:tab w:val="left" w:pos="1171" w:leader="none"/>
              </w:tabs>
              <w:spacing w:lineRule="auto" w:line="240" w:before="0" w:after="0"/>
              <w:ind w:firstLine="720"/>
              <w:jc w:val="both"/>
              <w:rPr>
                <w:lang w:eastAsia="lt-LT"/>
              </w:rPr>
            </w:pPr>
            <w:r>
              <w:rPr>
                <w:lang w:eastAsia="lt-LT"/>
              </w:rPr>
              <w:t xml:space="preserve">4.1. Paslaugų teikėjas įsipareigoja Paslaugų gavėjui teikti Sutarties 1.1.1 ir 1.1.2 punktuose nurodytas paslaugas tik kai Paslaugų gavėjas kreipiasi į Paslaugų teikėją dėl tokių paslaugų suteikimo. Kreipiamasi gali būti tiek Sutartyje nurodytu Paslaugų teikėjo telefono Nr. </w:t>
            </w:r>
            <w:r>
              <w:rPr>
                <w:rFonts w:cs="Arial" w:ascii="Arial" w:hAnsi="Arial"/>
                <w:color w:val="999999"/>
                <w:sz w:val="20"/>
                <w:szCs w:val="20"/>
                <w:lang w:eastAsia="lt-LT"/>
              </w:rPr>
              <w:t>[uždengti asmens duomenys]</w:t>
            </w:r>
            <w:r>
              <w:rPr>
                <w:lang w:eastAsia="lt-LT"/>
              </w:rPr>
              <w:t xml:space="preserve">, tiek Paslaugų gavėjo komunikacijai nurodytu el. paštu: </w:t>
            </w:r>
            <w:r>
              <w:rPr>
                <w:rFonts w:cs="Arial" w:ascii="Arial" w:hAnsi="Arial"/>
                <w:color w:val="999999"/>
                <w:sz w:val="20"/>
                <w:szCs w:val="20"/>
                <w:lang w:eastAsia="lt-LT"/>
              </w:rPr>
              <w:t>[uždengti asmens duomenys]</w:t>
            </w:r>
            <w:r>
              <w:rPr>
                <w:lang w:eastAsia="lt-LT"/>
              </w:rPr>
              <w:t xml:space="preserve">. </w:t>
            </w:r>
          </w:p>
          <w:p>
            <w:pPr>
              <w:pStyle w:val="Normal"/>
              <w:tabs>
                <w:tab w:val="clear" w:pos="1296"/>
                <w:tab w:val="left" w:pos="708" w:leader="none"/>
                <w:tab w:val="left" w:pos="1171" w:leader="none"/>
              </w:tabs>
              <w:spacing w:lineRule="auto" w:line="240" w:before="0" w:after="0"/>
              <w:ind w:firstLine="720"/>
              <w:jc w:val="both"/>
              <w:rPr>
                <w:lang w:eastAsia="lt-LT"/>
              </w:rPr>
            </w:pPr>
            <w:r>
              <w:rPr>
                <w:lang w:eastAsia="lt-LT"/>
              </w:rPr>
              <w:t xml:space="preserve">4.2. Bet kurio iš Paslaugų gavėjo darbuotojų kreipimasis į Paslaugų teikėją iš darbo elektroninio pašto adreso, kuris priklauso </w:t>
            </w:r>
            <w:r>
              <w:rPr>
                <w:i/>
                <w:iCs/>
                <w:lang w:eastAsia="lt-LT"/>
              </w:rPr>
              <w:t>vtek.lt</w:t>
            </w:r>
            <w:r>
              <w:rPr>
                <w:lang w:eastAsia="lt-LT"/>
              </w:rPr>
              <w:t xml:space="preserve"> domenui, arba telefono numerio, skelbiamo Paslaugų gavėjo interneto svetainėje, prilyginamas Paslaugų gavėjo kreipimuisi į Paslaugų teikėją.</w:t>
            </w:r>
          </w:p>
          <w:p>
            <w:pPr>
              <w:pStyle w:val="Normal"/>
              <w:tabs>
                <w:tab w:val="clear" w:pos="1296"/>
                <w:tab w:val="left" w:pos="885" w:leader="none"/>
                <w:tab w:val="left" w:pos="1171" w:leader="none"/>
              </w:tabs>
              <w:spacing w:lineRule="auto" w:line="240" w:before="0" w:after="0"/>
              <w:ind w:firstLine="720"/>
              <w:jc w:val="both"/>
              <w:rPr>
                <w:lang w:eastAsia="lt-LT"/>
              </w:rPr>
            </w:pPr>
            <w:r>
              <w:rPr>
                <w:lang w:eastAsia="lt-LT"/>
              </w:rPr>
              <w:t>4.3. Paslaugų teikėjas savarankiškai ir savo atsakomybe apsirūpina visomis darbo priemonėmis ir savarankiškai užsitikrina sąlygas, reikalingas Sutartyje numatytų darbų atlikimui.</w:t>
            </w:r>
          </w:p>
          <w:p>
            <w:pPr>
              <w:pStyle w:val="Normal"/>
              <w:tabs>
                <w:tab w:val="clear" w:pos="1296"/>
                <w:tab w:val="left" w:pos="924" w:leader="none"/>
                <w:tab w:val="left" w:pos="1171" w:leader="none"/>
              </w:tabs>
              <w:spacing w:lineRule="auto" w:line="240" w:before="0" w:after="0"/>
              <w:ind w:firstLine="720"/>
              <w:jc w:val="both"/>
              <w:rPr>
                <w:lang w:eastAsia="lt-LT"/>
              </w:rPr>
            </w:pPr>
            <w:r>
              <w:rPr>
                <w:lang w:eastAsia="lt-LT"/>
              </w:rPr>
              <w:t>4.4. Paslaugų gavėjas įsipareigoja laiku pateikti Paslaugų teikėjui visus duomenis, dokumentus ar kitą informaciją, kurių reikia Sutartyje numatytoms paslaugoms suteikti.</w:t>
            </w:r>
          </w:p>
          <w:p>
            <w:pPr>
              <w:pStyle w:val="Normal"/>
              <w:tabs>
                <w:tab w:val="clear" w:pos="1296"/>
                <w:tab w:val="left" w:pos="708" w:leader="none"/>
                <w:tab w:val="left" w:pos="1171" w:leader="none"/>
              </w:tabs>
              <w:spacing w:lineRule="auto" w:line="240" w:before="0" w:after="0"/>
              <w:ind w:firstLine="720"/>
              <w:jc w:val="both"/>
              <w:rPr>
                <w:lang w:eastAsia="lt-LT"/>
              </w:rPr>
            </w:pPr>
            <w:r>
              <w:rPr>
                <w:lang w:eastAsia="lt-LT"/>
              </w:rPr>
              <w:t>4.5. Paslaugų gavėjas neaprūpina Paslaugų teikėjo darbo vieta ir neužtikrina darbo sąlygų. Paslaugų teikėjas nėra laikomas Paslaugų gavėjo darbuotoju ir šia Sutartimi tarp Paslaugų gavėjo ir Paslaugų teikėjo neatsiranda jokių hierarchinių (pavaldumo) santykių.</w:t>
            </w:r>
          </w:p>
          <w:p>
            <w:pPr>
              <w:pStyle w:val="Normal"/>
              <w:tabs>
                <w:tab w:val="clear" w:pos="1296"/>
                <w:tab w:val="left" w:pos="708" w:leader="none"/>
                <w:tab w:val="left" w:pos="1171" w:leader="none"/>
              </w:tabs>
              <w:spacing w:lineRule="auto" w:line="240" w:before="0" w:after="0"/>
              <w:ind w:firstLine="720"/>
              <w:jc w:val="both"/>
              <w:rPr>
                <w:lang w:eastAsia="lt-LT"/>
              </w:rPr>
            </w:pPr>
            <w:r>
              <w:rPr>
                <w:color w:themeColor="text1" w:val="000000"/>
                <w:lang w:eastAsia="lt-LT"/>
              </w:rPr>
              <w:t>4.6. Paslaugų teikėjas įsipareigoja suteikti Paslaugas laikydamasis iš anksto abiejų Šalių sutartų terminų. Paslaugų t</w:t>
            </w:r>
            <w:r>
              <w:rPr>
                <w:lang w:eastAsia="lt-LT"/>
              </w:rPr>
              <w:t>eikėjas nėra atsakingas už tokių terminų praleidimą, jeigu Paslaugų jis negalėjo suteikti laiku ne dėl savo kaltės ir (ar) ne dėl nuo jo priklausančių aplinkybių.</w:t>
            </w:r>
          </w:p>
          <w:p>
            <w:pPr>
              <w:pStyle w:val="Normal"/>
              <w:tabs>
                <w:tab w:val="clear" w:pos="1296"/>
                <w:tab w:val="left" w:pos="885" w:leader="none"/>
                <w:tab w:val="left" w:pos="1171" w:leader="none"/>
              </w:tabs>
              <w:spacing w:lineRule="auto" w:line="240" w:before="0" w:after="0"/>
              <w:ind w:firstLine="743"/>
              <w:jc w:val="both"/>
              <w:rPr>
                <w:lang w:eastAsia="lt-LT"/>
              </w:rPr>
            </w:pPr>
            <w:r>
              <w:rPr>
                <w:lang w:eastAsia="lt-LT"/>
              </w:rPr>
              <w:t>4.7. Paslaugų gavėjas įsipareigoja už tinkamai suteiktas Paslaugas Paslaugų teikėjui atsiskaityti Sutartyje nustatyta tvarka.</w:t>
            </w:r>
          </w:p>
        </w:tc>
      </w:tr>
      <w:tr>
        <w:trPr>
          <w:trHeight w:val="74" w:hRule="atLeast"/>
        </w:trPr>
        <w:tc>
          <w:tcPr>
            <w:tcW w:w="9639" w:type="dxa"/>
            <w:tcBorders/>
          </w:tcPr>
          <w:p>
            <w:pPr>
              <w:pStyle w:val="Normal"/>
              <w:tabs>
                <w:tab w:val="clear" w:pos="1296"/>
                <w:tab w:val="left" w:pos="708" w:leader="none"/>
                <w:tab w:val="left" w:pos="851" w:leader="none"/>
                <w:tab w:val="left" w:pos="1171" w:leader="none"/>
              </w:tabs>
              <w:spacing w:lineRule="auto" w:line="240" w:before="0" w:after="0"/>
              <w:jc w:val="both"/>
              <w:rPr>
                <w:rFonts w:eastAsia="Times New Roman"/>
                <w:szCs w:val="24"/>
                <w:lang w:eastAsia="lt-LT"/>
              </w:rPr>
            </w:pPr>
            <w:r>
              <w:rPr>
                <w:rFonts w:eastAsia="Times New Roman"/>
                <w:szCs w:val="24"/>
                <w:lang w:eastAsia="lt-LT"/>
              </w:rPr>
            </w:r>
          </w:p>
        </w:tc>
      </w:tr>
      <w:tr>
        <w:trPr/>
        <w:tc>
          <w:tcPr>
            <w:tcW w:w="9639" w:type="dxa"/>
            <w:tcBorders/>
          </w:tcPr>
          <w:p>
            <w:pPr>
              <w:pStyle w:val="Normal"/>
              <w:tabs>
                <w:tab w:val="clear" w:pos="1296"/>
                <w:tab w:val="left" w:pos="708" w:leader="none"/>
                <w:tab w:val="left" w:pos="851" w:leader="none"/>
              </w:tabs>
              <w:spacing w:lineRule="auto" w:line="240" w:before="0" w:after="0"/>
              <w:jc w:val="both"/>
              <w:rPr>
                <w:b/>
                <w:szCs w:val="24"/>
                <w:lang w:eastAsia="lt-LT"/>
              </w:rPr>
            </w:pPr>
            <w:r>
              <w:rPr>
                <w:b/>
                <w:szCs w:val="24"/>
                <w:lang w:eastAsia="lt-LT"/>
              </w:rPr>
            </w:r>
          </w:p>
        </w:tc>
      </w:tr>
      <w:tr>
        <w:trPr/>
        <w:tc>
          <w:tcPr>
            <w:tcW w:w="9639" w:type="dxa"/>
            <w:tcBorders/>
          </w:tcPr>
          <w:p>
            <w:pPr>
              <w:pStyle w:val="ListParagraph"/>
              <w:tabs>
                <w:tab w:val="clear" w:pos="1296"/>
                <w:tab w:val="left" w:pos="284" w:leader="none"/>
                <w:tab w:val="left" w:pos="708" w:leader="none"/>
              </w:tabs>
              <w:ind w:hanging="0" w:left="720"/>
              <w:jc w:val="center"/>
              <w:rPr>
                <w:b/>
                <w:lang w:eastAsia="lt-LT"/>
              </w:rPr>
            </w:pPr>
            <w:r>
              <w:rPr>
                <w:b/>
                <w:lang w:eastAsia="lt-LT"/>
              </w:rPr>
              <w:t>5. Sutarties pakeitimai. Sutarties nutraukimas</w:t>
            </w:r>
          </w:p>
          <w:p>
            <w:pPr>
              <w:pStyle w:val="Normal"/>
              <w:tabs>
                <w:tab w:val="clear" w:pos="1296"/>
                <w:tab w:val="left" w:pos="708" w:leader="none"/>
                <w:tab w:val="left" w:pos="851" w:leader="none"/>
              </w:tabs>
              <w:spacing w:lineRule="auto" w:line="240" w:before="0" w:after="0"/>
              <w:ind w:firstLine="720"/>
              <w:rPr>
                <w:rFonts w:eastAsia="Times New Roman"/>
                <w:b/>
                <w:szCs w:val="24"/>
                <w:lang w:eastAsia="lt-LT"/>
              </w:rPr>
            </w:pPr>
            <w:r>
              <w:rPr>
                <w:rFonts w:eastAsia="Times New Roman"/>
                <w:b/>
                <w:szCs w:val="24"/>
                <w:lang w:eastAsia="lt-LT"/>
              </w:rPr>
            </w:r>
          </w:p>
        </w:tc>
      </w:tr>
      <w:tr>
        <w:trPr/>
        <w:tc>
          <w:tcPr>
            <w:tcW w:w="9639" w:type="dxa"/>
            <w:tcBorders/>
          </w:tcPr>
          <w:p>
            <w:pPr>
              <w:pStyle w:val="ListParagraph"/>
              <w:tabs>
                <w:tab w:val="clear" w:pos="1296"/>
                <w:tab w:val="left" w:pos="708" w:leader="none"/>
                <w:tab w:val="left" w:pos="1176" w:leader="none"/>
              </w:tabs>
              <w:ind w:hanging="0" w:left="0"/>
              <w:jc w:val="both"/>
              <w:rPr>
                <w:rFonts w:eastAsia="HG Mincho Light J"/>
                <w:iCs/>
                <w:kern w:val="2"/>
                <w:shd w:fill="FFFFFF" w:val="clear"/>
                <w:lang w:eastAsia="lt-LT"/>
              </w:rPr>
            </w:pPr>
            <w:r>
              <w:rPr>
                <w:lang w:eastAsia="lt-LT"/>
              </w:rPr>
              <w:t xml:space="preserve">             </w:t>
            </w:r>
            <w:r>
              <w:rPr>
                <w:lang w:eastAsia="lt-LT"/>
              </w:rPr>
              <w:t xml:space="preserve">5.1. </w:t>
            </w:r>
            <w:r>
              <w:rPr>
                <w:kern w:val="2"/>
                <w:shd w:fill="FFFFFF" w:val="clear"/>
                <w:lang w:eastAsia="lt-LT"/>
              </w:rPr>
              <w:t>Sutarties</w:t>
            </w:r>
            <w:r>
              <w:rPr>
                <w:i/>
                <w:kern w:val="2"/>
                <w:shd w:fill="FFFFFF" w:val="clear"/>
                <w:lang w:eastAsia="lt-LT"/>
              </w:rPr>
              <w:t xml:space="preserve"> </w:t>
            </w:r>
            <w:r>
              <w:rPr>
                <w:rFonts w:eastAsia="HG Mincho Light J"/>
                <w:iCs/>
                <w:kern w:val="2"/>
                <w:shd w:fill="FFFFFF" w:val="clear"/>
                <w:lang w:eastAsia="lt-LT"/>
              </w:rPr>
              <w:t>sąlygos Sutarties galiojimo laikotarpiu gali būti keičiamos šioje Sutartyje, ir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pPr>
              <w:pStyle w:val="ListParagraph"/>
              <w:tabs>
                <w:tab w:val="clear" w:pos="1296"/>
                <w:tab w:val="left" w:pos="708" w:leader="none"/>
                <w:tab w:val="left" w:pos="1176" w:leader="none"/>
              </w:tabs>
              <w:ind w:hanging="0" w:left="0"/>
              <w:jc w:val="both"/>
              <w:rPr/>
            </w:pPr>
            <w:r>
              <w:rPr>
                <w:lang w:eastAsia="lt-LT"/>
              </w:rPr>
              <w:t xml:space="preserve">             </w:t>
            </w:r>
            <w:r>
              <w:rPr>
                <w:lang w:eastAsia="lt-LT"/>
              </w:rPr>
              <w:t>5.2. Sutartis gali būti nutraukta raštišku abiejų Šalių susitarimu.</w:t>
            </w:r>
          </w:p>
          <w:p>
            <w:pPr>
              <w:pStyle w:val="Normal"/>
              <w:tabs>
                <w:tab w:val="clear" w:pos="1296"/>
                <w:tab w:val="left" w:pos="708" w:leader="none"/>
                <w:tab w:val="left" w:pos="1176" w:leader="none"/>
              </w:tabs>
              <w:spacing w:lineRule="auto" w:line="240" w:before="0" w:after="0"/>
              <w:jc w:val="both"/>
              <w:rPr>
                <w:lang w:eastAsia="lt-LT"/>
              </w:rPr>
            </w:pPr>
            <w:r>
              <w:rPr>
                <w:lang w:eastAsia="lt-LT"/>
              </w:rPr>
              <w:t xml:space="preserve">             </w:t>
            </w:r>
            <w:r>
              <w:rPr>
                <w:lang w:eastAsia="lt-LT"/>
              </w:rPr>
              <w:t>5.3. Sutartis gali būti nutraukta vienai Šaliai raštu ne mažiau kaip prieš 5 (penkias) kalendorines dienas informavus kitą Šalį apie pageidavimą nutraukti Sutartį. Paslaugų gavėjas privalo atsiskaityti už iki Sutarties nutraukimo Paslaugų teikėjo tinkamai suteiktas paslaugas.</w:t>
            </w:r>
          </w:p>
          <w:p>
            <w:pPr>
              <w:pStyle w:val="Normal"/>
              <w:tabs>
                <w:tab w:val="clear" w:pos="1296"/>
                <w:tab w:val="left" w:pos="743" w:leader="none"/>
                <w:tab w:val="left" w:pos="1176" w:leader="none"/>
              </w:tabs>
              <w:spacing w:lineRule="auto" w:line="240" w:before="0" w:after="0"/>
              <w:jc w:val="both"/>
              <w:rPr/>
            </w:pPr>
            <w:r>
              <w:rPr>
                <w:lang w:eastAsia="lt-LT"/>
              </w:rPr>
              <w:t xml:space="preserve">             </w:t>
            </w:r>
            <w:r>
              <w:rPr>
                <w:lang w:eastAsia="lt-LT"/>
              </w:rPr>
              <w:t xml:space="preserve">5.4. </w:t>
            </w:r>
            <w:r>
              <w:rPr/>
              <w:t>Paslaugų gavėjas, ne vėliau kaip per 5 (penkias) darbo dienas raštu informavęs Paslaugų teikėją, turi teisę vienašališkai nutraukti sutartį, jeigu Paslaugų teikėjas sutarties nevykdo ar Paslaugų teikėjo teikiamų paslaugų kokybė neatitinka sutartyje ir (ar) jos prieduose nustatytų reikalavimų, o Paslaugų teikėjas po raštu pateikto Paslaugų gavėjo pranešimo apie trūkumus jų nepašalina per 5 (penkias) darbo dienas.</w:t>
            </w:r>
          </w:p>
          <w:p>
            <w:pPr>
              <w:pStyle w:val="ListParagraph"/>
              <w:tabs>
                <w:tab w:val="clear" w:pos="1296"/>
                <w:tab w:val="left" w:pos="708" w:leader="none"/>
                <w:tab w:val="left" w:pos="1176" w:leader="none"/>
              </w:tabs>
              <w:ind w:firstLine="720" w:left="0"/>
              <w:jc w:val="both"/>
              <w:rPr>
                <w:lang w:eastAsia="lt-LT"/>
              </w:rPr>
            </w:pPr>
            <w:r>
              <w:rPr>
                <w:lang w:eastAsia="lt-LT"/>
              </w:rPr>
            </w:r>
          </w:p>
        </w:tc>
      </w:tr>
      <w:tr>
        <w:trPr/>
        <w:tc>
          <w:tcPr>
            <w:tcW w:w="9639" w:type="dxa"/>
            <w:tcBorders/>
          </w:tcPr>
          <w:p>
            <w:pPr>
              <w:pStyle w:val="ListParagraph"/>
              <w:tabs>
                <w:tab w:val="clear" w:pos="1296"/>
                <w:tab w:val="left" w:pos="360" w:leader="none"/>
              </w:tabs>
              <w:ind w:hanging="0" w:left="720"/>
              <w:jc w:val="center"/>
              <w:rPr>
                <w:b/>
                <w:lang w:eastAsia="lt-LT"/>
              </w:rPr>
            </w:pPr>
            <w:r>
              <w:rPr>
                <w:b/>
                <w:lang w:eastAsia="lt-LT"/>
              </w:rPr>
              <w:t>6. Konfidencialumas ir asmens duomenų apsauga</w:t>
            </w:r>
          </w:p>
          <w:p>
            <w:pPr>
              <w:pStyle w:val="Normal"/>
              <w:tabs>
                <w:tab w:val="clear" w:pos="1296"/>
                <w:tab w:val="left" w:pos="360" w:leader="none"/>
                <w:tab w:val="left" w:pos="851" w:leader="none"/>
              </w:tabs>
              <w:spacing w:lineRule="auto" w:line="240" w:before="0" w:after="0"/>
              <w:ind w:firstLine="720"/>
              <w:rPr>
                <w:rFonts w:eastAsia="Times New Roman"/>
                <w:b/>
                <w:szCs w:val="24"/>
                <w:lang w:eastAsia="lt-LT"/>
              </w:rPr>
            </w:pPr>
            <w:r>
              <w:rPr>
                <w:rFonts w:eastAsia="Times New Roman"/>
                <w:b/>
                <w:szCs w:val="24"/>
                <w:lang w:eastAsia="lt-LT"/>
              </w:rPr>
            </w:r>
          </w:p>
        </w:tc>
      </w:tr>
      <w:tr>
        <w:trPr/>
        <w:tc>
          <w:tcPr>
            <w:tcW w:w="9639" w:type="dxa"/>
            <w:tcBorders/>
          </w:tcPr>
          <w:p>
            <w:pPr>
              <w:pStyle w:val="Normal"/>
              <w:tabs>
                <w:tab w:val="clear" w:pos="1296"/>
                <w:tab w:val="left" w:pos="851" w:leader="none"/>
                <w:tab w:val="left" w:pos="993" w:leader="none"/>
                <w:tab w:val="left" w:pos="1171" w:leader="none"/>
              </w:tabs>
              <w:spacing w:lineRule="auto" w:line="240" w:before="0" w:after="0"/>
              <w:jc w:val="both"/>
              <w:rPr>
                <w:color w:themeColor="text1" w:val="000000"/>
                <w:lang w:eastAsia="lt-LT"/>
              </w:rPr>
            </w:pPr>
            <w:r>
              <w:rPr>
                <w:lang w:eastAsia="lt-LT"/>
              </w:rPr>
              <w:t xml:space="preserve">             </w:t>
            </w:r>
            <w:r>
              <w:rPr>
                <w:lang w:eastAsia="lt-LT"/>
              </w:rPr>
              <w:t xml:space="preserve">6.1. Paslaugų teikėjas privalo vertinti visus dokumentus ir su Sutartimi susijusią informaciją kaip konfidencialią bei nepublikuoti ar kitaip neatskleisti jokių Sutarties detalių be raštiško Paslaugų gavėjo sutikimo. Kilus nesutarimų dėl informacijos atskleidimo, Paslaugų gavėjo sprendimas yra galutinis. </w:t>
            </w:r>
            <w:r>
              <w:rPr>
                <w:color w:themeColor="text1" w:val="000000"/>
                <w:lang w:eastAsia="lt-LT"/>
              </w:rPr>
              <w:t xml:space="preserve">Ši taisyklė galioja iki šios Sutarties galiojimo termino pasibaigimo ir 2 (dvejus) metus nuo šios Sutarties galiojimo termino pasibaigimo. </w:t>
            </w:r>
          </w:p>
          <w:p>
            <w:pPr>
              <w:pStyle w:val="Normal"/>
              <w:tabs>
                <w:tab w:val="clear" w:pos="1296"/>
                <w:tab w:val="left" w:pos="851" w:leader="none"/>
                <w:tab w:val="left" w:pos="993" w:leader="none"/>
                <w:tab w:val="left" w:pos="1171" w:leader="none"/>
              </w:tabs>
              <w:spacing w:lineRule="auto" w:line="240" w:before="0" w:after="0"/>
              <w:jc w:val="both"/>
              <w:rPr/>
            </w:pPr>
            <w:r>
              <w:rPr>
                <w:lang w:eastAsia="lt-LT"/>
              </w:rPr>
              <w:t xml:space="preserve">             </w:t>
            </w:r>
            <w:r>
              <w:rPr>
                <w:lang w:eastAsia="lt-LT"/>
              </w:rPr>
              <w:t>6.2. Paslaugų teikėjas įsipareigoja turimos informacijos neatskleisti jokiems tretiesiems asmenims ir</w:t>
            </w:r>
            <w:r>
              <w:rPr/>
              <w:t xml:space="preserve"> nuosekliai laikytis </w:t>
            </w:r>
            <w:r>
              <w:rPr>
                <w:bCs/>
              </w:rPr>
              <w:t xml:space="preserve">2016 m. balandžio 27 d. Europos Parlamento ir Tarybos reglamente (ES) 2016/679 dėl fizinių asmenų apsaugos tvarkant asmens duomenis ir dėl laisvo tokių duomenų judėjimo ir kuriuo panaikinama Direktyva 95/46/EB </w:t>
            </w:r>
            <w:r>
              <w:rPr/>
              <w:t>ir kituose teisės aktuose įtvirtintų asmens duomenų apsaugos reikalavimų.</w:t>
            </w:r>
          </w:p>
          <w:p>
            <w:pPr>
              <w:pStyle w:val="Normal"/>
              <w:tabs>
                <w:tab w:val="clear" w:pos="1296"/>
                <w:tab w:val="left" w:pos="851" w:leader="none"/>
                <w:tab w:val="left" w:pos="993" w:leader="none"/>
                <w:tab w:val="left" w:pos="1171" w:leader="none"/>
              </w:tabs>
              <w:spacing w:lineRule="auto" w:line="240" w:before="0" w:after="0"/>
              <w:jc w:val="both"/>
              <w:rPr>
                <w:szCs w:val="24"/>
              </w:rPr>
            </w:pPr>
            <w:r>
              <w:rPr>
                <w:lang w:eastAsia="lt-LT"/>
              </w:rPr>
              <w:t xml:space="preserve">             </w:t>
            </w:r>
            <w:r>
              <w:rPr>
                <w:lang w:eastAsia="lt-LT"/>
              </w:rPr>
              <w:t xml:space="preserve">6.3. Paslaugų gavėjas įsipareigoja </w:t>
            </w:r>
            <w:r>
              <w:rPr>
                <w:szCs w:val="24"/>
              </w:rPr>
              <w:t>tvarkyti iš Paslaugų teikėjo gautus asmens duomenis tik teisinių prievolių, kylančių iš Sutarties, vykdymo tikslu ir užtikrinti, kad jo vykdomas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bei Lietuvos Respublikos asmens duomenų teisinės apsaugos įstatymo</w:t>
            </w:r>
            <w:bookmarkStart w:id="1" w:name="pn1_13"/>
            <w:bookmarkEnd w:id="1"/>
            <w:r>
              <w:rPr>
                <w:szCs w:val="24"/>
              </w:rPr>
              <w:t xml:space="preserve"> nuostatas. Saugoti asmens duomenis ne ilgiau nei to reikalauja duomenų tvarkymo tikslas ar nustato teisės aktai.</w:t>
            </w:r>
          </w:p>
          <w:p>
            <w:pPr>
              <w:pStyle w:val="Normal"/>
              <w:tabs>
                <w:tab w:val="clear" w:pos="1296"/>
                <w:tab w:val="left" w:pos="851" w:leader="none"/>
                <w:tab w:val="left" w:pos="993" w:leader="none"/>
                <w:tab w:val="left" w:pos="1171" w:leader="none"/>
              </w:tabs>
              <w:spacing w:lineRule="auto" w:line="240" w:before="0" w:after="0"/>
              <w:jc w:val="both"/>
              <w:rPr>
                <w:szCs w:val="24"/>
                <w:lang w:eastAsia="lt-LT"/>
              </w:rPr>
            </w:pPr>
            <w:r>
              <w:rPr>
                <w:szCs w:val="24"/>
                <w:lang w:eastAsia="lt-LT"/>
              </w:rPr>
              <w:t xml:space="preserve">             </w:t>
            </w:r>
            <w:r>
              <w:rPr>
                <w:szCs w:val="24"/>
                <w:lang w:eastAsia="lt-LT"/>
              </w:rPr>
              <w:t xml:space="preserve">6.4. Paslaugų teikėjo asmens duomenis sudaro: </w:t>
            </w:r>
          </w:p>
          <w:p>
            <w:pPr>
              <w:pStyle w:val="Normal"/>
              <w:spacing w:lineRule="auto" w:line="240" w:before="0" w:after="0"/>
              <w:jc w:val="both"/>
              <w:rPr>
                <w:rFonts w:eastAsia="Times New Roman"/>
                <w:szCs w:val="24"/>
                <w:lang w:eastAsia="ru-RU"/>
              </w:rPr>
            </w:pPr>
            <w:r>
              <w:rPr>
                <w:rFonts w:eastAsia="Times New Roman"/>
                <w:szCs w:val="24"/>
                <w:lang w:eastAsia="ru-RU"/>
              </w:rPr>
              <w:t xml:space="preserve">             </w:t>
            </w:r>
            <w:r>
              <w:rPr>
                <w:rFonts w:eastAsia="Times New Roman"/>
                <w:szCs w:val="24"/>
                <w:lang w:eastAsia="ru-RU"/>
              </w:rPr>
              <w:t>6.4.1. vardas ir pavardė;</w:t>
            </w:r>
          </w:p>
          <w:p>
            <w:pPr>
              <w:pStyle w:val="Normal"/>
              <w:spacing w:lineRule="auto" w:line="240" w:before="0" w:after="0"/>
              <w:jc w:val="both"/>
              <w:rPr>
                <w:rFonts w:eastAsia="Times New Roman"/>
                <w:szCs w:val="24"/>
                <w:lang w:eastAsia="ru-RU"/>
              </w:rPr>
            </w:pPr>
            <w:r>
              <w:rPr>
                <w:rFonts w:eastAsia="Times New Roman"/>
                <w:szCs w:val="24"/>
                <w:lang w:eastAsia="ru-RU"/>
              </w:rPr>
              <w:t xml:space="preserve">             </w:t>
            </w:r>
            <w:r>
              <w:rPr>
                <w:rFonts w:eastAsia="Times New Roman"/>
                <w:szCs w:val="24"/>
                <w:lang w:eastAsia="ru-RU"/>
              </w:rPr>
              <w:t>6.4.2. asmens kodas;</w:t>
            </w:r>
          </w:p>
          <w:p>
            <w:pPr>
              <w:pStyle w:val="Normal"/>
              <w:spacing w:lineRule="auto" w:line="240" w:before="0" w:after="0"/>
              <w:jc w:val="both"/>
              <w:rPr>
                <w:rFonts w:eastAsia="Times New Roman"/>
                <w:szCs w:val="24"/>
                <w:lang w:eastAsia="ru-RU"/>
              </w:rPr>
            </w:pPr>
            <w:r>
              <w:rPr>
                <w:rFonts w:eastAsia="Times New Roman"/>
                <w:szCs w:val="24"/>
                <w:lang w:eastAsia="ru-RU"/>
              </w:rPr>
              <w:t xml:space="preserve">             </w:t>
            </w:r>
            <w:r>
              <w:rPr>
                <w:rFonts w:eastAsia="Times New Roman"/>
                <w:szCs w:val="24"/>
                <w:lang w:eastAsia="ru-RU"/>
              </w:rPr>
              <w:t>6.4.3. individualios veiklos vykdymo pažymos numeris;</w:t>
            </w:r>
          </w:p>
          <w:p>
            <w:pPr>
              <w:pStyle w:val="Normal"/>
              <w:spacing w:lineRule="auto" w:line="240" w:before="0" w:after="0"/>
              <w:jc w:val="both"/>
              <w:rPr>
                <w:rFonts w:eastAsia="Times New Roman"/>
                <w:szCs w:val="24"/>
                <w:lang w:eastAsia="ru-RU"/>
              </w:rPr>
            </w:pPr>
            <w:r>
              <w:rPr>
                <w:rFonts w:eastAsia="Times New Roman"/>
                <w:szCs w:val="24"/>
                <w:lang w:eastAsia="ru-RU"/>
              </w:rPr>
              <w:t xml:space="preserve">             </w:t>
            </w:r>
            <w:r>
              <w:rPr>
                <w:rFonts w:eastAsia="Times New Roman"/>
                <w:szCs w:val="24"/>
                <w:lang w:eastAsia="ru-RU"/>
              </w:rPr>
              <w:t>6.4.4. gyvenamosios vietos adresas;</w:t>
            </w:r>
          </w:p>
          <w:p>
            <w:pPr>
              <w:pStyle w:val="Normal"/>
              <w:spacing w:lineRule="auto" w:line="240" w:before="0" w:after="0"/>
              <w:jc w:val="both"/>
              <w:rPr>
                <w:rFonts w:eastAsia="Times New Roman"/>
                <w:szCs w:val="24"/>
                <w:lang w:eastAsia="ru-RU"/>
              </w:rPr>
            </w:pPr>
            <w:r>
              <w:rPr>
                <w:rFonts w:eastAsia="Times New Roman"/>
                <w:szCs w:val="24"/>
                <w:lang w:eastAsia="ru-RU"/>
              </w:rPr>
              <w:t xml:space="preserve">             </w:t>
            </w:r>
            <w:r>
              <w:rPr>
                <w:rFonts w:eastAsia="Times New Roman"/>
                <w:szCs w:val="24"/>
                <w:lang w:eastAsia="ru-RU"/>
              </w:rPr>
              <w:t>6.4.5. telefono numeris ir elektroninio pašto adresas;</w:t>
            </w:r>
          </w:p>
          <w:p>
            <w:pPr>
              <w:pStyle w:val="Normal"/>
              <w:spacing w:lineRule="auto" w:line="240" w:before="0" w:after="0"/>
              <w:jc w:val="both"/>
              <w:rPr>
                <w:rFonts w:eastAsia="Times New Roman"/>
                <w:szCs w:val="24"/>
                <w:lang w:eastAsia="ru-RU"/>
              </w:rPr>
            </w:pPr>
            <w:r>
              <w:rPr>
                <w:rFonts w:eastAsia="Times New Roman"/>
                <w:szCs w:val="24"/>
                <w:lang w:eastAsia="ru-RU"/>
              </w:rPr>
              <w:t xml:space="preserve">             </w:t>
            </w:r>
            <w:r>
              <w:rPr>
                <w:rFonts w:eastAsia="Times New Roman"/>
                <w:szCs w:val="24"/>
                <w:lang w:eastAsia="ru-RU"/>
              </w:rPr>
              <w:t>6.4.6. banko sąskaitos numeris;</w:t>
            </w:r>
          </w:p>
          <w:p>
            <w:pPr>
              <w:pStyle w:val="Normal"/>
              <w:tabs>
                <w:tab w:val="clear" w:pos="1296"/>
                <w:tab w:val="left" w:pos="851" w:leader="none"/>
                <w:tab w:val="left" w:pos="993" w:leader="none"/>
                <w:tab w:val="left" w:pos="1171" w:leader="none"/>
              </w:tabs>
              <w:spacing w:lineRule="auto" w:line="240" w:before="0" w:after="0"/>
              <w:jc w:val="both"/>
              <w:rPr>
                <w:lang w:eastAsia="lt-LT"/>
              </w:rPr>
            </w:pPr>
            <w:r>
              <w:rPr>
                <w:rFonts w:eastAsia="Times New Roman"/>
                <w:szCs w:val="24"/>
                <w:lang w:eastAsia="ru-RU"/>
              </w:rPr>
              <w:t xml:space="preserve">             </w:t>
            </w:r>
            <w:r>
              <w:rPr>
                <w:rFonts w:eastAsia="Times New Roman"/>
                <w:szCs w:val="24"/>
                <w:lang w:eastAsia="ru-RU"/>
              </w:rPr>
              <w:t>6.4.7. duomenys apie paslaugų įkainius ir mokėjimus.</w:t>
            </w:r>
          </w:p>
        </w:tc>
      </w:tr>
      <w:tr>
        <w:trPr/>
        <w:tc>
          <w:tcPr>
            <w:tcW w:w="9639" w:type="dxa"/>
            <w:tcBorders/>
          </w:tcPr>
          <w:p>
            <w:pPr>
              <w:pStyle w:val="Normal"/>
              <w:tabs>
                <w:tab w:val="clear" w:pos="1296"/>
                <w:tab w:val="left" w:pos="851" w:leader="none"/>
              </w:tabs>
              <w:spacing w:lineRule="auto" w:line="240" w:before="0" w:after="0"/>
              <w:ind w:firstLine="720"/>
              <w:jc w:val="center"/>
              <w:rPr>
                <w:rFonts w:eastAsia="Times New Roman"/>
                <w:b/>
                <w:szCs w:val="24"/>
                <w:lang w:eastAsia="lt-LT"/>
              </w:rPr>
            </w:pPr>
            <w:r>
              <w:rPr>
                <w:rFonts w:eastAsia="Times New Roman"/>
                <w:b/>
                <w:szCs w:val="24"/>
                <w:lang w:eastAsia="lt-LT"/>
              </w:rPr>
            </w:r>
          </w:p>
        </w:tc>
      </w:tr>
      <w:tr>
        <w:trPr/>
        <w:tc>
          <w:tcPr>
            <w:tcW w:w="9639" w:type="dxa"/>
            <w:tcBorders/>
          </w:tcPr>
          <w:p>
            <w:pPr>
              <w:pStyle w:val="Normal"/>
              <w:tabs>
                <w:tab w:val="clear" w:pos="1296"/>
                <w:tab w:val="left" w:pos="851" w:leader="none"/>
                <w:tab w:val="left" w:pos="993" w:leader="none"/>
              </w:tabs>
              <w:spacing w:lineRule="auto" w:line="240" w:before="0" w:after="0"/>
              <w:jc w:val="both"/>
              <w:rPr>
                <w:rFonts w:eastAsia="Times New Roman"/>
                <w:szCs w:val="24"/>
                <w:lang w:eastAsia="lt-LT"/>
              </w:rPr>
            </w:pPr>
            <w:r>
              <w:rPr>
                <w:rFonts w:eastAsia="Times New Roman"/>
                <w:szCs w:val="24"/>
                <w:lang w:eastAsia="lt-LT"/>
              </w:rPr>
            </w:r>
          </w:p>
        </w:tc>
      </w:tr>
      <w:tr>
        <w:trPr/>
        <w:tc>
          <w:tcPr>
            <w:tcW w:w="9639" w:type="dxa"/>
            <w:tcBorders/>
          </w:tcPr>
          <w:p>
            <w:pPr>
              <w:pStyle w:val="Normal"/>
              <w:tabs>
                <w:tab w:val="clear" w:pos="1296"/>
                <w:tab w:val="left" w:pos="467" w:leader="none"/>
              </w:tabs>
              <w:spacing w:lineRule="auto" w:line="240" w:before="0" w:after="0"/>
              <w:ind w:firstLine="720"/>
              <w:jc w:val="center"/>
              <w:rPr>
                <w:b/>
                <w:szCs w:val="24"/>
              </w:rPr>
            </w:pPr>
            <w:r>
              <w:rPr>
                <w:b/>
                <w:szCs w:val="24"/>
              </w:rPr>
              <w:t>7. Prievolių įvykdymo užtikrinimas ir šalių atsakomybė</w:t>
            </w:r>
          </w:p>
          <w:p>
            <w:pPr>
              <w:pStyle w:val="Normal"/>
              <w:tabs>
                <w:tab w:val="clear" w:pos="1296"/>
                <w:tab w:val="left" w:pos="851" w:leader="none"/>
              </w:tabs>
              <w:spacing w:lineRule="auto" w:line="240" w:before="0" w:after="0"/>
              <w:ind w:firstLine="720"/>
              <w:rPr>
                <w:b/>
                <w:szCs w:val="24"/>
              </w:rPr>
            </w:pPr>
            <w:r>
              <w:rPr>
                <w:b/>
                <w:szCs w:val="24"/>
              </w:rPr>
            </w:r>
          </w:p>
          <w:p>
            <w:pPr>
              <w:pStyle w:val="Normal"/>
              <w:tabs>
                <w:tab w:val="clear" w:pos="1296"/>
                <w:tab w:val="left" w:pos="993" w:leader="none"/>
              </w:tabs>
              <w:spacing w:lineRule="auto" w:line="240" w:before="0" w:after="0"/>
              <w:jc w:val="both"/>
              <w:rPr/>
            </w:pPr>
            <w:r>
              <w:rPr/>
              <w:t xml:space="preserve">            </w:t>
            </w:r>
            <w:r>
              <w:rPr/>
              <w:t xml:space="preserve">7.1. Paslaugų teikėjas prisiima atsakomybę už kokybiškai, tinkamai, laiku ir pagal Sutarties sąlygas suteiktas Paslaugas. </w:t>
            </w:r>
          </w:p>
          <w:p>
            <w:pPr>
              <w:pStyle w:val="Normal"/>
              <w:tabs>
                <w:tab w:val="clear" w:pos="1296"/>
                <w:tab w:val="left" w:pos="993" w:leader="none"/>
              </w:tabs>
              <w:spacing w:lineRule="auto" w:line="240" w:before="0" w:after="0"/>
              <w:jc w:val="both"/>
              <w:rPr/>
            </w:pPr>
            <w:r>
              <w:rPr/>
              <w:t xml:space="preserve">            </w:t>
            </w:r>
            <w:r>
              <w:rPr/>
              <w:t xml:space="preserve">7.2. Paslaugų gavėjas prisiima atsakomybę už Paslaugų teikėjui pateiktos informacijos, dokumentų, kitos medžiagos, būtinos tinkamam Paslaugų atlikimui, teisingumą ir patikimumą. </w:t>
            </w:r>
          </w:p>
          <w:p>
            <w:pPr>
              <w:pStyle w:val="Normal"/>
              <w:tabs>
                <w:tab w:val="clear" w:pos="1296"/>
                <w:tab w:val="left" w:pos="993" w:leader="none"/>
              </w:tabs>
              <w:spacing w:lineRule="auto" w:line="240" w:before="0" w:after="0"/>
              <w:jc w:val="both"/>
              <w:rPr/>
            </w:pPr>
            <w:r>
              <w:rPr/>
              <w:t xml:space="preserve">            </w:t>
            </w:r>
            <w:r>
              <w:rPr/>
              <w:t xml:space="preserve">7.3. Kiekviena Šalis privalo atlyginti kitai Šaliai visus nuostolius, kurie yra tiesiogiai susiję ir kurių kita Šalis patiria dėl šioje Sutartyje numatytų įsipareigojimų nevykdymo ar netinkamo vykdymo, bet ne daugiau nei šios Sutarties vertė. </w:t>
            </w:r>
          </w:p>
          <w:p>
            <w:pPr>
              <w:pStyle w:val="Normal"/>
              <w:tabs>
                <w:tab w:val="clear" w:pos="1296"/>
                <w:tab w:val="left" w:pos="993" w:leader="none"/>
              </w:tabs>
              <w:spacing w:lineRule="auto" w:line="240" w:before="0" w:after="0"/>
              <w:jc w:val="both"/>
              <w:rPr/>
            </w:pPr>
            <w:r>
              <w:rPr/>
              <w:t xml:space="preserve">            </w:t>
            </w:r>
            <w:r>
              <w:rPr/>
              <w:t xml:space="preserve">7.4. Įsipareigojimų pagal Sutartį nevykdymas ar netinkamas vykdymas nelaikomas Sutarties pažeidimu, jei jo priežastis yra nenugalimos jėgos (Force Majeure) aplinkybės. </w:t>
            </w:r>
          </w:p>
        </w:tc>
      </w:tr>
      <w:tr>
        <w:trPr/>
        <w:tc>
          <w:tcPr>
            <w:tcW w:w="9639" w:type="dxa"/>
            <w:tcBorders/>
          </w:tcPr>
          <w:p>
            <w:pPr>
              <w:pStyle w:val="Normal"/>
              <w:tabs>
                <w:tab w:val="clear" w:pos="1296"/>
                <w:tab w:val="left" w:pos="851" w:leader="none"/>
              </w:tabs>
              <w:spacing w:lineRule="auto" w:line="240" w:before="0" w:after="0"/>
              <w:jc w:val="both"/>
              <w:rPr>
                <w:szCs w:val="24"/>
                <w:lang w:eastAsia="lt-LT"/>
              </w:rPr>
            </w:pPr>
            <w:r>
              <w:rPr>
                <w:szCs w:val="24"/>
                <w:lang w:eastAsia="lt-LT"/>
              </w:rPr>
            </w:r>
          </w:p>
        </w:tc>
      </w:tr>
      <w:tr>
        <w:trPr/>
        <w:tc>
          <w:tcPr>
            <w:tcW w:w="9639" w:type="dxa"/>
            <w:tcBorders/>
          </w:tcPr>
          <w:p>
            <w:pPr>
              <w:pStyle w:val="ListParagraph"/>
              <w:tabs>
                <w:tab w:val="clear" w:pos="1296"/>
                <w:tab w:val="left" w:pos="567" w:leader="none"/>
              </w:tabs>
              <w:ind w:hanging="0" w:left="720"/>
              <w:jc w:val="center"/>
              <w:rPr>
                <w:b/>
                <w:lang w:eastAsia="lt-LT"/>
              </w:rPr>
            </w:pPr>
            <w:r>
              <w:rPr>
                <w:b/>
                <w:lang w:eastAsia="lt-LT"/>
              </w:rPr>
              <w:t>8. Baigiamosios nuostatos</w:t>
            </w:r>
          </w:p>
          <w:p>
            <w:pPr>
              <w:pStyle w:val="Normal"/>
              <w:tabs>
                <w:tab w:val="clear" w:pos="1296"/>
                <w:tab w:val="left" w:pos="851" w:leader="none"/>
              </w:tabs>
              <w:spacing w:lineRule="auto" w:line="240" w:before="0" w:after="0"/>
              <w:ind w:firstLine="720"/>
              <w:rPr>
                <w:rFonts w:eastAsia="Times New Roman"/>
                <w:b/>
                <w:szCs w:val="24"/>
                <w:lang w:eastAsia="lt-LT"/>
              </w:rPr>
            </w:pPr>
            <w:r>
              <w:rPr>
                <w:rFonts w:eastAsia="Times New Roman"/>
                <w:b/>
                <w:szCs w:val="24"/>
                <w:lang w:eastAsia="lt-LT"/>
              </w:rPr>
            </w:r>
          </w:p>
        </w:tc>
      </w:tr>
      <w:tr>
        <w:trPr/>
        <w:tc>
          <w:tcPr>
            <w:tcW w:w="9639" w:type="dxa"/>
            <w:tcBorders/>
          </w:tcPr>
          <w:p>
            <w:pPr>
              <w:pStyle w:val="Normal"/>
              <w:tabs>
                <w:tab w:val="clear" w:pos="1296"/>
                <w:tab w:val="left" w:pos="1134" w:leader="none"/>
              </w:tabs>
              <w:spacing w:lineRule="auto" w:line="240" w:before="0" w:after="0"/>
              <w:ind w:firstLine="720"/>
              <w:jc w:val="both"/>
              <w:rPr>
                <w:lang w:eastAsia="lt-LT"/>
              </w:rPr>
            </w:pPr>
            <w:r>
              <w:rPr/>
              <w:t xml:space="preserve"> </w:t>
            </w:r>
            <w:r>
              <w:rPr/>
              <w:t xml:space="preserve">8.1. Paslaugų teikėjo ir Paslaugų gavėjo ginčai pirmiausia sprendžiami derybų, abipusių kompromisų būdu, o nepavykus susitarti – </w:t>
            </w:r>
            <w:r>
              <w:rPr>
                <w:lang w:eastAsia="lt-LT"/>
              </w:rPr>
              <w:t>Lietuvos Respublikos įstatymų nustatyta tvarka.</w:t>
            </w:r>
          </w:p>
          <w:p>
            <w:pPr>
              <w:pStyle w:val="Normal"/>
              <w:tabs>
                <w:tab w:val="clear" w:pos="1296"/>
                <w:tab w:val="left" w:pos="1134" w:leader="none"/>
              </w:tabs>
              <w:spacing w:lineRule="auto" w:line="240" w:before="0" w:after="0"/>
              <w:ind w:firstLine="720"/>
              <w:jc w:val="both"/>
              <w:rPr/>
            </w:pPr>
            <w:r>
              <w:rPr>
                <w:lang w:eastAsia="lt-LT"/>
              </w:rPr>
              <w:t xml:space="preserve"> </w:t>
            </w:r>
            <w:r>
              <w:rPr>
                <w:lang w:eastAsia="lt-LT"/>
              </w:rPr>
              <w:t xml:space="preserve">8.2. Jei Paslaugų gavėjas nutraukia Sutartį dėl Paslaugų teikėjo kaltės, jis turi teisę reikalauti atlyginti dėl to patiriamus nuostolius. </w:t>
            </w:r>
          </w:p>
          <w:p>
            <w:pPr>
              <w:pStyle w:val="Normal"/>
              <w:tabs>
                <w:tab w:val="clear" w:pos="1296"/>
                <w:tab w:val="left" w:pos="1134" w:leader="none"/>
              </w:tabs>
              <w:spacing w:lineRule="auto" w:line="240" w:before="0" w:after="0"/>
              <w:ind w:firstLine="720"/>
              <w:jc w:val="both"/>
              <w:rPr/>
            </w:pPr>
            <w:r>
              <w:rPr>
                <w:lang w:eastAsia="lt-LT"/>
              </w:rPr>
              <w:t xml:space="preserve"> </w:t>
            </w:r>
            <w:r>
              <w:rPr>
                <w:lang w:eastAsia="lt-LT"/>
              </w:rPr>
              <w:t xml:space="preserve">8.3. Jei Sutarties nutraukimas nėra susijęs su Paslaugų teikėjo kalte ir nuo Paslaugų teikėjo nepriklauso, Paslaugų teikėjas turi teisę reikalauti sumokėti už tinkamai iki Sutarties nutraukimo suteiktas Paslaugas.  </w:t>
            </w:r>
          </w:p>
          <w:p>
            <w:pPr>
              <w:pStyle w:val="Normal"/>
              <w:tabs>
                <w:tab w:val="clear" w:pos="1296"/>
                <w:tab w:val="left" w:pos="1134" w:leader="none"/>
              </w:tabs>
              <w:spacing w:lineRule="auto" w:line="240" w:before="0" w:after="0"/>
              <w:ind w:firstLine="720"/>
              <w:jc w:val="both"/>
              <w:rPr/>
            </w:pPr>
            <w:r>
              <w:rPr>
                <w:lang w:eastAsia="lt-LT"/>
              </w:rPr>
              <w:t xml:space="preserve"> </w:t>
            </w:r>
            <w:r>
              <w:rPr>
                <w:lang w:eastAsia="lt-LT"/>
              </w:rPr>
              <w:t xml:space="preserve">8.4. Paslaugų teikėjas gali reikalauti nutraukti Sutartį, jei Paslaugų gavėjas vėluoja atsiskaityti už suteiktas Paslaugas daugiau kaip 60 (šešiasdešimt) kalendorinių dienų. </w:t>
            </w:r>
          </w:p>
          <w:p>
            <w:pPr>
              <w:pStyle w:val="Normal"/>
              <w:tabs>
                <w:tab w:val="clear" w:pos="1296"/>
                <w:tab w:val="left" w:pos="1134" w:leader="none"/>
              </w:tabs>
              <w:spacing w:lineRule="auto" w:line="240" w:before="0" w:after="0"/>
              <w:ind w:firstLine="720"/>
              <w:jc w:val="both"/>
              <w:rPr/>
            </w:pPr>
            <w:r>
              <w:rPr/>
              <w:t xml:space="preserve"> </w:t>
            </w:r>
            <w:r>
              <w:rPr/>
              <w:t xml:space="preserve">8.5. Sutartis yra sudaryta dviem egzemplioriais (po vieną kiekvienai Šaliai), turinčiais vienodą juridinę galią. </w:t>
            </w:r>
          </w:p>
          <w:p>
            <w:pPr>
              <w:pStyle w:val="ListParagraph"/>
              <w:tabs>
                <w:tab w:val="clear" w:pos="1296"/>
                <w:tab w:val="left" w:pos="1134" w:leader="none"/>
              </w:tabs>
              <w:ind w:firstLine="720" w:left="0"/>
              <w:jc w:val="both"/>
              <w:rPr/>
            </w:pPr>
            <w:r>
              <w:rPr/>
            </w:r>
          </w:p>
          <w:p>
            <w:pPr>
              <w:pStyle w:val="ListParagraph"/>
              <w:tabs>
                <w:tab w:val="clear" w:pos="1296"/>
                <w:tab w:val="left" w:pos="1134" w:leader="none"/>
              </w:tabs>
              <w:ind w:firstLine="720" w:left="0"/>
              <w:jc w:val="both"/>
              <w:rPr/>
            </w:pPr>
            <w:r>
              <w:rPr/>
            </w:r>
          </w:p>
          <w:p>
            <w:pPr>
              <w:pStyle w:val="ListParagraph"/>
              <w:tabs>
                <w:tab w:val="clear" w:pos="1296"/>
                <w:tab w:val="left" w:pos="1134" w:leader="none"/>
              </w:tabs>
              <w:ind w:firstLine="720" w:left="0"/>
              <w:jc w:val="both"/>
              <w:rPr/>
            </w:pPr>
            <w:r>
              <w:rPr/>
            </w:r>
          </w:p>
          <w:p>
            <w:pPr>
              <w:pStyle w:val="ListParagraph"/>
              <w:tabs>
                <w:tab w:val="clear" w:pos="1296"/>
                <w:tab w:val="left" w:pos="1134" w:leader="none"/>
              </w:tabs>
              <w:ind w:firstLine="720" w:left="0"/>
              <w:jc w:val="both"/>
              <w:rPr/>
            </w:pPr>
            <w:r>
              <w:rPr/>
            </w:r>
          </w:p>
          <w:p>
            <w:pPr>
              <w:pStyle w:val="ListParagraph"/>
              <w:tabs>
                <w:tab w:val="clear" w:pos="1296"/>
                <w:tab w:val="left" w:pos="1134" w:leader="none"/>
              </w:tabs>
              <w:ind w:firstLine="720" w:left="0"/>
              <w:jc w:val="both"/>
              <w:rPr/>
            </w:pPr>
            <w:r>
              <w:rPr/>
            </w:r>
          </w:p>
          <w:tbl>
            <w:tblPr>
              <w:tblW w:w="9420"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4455"/>
              <w:gridCol w:w="1235"/>
              <w:gridCol w:w="3730"/>
            </w:tblGrid>
            <w:tr>
              <w:trPr/>
              <w:tc>
                <w:tcPr>
                  <w:tcW w:w="4455" w:type="dxa"/>
                  <w:tcBorders/>
                </w:tcPr>
                <w:p>
                  <w:pPr>
                    <w:pStyle w:val="ListParagraph"/>
                    <w:numPr>
                      <w:ilvl w:val="0"/>
                      <w:numId w:val="2"/>
                    </w:numPr>
                    <w:tabs>
                      <w:tab w:val="clear" w:pos="1296"/>
                      <w:tab w:val="left" w:pos="360" w:leader="none"/>
                    </w:tabs>
                    <w:ind w:hanging="540" w:left="0"/>
                    <w:rPr>
                      <w:b/>
                    </w:rPr>
                  </w:pPr>
                  <w:r>
                    <w:rPr>
                      <w:b/>
                    </w:rPr>
                    <w:t>Šalių adresai ir rekvizitai:</w:t>
                  </w:r>
                </w:p>
                <w:p>
                  <w:pPr>
                    <w:pStyle w:val="Normal"/>
                    <w:tabs>
                      <w:tab w:val="clear" w:pos="1296"/>
                      <w:tab w:val="left" w:pos="360" w:leader="none"/>
                    </w:tabs>
                    <w:spacing w:lineRule="auto" w:line="240" w:before="0" w:after="0"/>
                    <w:jc w:val="both"/>
                    <w:rPr>
                      <w:b/>
                    </w:rPr>
                  </w:pPr>
                  <w:r>
                    <w:rPr>
                      <w:b/>
                    </w:rPr>
                  </w:r>
                </w:p>
                <w:p>
                  <w:pPr>
                    <w:pStyle w:val="Normal"/>
                    <w:tabs>
                      <w:tab w:val="clear" w:pos="1296"/>
                      <w:tab w:val="left" w:pos="360" w:leader="none"/>
                    </w:tabs>
                    <w:spacing w:lineRule="auto" w:line="240" w:before="0" w:after="0"/>
                    <w:jc w:val="both"/>
                    <w:rPr>
                      <w:b/>
                    </w:rPr>
                  </w:pPr>
                  <w:r>
                    <w:rPr>
                      <w:b/>
                    </w:rPr>
                    <w:t>Paslaugų gavėjas</w:t>
                  </w:r>
                </w:p>
                <w:p>
                  <w:pPr>
                    <w:pStyle w:val="Normal"/>
                    <w:tabs>
                      <w:tab w:val="clear" w:pos="1296"/>
                      <w:tab w:val="left" w:pos="360" w:leader="none"/>
                    </w:tabs>
                    <w:spacing w:lineRule="auto" w:line="240" w:before="0" w:after="0"/>
                    <w:jc w:val="both"/>
                    <w:rPr>
                      <w:b/>
                    </w:rPr>
                  </w:pPr>
                  <w:r>
                    <w:rPr>
                      <w:b/>
                    </w:rPr>
                  </w:r>
                </w:p>
                <w:p>
                  <w:pPr>
                    <w:pStyle w:val="Normal"/>
                    <w:tabs>
                      <w:tab w:val="clear" w:pos="1296"/>
                      <w:tab w:val="left" w:pos="360" w:leader="none"/>
                    </w:tabs>
                    <w:spacing w:lineRule="auto" w:line="240" w:before="0" w:after="0"/>
                    <w:rPr/>
                  </w:pPr>
                  <w:r>
                    <w:rPr/>
                    <w:t>Vyriausioji tarnybinės etikos komisija</w:t>
                  </w:r>
                </w:p>
                <w:p>
                  <w:pPr>
                    <w:pStyle w:val="Normal"/>
                    <w:shd w:val="clear" w:color="auto" w:fill="FFFFFF"/>
                    <w:spacing w:lineRule="auto" w:line="240" w:before="0" w:after="0"/>
                    <w:jc w:val="both"/>
                    <w:rPr/>
                  </w:pPr>
                  <w:r>
                    <w:rPr/>
                    <w:t>Juridinio asmens kodas 188736355</w:t>
                  </w:r>
                </w:p>
                <w:p>
                  <w:pPr>
                    <w:pStyle w:val="Normal"/>
                    <w:shd w:val="clear" w:color="auto" w:fill="FFFFFF"/>
                    <w:spacing w:lineRule="auto" w:line="240" w:before="0" w:after="0"/>
                    <w:jc w:val="both"/>
                    <w:rPr/>
                  </w:pPr>
                  <w:r>
                    <w:rPr/>
                    <w:t>A. Goštauto g. 9, 01108 Vilnius</w:t>
                  </w:r>
                </w:p>
                <w:p>
                  <w:pPr>
                    <w:pStyle w:val="Normal"/>
                    <w:shd w:val="clear" w:color="auto" w:fill="FFFFFF"/>
                    <w:spacing w:lineRule="auto" w:line="240" w:before="0" w:after="0"/>
                    <w:jc w:val="both"/>
                    <w:rPr/>
                  </w:pPr>
                  <w:r>
                    <w:rPr/>
                    <w:t>Tel. + 370 5 212 4396</w:t>
                  </w:r>
                </w:p>
                <w:p>
                  <w:pPr>
                    <w:pStyle w:val="Normal"/>
                    <w:shd w:val="clear" w:color="auto" w:fill="FFFFFF"/>
                    <w:spacing w:lineRule="auto" w:line="240" w:before="0" w:after="0"/>
                    <w:jc w:val="both"/>
                    <w:rPr>
                      <w:lang w:val="en-US"/>
                    </w:rPr>
                  </w:pPr>
                  <w:r>
                    <w:rPr/>
                    <w:t xml:space="preserve">El. p. </w:t>
                  </w:r>
                  <w:hyperlink r:id="rId3">
                    <w:r>
                      <w:rPr>
                        <w:rStyle w:val="Hyperlink"/>
                      </w:rPr>
                      <w:t>vtek</w:t>
                    </w:r>
                    <w:r>
                      <w:rPr>
                        <w:rStyle w:val="Hyperlink"/>
                        <w:lang w:val="en-US"/>
                      </w:rPr>
                      <w:t>@vtek.lt</w:t>
                    </w:r>
                  </w:hyperlink>
                </w:p>
                <w:p>
                  <w:pPr>
                    <w:pStyle w:val="Normal"/>
                    <w:shd w:val="clear" w:color="auto" w:fill="FFFFFF"/>
                    <w:spacing w:lineRule="auto" w:line="240" w:before="0" w:after="0"/>
                    <w:jc w:val="both"/>
                    <w:rPr>
                      <w:lang w:val="en-US"/>
                    </w:rPr>
                  </w:pPr>
                  <w:r>
                    <w:rPr>
                      <w:lang w:val="en-US"/>
                    </w:rPr>
                  </w:r>
                </w:p>
                <w:p>
                  <w:pPr>
                    <w:pStyle w:val="Normal"/>
                    <w:shd w:val="clear" w:color="auto" w:fill="FFFFFF"/>
                    <w:spacing w:lineRule="auto" w:line="240" w:before="0" w:after="0"/>
                    <w:jc w:val="both"/>
                    <w:rPr/>
                  </w:pPr>
                  <w:r>
                    <w:rPr/>
                  </w:r>
                </w:p>
                <w:p>
                  <w:pPr>
                    <w:pStyle w:val="Normal"/>
                    <w:shd w:val="clear" w:color="auto" w:fill="FFFFFF"/>
                    <w:spacing w:lineRule="auto" w:line="240" w:before="0" w:after="0"/>
                    <w:jc w:val="both"/>
                    <w:rPr/>
                  </w:pPr>
                  <w:r>
                    <w:rPr/>
                  </w:r>
                </w:p>
                <w:p>
                  <w:pPr>
                    <w:pStyle w:val="Normal"/>
                    <w:shd w:val="clear" w:color="auto" w:fill="FFFFFF"/>
                    <w:spacing w:lineRule="auto" w:line="240" w:before="0" w:after="0"/>
                    <w:jc w:val="both"/>
                    <w:rPr/>
                  </w:pPr>
                  <w:r>
                    <w:rPr/>
                  </w:r>
                </w:p>
                <w:p>
                  <w:pPr>
                    <w:pStyle w:val="Normal"/>
                    <w:shd w:val="clear" w:color="auto" w:fill="FFFFFF"/>
                    <w:spacing w:lineRule="auto" w:line="240" w:before="0" w:after="0"/>
                    <w:jc w:val="both"/>
                    <w:rPr/>
                  </w:pPr>
                  <w:r>
                    <w:rPr/>
                    <w:t xml:space="preserve">Vyriausiosios tarnybinės etikos komisijos pirmininkas </w:t>
                  </w:r>
                </w:p>
                <w:p>
                  <w:pPr>
                    <w:pStyle w:val="Normal"/>
                    <w:shd w:val="clear" w:color="auto" w:fill="FFFFFF" w:themeFill="background1"/>
                    <w:spacing w:lineRule="auto" w:line="240" w:before="0" w:after="0"/>
                    <w:jc w:val="both"/>
                    <w:rPr/>
                  </w:pPr>
                  <w:r>
                    <w:rPr/>
                    <w:t>Gediminas Sakalauskas</w:t>
                  </w:r>
                </w:p>
                <w:p>
                  <w:pPr>
                    <w:pStyle w:val="Normal"/>
                    <w:shd w:val="clear" w:color="auto" w:fill="FFFFFF"/>
                    <w:spacing w:lineRule="auto" w:line="240" w:before="0" w:after="0"/>
                    <w:jc w:val="both"/>
                    <w:rPr>
                      <w:b/>
                    </w:rPr>
                  </w:pPr>
                  <w:r>
                    <w:rPr>
                      <w:b/>
                    </w:rPr>
                  </w:r>
                </w:p>
                <w:p>
                  <w:pPr>
                    <w:pStyle w:val="Normal"/>
                    <w:shd w:val="clear" w:color="auto" w:fill="FFFFFF"/>
                    <w:spacing w:lineRule="auto" w:line="240" w:before="0" w:after="0"/>
                    <w:jc w:val="both"/>
                    <w:rPr>
                      <w:b/>
                    </w:rPr>
                  </w:pPr>
                  <w:r>
                    <w:rPr>
                      <w:b/>
                    </w:rPr>
                    <w:t>___________________________</w:t>
                  </w:r>
                </w:p>
                <w:p>
                  <w:pPr>
                    <w:pStyle w:val="Normal"/>
                    <w:shd w:val="clear" w:color="auto" w:fill="FFFFFF"/>
                    <w:spacing w:lineRule="auto" w:line="240" w:before="0" w:after="0"/>
                    <w:jc w:val="both"/>
                    <w:rPr>
                      <w:bCs/>
                    </w:rPr>
                  </w:pPr>
                  <w:r>
                    <w:rPr>
                      <w:bCs/>
                    </w:rPr>
                    <w:t xml:space="preserve">A. V.                                  Parašas              </w:t>
                  </w:r>
                </w:p>
              </w:tc>
              <w:tc>
                <w:tcPr>
                  <w:tcW w:w="1235" w:type="dxa"/>
                  <w:tcBorders/>
                </w:tcPr>
                <w:p>
                  <w:pPr>
                    <w:pStyle w:val="Normal"/>
                    <w:tabs>
                      <w:tab w:val="clear" w:pos="1296"/>
                      <w:tab w:val="left" w:pos="360" w:leader="none"/>
                    </w:tabs>
                    <w:spacing w:lineRule="auto" w:line="240" w:before="0" w:after="0"/>
                    <w:rPr>
                      <w:b/>
                    </w:rPr>
                  </w:pPr>
                  <w:r>
                    <w:rPr>
                      <w:b/>
                    </w:rPr>
                  </w:r>
                </w:p>
              </w:tc>
              <w:tc>
                <w:tcPr>
                  <w:tcW w:w="3730" w:type="dxa"/>
                  <w:tcBorders/>
                </w:tcPr>
                <w:p>
                  <w:pPr>
                    <w:pStyle w:val="Normal"/>
                    <w:tabs>
                      <w:tab w:val="clear" w:pos="1296"/>
                      <w:tab w:val="left" w:pos="360" w:leader="none"/>
                    </w:tabs>
                    <w:spacing w:lineRule="auto" w:line="240" w:before="0" w:after="0"/>
                    <w:rPr/>
                  </w:pPr>
                  <w:r>
                    <w:rPr/>
                  </w:r>
                </w:p>
                <w:p>
                  <w:pPr>
                    <w:pStyle w:val="Normal"/>
                    <w:tabs>
                      <w:tab w:val="clear" w:pos="1296"/>
                      <w:tab w:val="left" w:pos="360" w:leader="none"/>
                    </w:tabs>
                    <w:spacing w:lineRule="auto" w:line="240" w:before="0" w:after="0"/>
                    <w:rPr>
                      <w:b/>
                    </w:rPr>
                  </w:pPr>
                  <w:r>
                    <w:rPr>
                      <w:b/>
                    </w:rPr>
                  </w:r>
                </w:p>
                <w:p>
                  <w:pPr>
                    <w:pStyle w:val="Normal"/>
                    <w:tabs>
                      <w:tab w:val="clear" w:pos="1296"/>
                      <w:tab w:val="left" w:pos="360" w:leader="none"/>
                    </w:tabs>
                    <w:spacing w:lineRule="auto" w:line="240" w:before="0" w:after="0"/>
                    <w:rPr>
                      <w:b/>
                    </w:rPr>
                  </w:pPr>
                  <w:r>
                    <w:rPr>
                      <w:b/>
                    </w:rPr>
                    <w:t>Paslaugų teikėjas</w:t>
                  </w:r>
                </w:p>
                <w:p>
                  <w:pPr>
                    <w:pStyle w:val="Default"/>
                    <w:rPr>
                      <w:color w:val="auto"/>
                    </w:rPr>
                  </w:pPr>
                  <w:r>
                    <w:rPr>
                      <w:color w:val="auto"/>
                    </w:rPr>
                  </w:r>
                </w:p>
                <w:p>
                  <w:pPr>
                    <w:pStyle w:val="Default"/>
                    <w:rPr>
                      <w:color w:val="auto"/>
                    </w:rPr>
                  </w:pPr>
                  <w:r>
                    <w:rPr>
                      <w:color w:val="auto"/>
                    </w:rPr>
                    <w:t>Vilija Kruopienė</w:t>
                  </w:r>
                </w:p>
                <w:p>
                  <w:pPr>
                    <w:pStyle w:val="Default"/>
                    <w:rPr>
                      <w:color w:val="auto"/>
                    </w:rPr>
                  </w:pPr>
                  <w:r>
                    <w:rPr>
                      <w:color w:val="auto"/>
                    </w:rPr>
                    <w:t xml:space="preserve">Asmens kodas </w:t>
                  </w:r>
                  <w:r>
                    <w:rPr>
                      <w:rFonts w:cs="Arial" w:ascii="Arial" w:hAnsi="Arial"/>
                      <w:color w:val="999999"/>
                      <w:sz w:val="20"/>
                      <w:szCs w:val="20"/>
                    </w:rPr>
                    <w:t>[uždengti asmens duomenys]</w:t>
                  </w:r>
                </w:p>
                <w:p>
                  <w:pPr>
                    <w:pStyle w:val="Normal"/>
                    <w:tabs>
                      <w:tab w:val="clear" w:pos="1296"/>
                      <w:tab w:val="left" w:pos="0" w:leader="none"/>
                      <w:tab w:val="left" w:pos="709" w:leader="none"/>
                    </w:tabs>
                    <w:spacing w:before="48" w:after="48"/>
                    <w:ind w:hanging="709" w:left="709"/>
                    <w:rPr>
                      <w:rFonts w:ascii="Arial" w:hAnsi="Arial" w:cs="Arial"/>
                      <w:sz w:val="20"/>
                      <w:szCs w:val="20"/>
                    </w:rPr>
                  </w:pPr>
                  <w:r>
                    <w:rPr>
                      <w:rFonts w:cs="Arial" w:ascii="Arial" w:hAnsi="Arial"/>
                      <w:color w:val="999999"/>
                      <w:sz w:val="20"/>
                      <w:szCs w:val="20"/>
                    </w:rPr>
                    <w:t>[uždengti asmens duomenys]</w:t>
                  </w:r>
                </w:p>
                <w:p>
                  <w:pPr>
                    <w:pStyle w:val="Default"/>
                    <w:rPr>
                      <w:color w:val="auto"/>
                    </w:rPr>
                  </w:pPr>
                  <w:r>
                    <w:rPr>
                      <w:color w:val="auto"/>
                    </w:rPr>
                    <w:t xml:space="preserve">Tel. </w:t>
                  </w:r>
                  <w:r>
                    <w:rPr>
                      <w:rFonts w:cs="Arial" w:ascii="Arial" w:hAnsi="Arial"/>
                      <w:color w:val="999999"/>
                      <w:sz w:val="20"/>
                      <w:szCs w:val="20"/>
                    </w:rPr>
                    <w:t>[uždengti asmens duomenys]</w:t>
                  </w:r>
                </w:p>
                <w:p>
                  <w:pPr>
                    <w:pStyle w:val="Default"/>
                    <w:rPr>
                      <w:color w:val="auto"/>
                    </w:rPr>
                  </w:pPr>
                  <w:r>
                    <w:rPr>
                      <w:color w:val="auto"/>
                    </w:rPr>
                    <w:t xml:space="preserve">El. p. </w:t>
                  </w:r>
                  <w:r>
                    <w:rPr>
                      <w:rStyle w:val="Hyperlink"/>
                      <w:rFonts w:cs="Arial" w:ascii="Arial" w:hAnsi="Arial"/>
                      <w:color w:val="999999"/>
                      <w:sz w:val="20"/>
                      <w:szCs w:val="20"/>
                    </w:rPr>
                    <w:t>[uždengti asmens duomenys]</w:t>
                  </w:r>
                </w:p>
                <w:p>
                  <w:pPr>
                    <w:pStyle w:val="Default"/>
                    <w:rPr/>
                  </w:pPr>
                  <w:r>
                    <w:rPr>
                      <w:color w:val="auto"/>
                    </w:rPr>
                    <w:t>IVV pažymos Nr.</w:t>
                  </w:r>
                  <w:r>
                    <w:rPr/>
                    <w:t xml:space="preserve"> 723268</w:t>
                  </w:r>
                </w:p>
                <w:p>
                  <w:pPr>
                    <w:pStyle w:val="Default"/>
                    <w:rPr>
                      <w:color w:val="auto"/>
                    </w:rPr>
                  </w:pPr>
                  <w:r>
                    <w:rPr>
                      <w:shd w:fill="FFFFFF" w:val="clear"/>
                    </w:rPr>
                    <w:t xml:space="preserve">A. s. </w:t>
                  </w:r>
                  <w:r>
                    <w:rPr>
                      <w:rFonts w:cs="Arial" w:ascii="Arial" w:hAnsi="Arial"/>
                      <w:color w:val="999999"/>
                      <w:sz w:val="20"/>
                      <w:szCs w:val="20"/>
                      <w:shd w:fill="FFFFFF" w:val="clear"/>
                    </w:rPr>
                    <w:t>[uždengti asmens duomenys]</w:t>
                  </w:r>
                </w:p>
                <w:p>
                  <w:pPr>
                    <w:pStyle w:val="Default"/>
                    <w:rPr>
                      <w:color w:val="auto"/>
                    </w:rPr>
                  </w:pPr>
                  <w:r>
                    <w:rPr>
                      <w:color w:val="auto"/>
                    </w:rPr>
                  </w:r>
                </w:p>
                <w:p>
                  <w:pPr>
                    <w:pStyle w:val="Default"/>
                    <w:rPr/>
                  </w:pPr>
                  <w:r>
                    <w:rPr/>
                    <w:t>Vilija Kruopienė</w:t>
                  </w:r>
                </w:p>
                <w:p>
                  <w:pPr>
                    <w:pStyle w:val="Default"/>
                    <w:rPr/>
                  </w:pPr>
                  <w:r>
                    <w:rPr/>
                  </w:r>
                </w:p>
                <w:p>
                  <w:pPr>
                    <w:pStyle w:val="Default"/>
                    <w:rPr/>
                  </w:pPr>
                  <w:r>
                    <w:rPr/>
                  </w:r>
                </w:p>
                <w:p>
                  <w:pPr>
                    <w:pStyle w:val="Default"/>
                    <w:rPr/>
                  </w:pPr>
                  <w:r>
                    <w:rPr/>
                  </w:r>
                </w:p>
                <w:p>
                  <w:pPr>
                    <w:pStyle w:val="Default"/>
                    <w:rPr/>
                  </w:pPr>
                  <w:r>
                    <w:rPr/>
                    <w:t>________________________</w:t>
                  </w:r>
                </w:p>
                <w:p>
                  <w:pPr>
                    <w:pStyle w:val="Default"/>
                    <w:rPr/>
                  </w:pPr>
                  <w:r>
                    <w:rPr/>
                    <w:t>Parašas</w:t>
                  </w:r>
                </w:p>
              </w:tc>
            </w:tr>
          </w:tbl>
          <w:p>
            <w:pPr>
              <w:pStyle w:val="Normal"/>
              <w:tabs>
                <w:tab w:val="clear" w:pos="1296"/>
                <w:tab w:val="left" w:pos="851" w:leader="none"/>
              </w:tabs>
              <w:spacing w:lineRule="auto" w:line="240" w:before="0" w:after="0"/>
              <w:ind w:firstLine="720"/>
              <w:jc w:val="both"/>
              <w:rPr>
                <w:rFonts w:eastAsia="Times New Roman"/>
                <w:b/>
                <w:szCs w:val="24"/>
                <w:lang w:eastAsia="lt-LT"/>
              </w:rPr>
            </w:pPr>
            <w:r>
              <w:rPr>
                <w:rFonts w:eastAsia="Times New Roman"/>
                <w:b/>
                <w:szCs w:val="24"/>
                <w:lang w:eastAsia="lt-LT"/>
              </w:rPr>
            </w:r>
          </w:p>
        </w:tc>
      </w:tr>
    </w:tbl>
    <w:p>
      <w:pPr>
        <w:pStyle w:val="Normal"/>
        <w:spacing w:lineRule="auto" w:line="240" w:before="0" w:after="0"/>
        <w:ind w:firstLine="720"/>
        <w:jc w:val="both"/>
        <w:rPr>
          <w:szCs w:val="24"/>
        </w:rPr>
      </w:pPr>
      <w:r>
        <w:rPr>
          <w:szCs w:val="24"/>
        </w:rPr>
      </w:r>
    </w:p>
    <w:sectPr>
      <w:footerReference w:type="default" r:id="rId4"/>
      <w:type w:val="nextPage"/>
      <w:pgSz w:w="11906" w:h="16838"/>
      <w:pgMar w:left="1701" w:right="567" w:gutter="0" w:header="0" w:top="426" w:footer="567" w:bottom="113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Palemonas">
    <w:charset w:val="00"/>
    <w:family w:val="roman"/>
    <w:pitch w:val="variable"/>
  </w:font>
  <w:font w:name="Courier New">
    <w:charset w:val="00"/>
    <w:family w:val="roman"/>
    <w:pitch w:val="variable"/>
  </w:font>
  <w:font w:name="Segoe UI">
    <w:charset w:val="00"/>
    <w:family w:val="roman"/>
    <w:pitch w:val="variable"/>
  </w:font>
  <w:font w:name="Liberation Sans">
    <w:altName w:val="Arial"/>
    <w:charset w:val="00"/>
    <w:family w:val="roman"/>
    <w:pitch w:val="variable"/>
  </w:font>
  <w:font w:name="Tahoma">
    <w:charset w:val="00"/>
    <w:family w:val="roman"/>
    <w:pitch w:val="variable"/>
  </w:font>
  <w:font w:name="TimesLT">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01711762"/>
    </w:sdtPr>
    <w:sdtContent>
      <w:p>
        <w:pPr>
          <w:pStyle w:val="Footer"/>
          <w:jc w:val="right"/>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1."/>
      <w:lvlJc w:val="left"/>
      <w:pPr>
        <w:tabs>
          <w:tab w:val="num" w:pos="0"/>
        </w:tabs>
        <w:ind w:left="1152" w:hanging="432"/>
      </w:pPr>
      <w:rPr/>
    </w:lvl>
    <w:lvl w:ilvl="1">
      <w:start w:val="1"/>
      <w:pStyle w:val="Heading2"/>
      <w:numFmt w:val="decimal"/>
      <w:suff w:val="space"/>
      <w:lvlText w:val="%1.%2."/>
      <w:lvlJc w:val="left"/>
      <w:pPr>
        <w:tabs>
          <w:tab w:val="num" w:pos="0"/>
        </w:tabs>
        <w:ind w:left="415" w:firstLine="720"/>
      </w:pPr>
      <w:rPr>
        <w:dstrike w:val="false"/>
        <w:strike w:val="false"/>
        <w:i w:val="false"/>
        <w:b w:val="false"/>
      </w:rPr>
    </w:lvl>
    <w:lvl w:ilvl="2">
      <w:start w:val="1"/>
      <w:pStyle w:val="Heading3"/>
      <w:numFmt w:val="decimal"/>
      <w:suff w:val="space"/>
      <w:lvlText w:val="%1.%2.%3."/>
      <w:lvlJc w:val="left"/>
      <w:pPr>
        <w:tabs>
          <w:tab w:val="num" w:pos="0"/>
        </w:tabs>
        <w:ind w:left="-294" w:firstLine="720"/>
      </w:pPr>
      <w:rPr/>
    </w:lvl>
    <w:lvl w:ilvl="3">
      <w:start w:val="1"/>
      <w:pStyle w:val="Heading4"/>
      <w:numFmt w:val="decimal"/>
      <w:lvlText w:val="%1.%2.%3.%4"/>
      <w:lvlJc w:val="left"/>
      <w:pPr>
        <w:tabs>
          <w:tab w:val="num" w:pos="1584"/>
        </w:tabs>
        <w:ind w:left="1584" w:hanging="864"/>
      </w:pPr>
      <w:rPr/>
    </w:lvl>
    <w:lvl w:ilvl="4">
      <w:start w:val="1"/>
      <w:pStyle w:val="Heading5"/>
      <w:numFmt w:val="decimal"/>
      <w:lvlText w:val="%1.%2.%3.%4.%5"/>
      <w:lvlJc w:val="left"/>
      <w:pPr>
        <w:tabs>
          <w:tab w:val="num" w:pos="1728"/>
        </w:tabs>
        <w:ind w:left="1728" w:hanging="1008"/>
      </w:pPr>
      <w:rPr/>
    </w:lvl>
    <w:lvl w:ilvl="5">
      <w:start w:val="1"/>
      <w:pStyle w:val="Heading6"/>
      <w:numFmt w:val="decimal"/>
      <w:lvlText w:val="%1.%2.%3.%4.%5.%6"/>
      <w:lvlJc w:val="left"/>
      <w:pPr>
        <w:tabs>
          <w:tab w:val="num" w:pos="1872"/>
        </w:tabs>
        <w:ind w:left="1872" w:hanging="1152"/>
      </w:pPr>
      <w:rPr/>
    </w:lvl>
    <w:lvl w:ilvl="6">
      <w:start w:val="1"/>
      <w:pStyle w:val="Heading7"/>
      <w:numFmt w:val="decimal"/>
      <w:lvlText w:val="%1.%2.%3.%4.%5.%6.%7"/>
      <w:lvlJc w:val="left"/>
      <w:pPr>
        <w:tabs>
          <w:tab w:val="num" w:pos="2016"/>
        </w:tabs>
        <w:ind w:left="2016" w:hanging="1296"/>
      </w:pPr>
      <w:rPr/>
    </w:lvl>
    <w:lvl w:ilvl="7">
      <w:start w:val="1"/>
      <w:pStyle w:val="Heading8"/>
      <w:numFmt w:val="decimal"/>
      <w:lvlText w:val="%1.%2.%3.%4.%5.%6.%7.%8"/>
      <w:lvlJc w:val="left"/>
      <w:pPr>
        <w:tabs>
          <w:tab w:val="num" w:pos="2160"/>
        </w:tabs>
        <w:ind w:left="2160" w:hanging="1440"/>
      </w:pPr>
      <w:rPr/>
    </w:lvl>
    <w:lvl w:ilvl="8">
      <w:start w:val="1"/>
      <w:pStyle w:val="Heading9"/>
      <w:numFmt w:val="decimal"/>
      <w:lvlText w:val="%1.%2.%3.%4.%5.%6.%7.%8.%9"/>
      <w:lvlJc w:val="left"/>
      <w:pPr>
        <w:tabs>
          <w:tab w:val="num" w:pos="2304"/>
        </w:tabs>
        <w:ind w:left="2304" w:hanging="1584"/>
      </w:pPr>
      <w:rPr/>
    </w:lvl>
  </w:abstractNum>
  <w:abstractNum w:abstractNumId="2">
    <w:lvl w:ilvl="0">
      <w:start w:val="3"/>
      <w:numFmt w:val="decimal"/>
      <w:lvlText w:val="%1."/>
      <w:lvlJc w:val="left"/>
      <w:pPr>
        <w:tabs>
          <w:tab w:val="num" w:pos="540"/>
        </w:tabs>
        <w:ind w:left="540" w:hanging="540"/>
      </w:pPr>
      <w:rPr/>
    </w:lvl>
    <w:lvl w:ilvl="1">
      <w:start w:val="1"/>
      <w:numFmt w:val="decimal"/>
      <w:lvlText w:val="%1.%2."/>
      <w:lvlJc w:val="left"/>
      <w:pPr>
        <w:tabs>
          <w:tab w:val="num" w:pos="540"/>
        </w:tabs>
        <w:ind w:left="540" w:hanging="54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3">
    <w:lvl w:ilvl="0">
      <w:start w:val="3"/>
      <w:numFmt w:val="decimal"/>
      <w:lvlText w:val="%1."/>
      <w:lvlJc w:val="left"/>
      <w:pPr>
        <w:tabs>
          <w:tab w:val="num" w:pos="0"/>
        </w:tabs>
        <w:ind w:left="360" w:hanging="360"/>
      </w:pPr>
      <w:rPr>
        <w:b w:val="false"/>
      </w:rPr>
    </w:lvl>
    <w:lvl w:ilvl="1">
      <w:start w:val="1"/>
      <w:numFmt w:val="decimal"/>
      <w:lvlText w:val="%1.%2."/>
      <w:lvlJc w:val="left"/>
      <w:pPr>
        <w:tabs>
          <w:tab w:val="num" w:pos="0"/>
        </w:tabs>
        <w:ind w:left="1080" w:hanging="360"/>
      </w:pPr>
      <w:rPr>
        <w:b w:val="false"/>
      </w:rPr>
    </w:lvl>
    <w:lvl w:ilvl="2">
      <w:start w:val="1"/>
      <w:numFmt w:val="decimal"/>
      <w:lvlText w:val="%1.%2.%3."/>
      <w:lvlJc w:val="left"/>
      <w:pPr>
        <w:tabs>
          <w:tab w:val="num" w:pos="0"/>
        </w:tabs>
        <w:ind w:left="2160" w:hanging="720"/>
      </w:pPr>
      <w:rPr>
        <w:b w:val="false"/>
      </w:rPr>
    </w:lvl>
    <w:lvl w:ilvl="3">
      <w:start w:val="1"/>
      <w:numFmt w:val="decimal"/>
      <w:lvlText w:val="%1.%2.%3.%4."/>
      <w:lvlJc w:val="left"/>
      <w:pPr>
        <w:tabs>
          <w:tab w:val="num" w:pos="0"/>
        </w:tabs>
        <w:ind w:left="2880" w:hanging="720"/>
      </w:pPr>
      <w:rPr>
        <w:b w:val="false"/>
      </w:rPr>
    </w:lvl>
    <w:lvl w:ilvl="4">
      <w:start w:val="1"/>
      <w:numFmt w:val="decimal"/>
      <w:lvlText w:val="%1.%2.%3.%4.%5."/>
      <w:lvlJc w:val="left"/>
      <w:pPr>
        <w:tabs>
          <w:tab w:val="num" w:pos="0"/>
        </w:tabs>
        <w:ind w:left="3960" w:hanging="1080"/>
      </w:pPr>
      <w:rPr>
        <w:b w:val="false"/>
      </w:rPr>
    </w:lvl>
    <w:lvl w:ilvl="5">
      <w:start w:val="1"/>
      <w:numFmt w:val="decimal"/>
      <w:lvlText w:val="%1.%2.%3.%4.%5.%6."/>
      <w:lvlJc w:val="left"/>
      <w:pPr>
        <w:tabs>
          <w:tab w:val="num" w:pos="0"/>
        </w:tabs>
        <w:ind w:left="4680" w:hanging="1080"/>
      </w:pPr>
      <w:rPr>
        <w:b w:val="false"/>
      </w:rPr>
    </w:lvl>
    <w:lvl w:ilvl="6">
      <w:start w:val="1"/>
      <w:numFmt w:val="decimal"/>
      <w:lvlText w:val="%1.%2.%3.%4.%5.%6.%7."/>
      <w:lvlJc w:val="left"/>
      <w:pPr>
        <w:tabs>
          <w:tab w:val="num" w:pos="0"/>
        </w:tabs>
        <w:ind w:left="5760" w:hanging="1440"/>
      </w:pPr>
      <w:rPr>
        <w:b w:val="false"/>
      </w:rPr>
    </w:lvl>
    <w:lvl w:ilvl="7">
      <w:start w:val="1"/>
      <w:numFmt w:val="decimal"/>
      <w:lvlText w:val="%1.%2.%3.%4.%5.%6.%7.%8."/>
      <w:lvlJc w:val="left"/>
      <w:pPr>
        <w:tabs>
          <w:tab w:val="num" w:pos="0"/>
        </w:tabs>
        <w:ind w:left="6480" w:hanging="1440"/>
      </w:pPr>
      <w:rPr>
        <w:b w:val="false"/>
      </w:rPr>
    </w:lvl>
    <w:lvl w:ilvl="8">
      <w:start w:val="1"/>
      <w:numFmt w:val="decimal"/>
      <w:lvlText w:val="%1.%2.%3.%4.%5.%6.%7.%8.%9."/>
      <w:lvlJc w:val="left"/>
      <w:pPr>
        <w:tabs>
          <w:tab w:val="num" w:pos="0"/>
        </w:tabs>
        <w:ind w:left="7560" w:hanging="1800"/>
      </w:pPr>
      <w:rPr>
        <w:b w:val="fals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74c2"/>
    <w:pPr>
      <w:widowControl/>
      <w:suppressAutoHyphens w:val="true"/>
      <w:bidi w:val="0"/>
      <w:spacing w:lineRule="auto" w:line="276" w:before="0" w:after="200"/>
      <w:jc w:val="left"/>
    </w:pPr>
    <w:rPr>
      <w:rFonts w:ascii="Times New Roman" w:hAnsi="Times New Roman" w:cs="Times New Roman" w:eastAsia="Calibri" w:eastAsiaTheme="minorHAnsi"/>
      <w:color w:val="auto"/>
      <w:kern w:val="0"/>
      <w:sz w:val="24"/>
      <w:szCs w:val="22"/>
      <w:lang w:val="lt-LT" w:eastAsia="en-US" w:bidi="ar-SA"/>
    </w:rPr>
  </w:style>
  <w:style w:type="paragraph" w:styleId="Heading1">
    <w:name w:val="Heading 1"/>
    <w:basedOn w:val="Normal"/>
    <w:next w:val="Normal"/>
    <w:link w:val="Antrat1Diagrama"/>
    <w:qFormat/>
    <w:rsid w:val="001674c2"/>
    <w:pPr>
      <w:keepNext w:val="true"/>
      <w:numPr>
        <w:ilvl w:val="0"/>
        <w:numId w:val="1"/>
      </w:numPr>
      <w:spacing w:lineRule="auto" w:line="240" w:before="360" w:after="360"/>
      <w:jc w:val="center"/>
      <w:outlineLvl w:val="0"/>
    </w:pPr>
    <w:rPr>
      <w:sz w:val="28"/>
      <w:lang w:eastAsia="lt-LT"/>
    </w:rPr>
  </w:style>
  <w:style w:type="paragraph" w:styleId="Heading2">
    <w:name w:val="Heading 2"/>
    <w:basedOn w:val="Normal"/>
    <w:next w:val="Normal"/>
    <w:link w:val="Antrat2Diagrama"/>
    <w:qFormat/>
    <w:rsid w:val="001674c2"/>
    <w:pPr>
      <w:numPr>
        <w:ilvl w:val="1"/>
        <w:numId w:val="1"/>
      </w:numPr>
      <w:spacing w:lineRule="auto" w:line="240" w:before="0" w:after="0"/>
      <w:jc w:val="both"/>
      <w:outlineLvl w:val="1"/>
    </w:pPr>
    <w:rPr>
      <w:rFonts w:eastAsia="Times New Roman"/>
      <w:szCs w:val="20"/>
      <w:lang w:eastAsia="lt-LT"/>
    </w:rPr>
  </w:style>
  <w:style w:type="paragraph" w:styleId="Heading3">
    <w:name w:val="Heading 3"/>
    <w:basedOn w:val="Normal"/>
    <w:next w:val="Normal"/>
    <w:link w:val="Antrat3Diagrama"/>
    <w:qFormat/>
    <w:rsid w:val="001674c2"/>
    <w:pPr>
      <w:keepNext w:val="true"/>
      <w:numPr>
        <w:ilvl w:val="2"/>
        <w:numId w:val="1"/>
      </w:numPr>
      <w:spacing w:lineRule="auto" w:line="240" w:before="0" w:after="0"/>
      <w:jc w:val="both"/>
      <w:outlineLvl w:val="2"/>
    </w:pPr>
    <w:rPr>
      <w:rFonts w:eastAsia="Times New Roman"/>
      <w:szCs w:val="20"/>
      <w:lang w:eastAsia="lt-LT"/>
    </w:rPr>
  </w:style>
  <w:style w:type="paragraph" w:styleId="Heading4">
    <w:name w:val="Heading 4"/>
    <w:basedOn w:val="Normal"/>
    <w:next w:val="Normal"/>
    <w:link w:val="Antrat4Diagrama"/>
    <w:qFormat/>
    <w:rsid w:val="001674c2"/>
    <w:pPr>
      <w:keepNext w:val="true"/>
      <w:numPr>
        <w:ilvl w:val="3"/>
        <w:numId w:val="1"/>
      </w:numPr>
      <w:spacing w:lineRule="auto" w:line="240" w:before="0" w:after="0"/>
      <w:outlineLvl w:val="3"/>
    </w:pPr>
    <w:rPr>
      <w:rFonts w:eastAsia="Times New Roman"/>
      <w:b/>
      <w:sz w:val="44"/>
      <w:szCs w:val="20"/>
      <w:lang w:eastAsia="lt-LT"/>
    </w:rPr>
  </w:style>
  <w:style w:type="paragraph" w:styleId="Heading5">
    <w:name w:val="Heading 5"/>
    <w:basedOn w:val="Normal"/>
    <w:next w:val="Normal"/>
    <w:link w:val="Antrat5Diagrama"/>
    <w:qFormat/>
    <w:rsid w:val="001674c2"/>
    <w:pPr>
      <w:keepNext w:val="true"/>
      <w:numPr>
        <w:ilvl w:val="4"/>
        <w:numId w:val="1"/>
      </w:numPr>
      <w:spacing w:lineRule="auto" w:line="240" w:before="0" w:after="0"/>
      <w:outlineLvl w:val="4"/>
    </w:pPr>
    <w:rPr>
      <w:rFonts w:eastAsia="Times New Roman"/>
      <w:b/>
      <w:sz w:val="40"/>
      <w:szCs w:val="20"/>
      <w:lang w:eastAsia="lt-LT"/>
    </w:rPr>
  </w:style>
  <w:style w:type="paragraph" w:styleId="Heading6">
    <w:name w:val="Heading 6"/>
    <w:basedOn w:val="Normal"/>
    <w:next w:val="Normal"/>
    <w:link w:val="Antrat6Diagrama"/>
    <w:qFormat/>
    <w:rsid w:val="001674c2"/>
    <w:pPr>
      <w:keepNext w:val="true"/>
      <w:numPr>
        <w:ilvl w:val="5"/>
        <w:numId w:val="1"/>
      </w:numPr>
      <w:spacing w:lineRule="auto" w:line="240" w:before="0" w:after="0"/>
      <w:outlineLvl w:val="5"/>
    </w:pPr>
    <w:rPr>
      <w:rFonts w:eastAsia="Times New Roman"/>
      <w:b/>
      <w:sz w:val="36"/>
      <w:szCs w:val="20"/>
      <w:lang w:eastAsia="lt-LT"/>
    </w:rPr>
  </w:style>
  <w:style w:type="paragraph" w:styleId="Heading7">
    <w:name w:val="Heading 7"/>
    <w:basedOn w:val="Normal"/>
    <w:next w:val="Normal"/>
    <w:link w:val="Antrat7Diagrama"/>
    <w:qFormat/>
    <w:rsid w:val="001674c2"/>
    <w:pPr>
      <w:keepNext w:val="true"/>
      <w:numPr>
        <w:ilvl w:val="6"/>
        <w:numId w:val="1"/>
      </w:numPr>
      <w:spacing w:lineRule="auto" w:line="240" w:before="0" w:after="0"/>
      <w:outlineLvl w:val="6"/>
    </w:pPr>
    <w:rPr>
      <w:rFonts w:eastAsia="Times New Roman"/>
      <w:sz w:val="48"/>
      <w:szCs w:val="20"/>
      <w:lang w:eastAsia="lt-LT"/>
    </w:rPr>
  </w:style>
  <w:style w:type="paragraph" w:styleId="Heading8">
    <w:name w:val="Heading 8"/>
    <w:basedOn w:val="Normal"/>
    <w:next w:val="Normal"/>
    <w:link w:val="Antrat8Diagrama"/>
    <w:qFormat/>
    <w:rsid w:val="001674c2"/>
    <w:pPr>
      <w:keepNext w:val="true"/>
      <w:numPr>
        <w:ilvl w:val="7"/>
        <w:numId w:val="1"/>
      </w:numPr>
      <w:spacing w:lineRule="auto" w:line="240" w:before="0" w:after="0"/>
      <w:outlineLvl w:val="7"/>
    </w:pPr>
    <w:rPr>
      <w:rFonts w:eastAsia="Times New Roman"/>
      <w:b/>
      <w:sz w:val="18"/>
      <w:szCs w:val="20"/>
      <w:lang w:eastAsia="lt-LT"/>
    </w:rPr>
  </w:style>
  <w:style w:type="paragraph" w:styleId="Heading9">
    <w:name w:val="Heading 9"/>
    <w:basedOn w:val="Normal"/>
    <w:next w:val="Normal"/>
    <w:link w:val="Antrat9Diagrama"/>
    <w:qFormat/>
    <w:rsid w:val="001674c2"/>
    <w:pPr>
      <w:keepNext w:val="true"/>
      <w:numPr>
        <w:ilvl w:val="8"/>
        <w:numId w:val="1"/>
      </w:numPr>
      <w:spacing w:lineRule="auto" w:line="240" w:before="0" w:after="0"/>
      <w:outlineLvl w:val="8"/>
    </w:pPr>
    <w:rPr>
      <w:rFonts w:eastAsia="Times New Roman"/>
      <w:sz w:val="40"/>
      <w:szCs w:val="20"/>
      <w:lang w:eastAsia="lt-LT"/>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qFormat/>
    <w:rsid w:val="001674c2"/>
    <w:rPr>
      <w:rFonts w:ascii="Times New Roman" w:hAnsi="Times New Roman" w:eastAsia="Calibri" w:cs="Times New Roman"/>
      <w:sz w:val="28"/>
      <w:lang w:eastAsia="lt-LT"/>
    </w:rPr>
  </w:style>
  <w:style w:type="character" w:styleId="Antrat2Diagrama" w:customStyle="1">
    <w:name w:val="Antraštė 2 Diagrama"/>
    <w:basedOn w:val="DefaultParagraphFont"/>
    <w:link w:val="Heading2"/>
    <w:qFormat/>
    <w:rsid w:val="001674c2"/>
    <w:rPr>
      <w:rFonts w:ascii="Times New Roman" w:hAnsi="Times New Roman" w:eastAsia="Times New Roman" w:cs="Times New Roman"/>
      <w:sz w:val="24"/>
      <w:szCs w:val="20"/>
      <w:lang w:eastAsia="lt-LT"/>
    </w:rPr>
  </w:style>
  <w:style w:type="character" w:styleId="Antrat3Diagrama" w:customStyle="1">
    <w:name w:val="Antraštė 3 Diagrama"/>
    <w:basedOn w:val="DefaultParagraphFont"/>
    <w:link w:val="Heading3"/>
    <w:qFormat/>
    <w:rsid w:val="001674c2"/>
    <w:rPr>
      <w:rFonts w:ascii="Times New Roman" w:hAnsi="Times New Roman" w:eastAsia="Times New Roman" w:cs="Times New Roman"/>
      <w:sz w:val="24"/>
      <w:szCs w:val="20"/>
      <w:lang w:eastAsia="lt-LT"/>
    </w:rPr>
  </w:style>
  <w:style w:type="character" w:styleId="Antrat4Diagrama" w:customStyle="1">
    <w:name w:val="Antraštė 4 Diagrama"/>
    <w:basedOn w:val="DefaultParagraphFont"/>
    <w:link w:val="Heading4"/>
    <w:qFormat/>
    <w:rsid w:val="001674c2"/>
    <w:rPr>
      <w:rFonts w:ascii="Times New Roman" w:hAnsi="Times New Roman" w:eastAsia="Times New Roman" w:cs="Times New Roman"/>
      <w:b/>
      <w:sz w:val="44"/>
      <w:szCs w:val="20"/>
      <w:lang w:eastAsia="lt-LT"/>
    </w:rPr>
  </w:style>
  <w:style w:type="character" w:styleId="Antrat5Diagrama" w:customStyle="1">
    <w:name w:val="Antraštė 5 Diagrama"/>
    <w:basedOn w:val="DefaultParagraphFont"/>
    <w:link w:val="Heading5"/>
    <w:qFormat/>
    <w:rsid w:val="001674c2"/>
    <w:rPr>
      <w:rFonts w:ascii="Times New Roman" w:hAnsi="Times New Roman" w:eastAsia="Times New Roman" w:cs="Times New Roman"/>
      <w:b/>
      <w:sz w:val="40"/>
      <w:szCs w:val="20"/>
      <w:lang w:eastAsia="lt-LT"/>
    </w:rPr>
  </w:style>
  <w:style w:type="character" w:styleId="Antrat6Diagrama" w:customStyle="1">
    <w:name w:val="Antraštė 6 Diagrama"/>
    <w:basedOn w:val="DefaultParagraphFont"/>
    <w:link w:val="Heading6"/>
    <w:qFormat/>
    <w:rsid w:val="001674c2"/>
    <w:rPr>
      <w:rFonts w:ascii="Times New Roman" w:hAnsi="Times New Roman" w:eastAsia="Times New Roman" w:cs="Times New Roman"/>
      <w:b/>
      <w:sz w:val="36"/>
      <w:szCs w:val="20"/>
      <w:lang w:eastAsia="lt-LT"/>
    </w:rPr>
  </w:style>
  <w:style w:type="character" w:styleId="Antrat7Diagrama" w:customStyle="1">
    <w:name w:val="Antraštė 7 Diagrama"/>
    <w:basedOn w:val="DefaultParagraphFont"/>
    <w:link w:val="Heading7"/>
    <w:qFormat/>
    <w:rsid w:val="001674c2"/>
    <w:rPr>
      <w:rFonts w:ascii="Times New Roman" w:hAnsi="Times New Roman" w:eastAsia="Times New Roman" w:cs="Times New Roman"/>
      <w:sz w:val="48"/>
      <w:szCs w:val="20"/>
      <w:lang w:eastAsia="lt-LT"/>
    </w:rPr>
  </w:style>
  <w:style w:type="character" w:styleId="Antrat8Diagrama" w:customStyle="1">
    <w:name w:val="Antraštė 8 Diagrama"/>
    <w:basedOn w:val="DefaultParagraphFont"/>
    <w:link w:val="Heading8"/>
    <w:qFormat/>
    <w:rsid w:val="001674c2"/>
    <w:rPr>
      <w:rFonts w:ascii="Times New Roman" w:hAnsi="Times New Roman" w:eastAsia="Times New Roman" w:cs="Times New Roman"/>
      <w:b/>
      <w:sz w:val="18"/>
      <w:szCs w:val="20"/>
      <w:lang w:eastAsia="lt-LT"/>
    </w:rPr>
  </w:style>
  <w:style w:type="character" w:styleId="Antrat9Diagrama" w:customStyle="1">
    <w:name w:val="Antraštė 9 Diagrama"/>
    <w:basedOn w:val="DefaultParagraphFont"/>
    <w:link w:val="Heading9"/>
    <w:qFormat/>
    <w:rsid w:val="001674c2"/>
    <w:rPr>
      <w:rFonts w:ascii="Times New Roman" w:hAnsi="Times New Roman" w:eastAsia="Times New Roman" w:cs="Times New Roman"/>
      <w:sz w:val="40"/>
      <w:szCs w:val="20"/>
      <w:lang w:eastAsia="lt-LT"/>
    </w:rPr>
  </w:style>
  <w:style w:type="character" w:styleId="Hyperlink">
    <w:name w:val="Hyperlink"/>
    <w:rsid w:val="001674c2"/>
    <w:rPr>
      <w:color w:val="0000FF"/>
      <w:u w:val="single"/>
    </w:rPr>
  </w:style>
  <w:style w:type="character" w:styleId="SraopastraipaDiagrama" w:customStyle="1">
    <w:name w:val="Sąrašo pastraipa Diagrama"/>
    <w:link w:val="ListParagraph"/>
    <w:uiPriority w:val="34"/>
    <w:qFormat/>
    <w:rsid w:val="001674c2"/>
    <w:rPr>
      <w:rFonts w:ascii="Times New Roman" w:hAnsi="Times New Roman" w:eastAsia="Times New Roman" w:cs="Times New Roman"/>
      <w:sz w:val="24"/>
      <w:szCs w:val="24"/>
    </w:rPr>
  </w:style>
  <w:style w:type="character" w:styleId="PoratDiagrama" w:customStyle="1">
    <w:name w:val="Poraštė Diagrama"/>
    <w:basedOn w:val="DefaultParagraphFont"/>
    <w:link w:val="Footer"/>
    <w:uiPriority w:val="99"/>
    <w:qFormat/>
    <w:rsid w:val="001674c2"/>
    <w:rPr>
      <w:rFonts w:ascii="Times New Roman" w:hAnsi="Times New Roman" w:eastAsia="Times New Roman" w:cs="Times New Roman"/>
      <w:sz w:val="24"/>
      <w:szCs w:val="20"/>
      <w:lang w:eastAsia="ar-SA"/>
    </w:rPr>
  </w:style>
  <w:style w:type="character" w:styleId="Pagrindiniotekstotrauka3Diagrama" w:customStyle="1">
    <w:name w:val="Pagrindinio teksto įtrauka 3 Diagrama"/>
    <w:basedOn w:val="DefaultParagraphFont"/>
    <w:link w:val="BodyTextIndent3"/>
    <w:qFormat/>
    <w:rsid w:val="001674c2"/>
    <w:rPr>
      <w:rFonts w:ascii="Palemonas" w:hAnsi="Palemonas" w:eastAsia="Times New Roman" w:cs="Times New Roman"/>
      <w:sz w:val="16"/>
      <w:szCs w:val="16"/>
      <w:lang w:eastAsia="lt-LT"/>
    </w:rPr>
  </w:style>
  <w:style w:type="character" w:styleId="Pagrindiniotekstotrauka2Diagrama" w:customStyle="1">
    <w:name w:val="Pagrindinio teksto įtrauka 2 Diagrama"/>
    <w:basedOn w:val="DefaultParagraphFont"/>
    <w:link w:val="BodyTextIndent2"/>
    <w:qFormat/>
    <w:rsid w:val="001674c2"/>
    <w:rPr>
      <w:rFonts w:ascii="Palemonas" w:hAnsi="Palemonas" w:eastAsia="Times New Roman" w:cs="Times New Roman"/>
      <w:sz w:val="24"/>
      <w:szCs w:val="24"/>
      <w:lang w:eastAsia="lt-LT"/>
    </w:rPr>
  </w:style>
  <w:style w:type="character" w:styleId="Typewriter" w:customStyle="1">
    <w:name w:val="Typewriter"/>
    <w:qFormat/>
    <w:rsid w:val="001674c2"/>
    <w:rPr>
      <w:rFonts w:ascii="Courier New" w:hAnsi="Courier New"/>
      <w:sz w:val="20"/>
    </w:rPr>
  </w:style>
  <w:style w:type="character" w:styleId="PagrindiniotekstotraukaDiagrama" w:customStyle="1">
    <w:name w:val="Pagrindinio teksto įtrauka Diagrama"/>
    <w:basedOn w:val="DefaultParagraphFont"/>
    <w:uiPriority w:val="99"/>
    <w:semiHidden/>
    <w:qFormat/>
    <w:rsid w:val="001674c2"/>
    <w:rPr>
      <w:rFonts w:ascii="Times New Roman" w:hAnsi="Times New Roman" w:eastAsia="Calibri" w:cs="Times New Roman"/>
      <w:sz w:val="24"/>
    </w:rPr>
  </w:style>
  <w:style w:type="character" w:styleId="SraopastraipaDiagrama1" w:customStyle="1">
    <w:name w:val="Sąrašo pastraipa Diagrama1"/>
    <w:uiPriority w:val="34"/>
    <w:qFormat/>
    <w:locked/>
    <w:rsid w:val="00115b96"/>
    <w:rPr/>
  </w:style>
  <w:style w:type="character" w:styleId="Neapdorotaspaminjimas1" w:customStyle="1">
    <w:name w:val="Neapdorotas paminėjimas1"/>
    <w:basedOn w:val="DefaultParagraphFont"/>
    <w:uiPriority w:val="99"/>
    <w:semiHidden/>
    <w:unhideWhenUsed/>
    <w:qFormat/>
    <w:rsid w:val="00dc231c"/>
    <w:rPr>
      <w:color w:val="808080"/>
      <w:shd w:fill="E6E6E6" w:val="clear"/>
    </w:rPr>
  </w:style>
  <w:style w:type="character" w:styleId="Strong">
    <w:name w:val="Strong"/>
    <w:uiPriority w:val="22"/>
    <w:qFormat/>
    <w:rsid w:val="002772bf"/>
    <w:rPr>
      <w:b/>
      <w:bCs/>
    </w:rPr>
  </w:style>
  <w:style w:type="character" w:styleId="Neapdorotaspaminjimas2" w:customStyle="1">
    <w:name w:val="Neapdorotas paminėjimas2"/>
    <w:basedOn w:val="DefaultParagraphFont"/>
    <w:uiPriority w:val="99"/>
    <w:semiHidden/>
    <w:unhideWhenUsed/>
    <w:qFormat/>
    <w:rsid w:val="00e03a38"/>
    <w:rPr>
      <w:color w:val="808080"/>
      <w:shd w:fill="E6E6E6" w:val="clear"/>
    </w:rPr>
  </w:style>
  <w:style w:type="character" w:styleId="DebesliotekstasDiagrama" w:customStyle="1">
    <w:name w:val="Debesėlio tekstas Diagrama"/>
    <w:basedOn w:val="DefaultParagraphFont"/>
    <w:link w:val="BalloonText"/>
    <w:uiPriority w:val="99"/>
    <w:semiHidden/>
    <w:qFormat/>
    <w:rsid w:val="002753bc"/>
    <w:rPr>
      <w:rFonts w:ascii="Segoe UI" w:hAnsi="Segoe UI" w:eastAsia="Calibri" w:cs="Segoe UI"/>
      <w:sz w:val="18"/>
      <w:szCs w:val="18"/>
    </w:rPr>
  </w:style>
  <w:style w:type="character" w:styleId="Annotationreference">
    <w:name w:val="annotation reference"/>
    <w:basedOn w:val="DefaultParagraphFont"/>
    <w:uiPriority w:val="99"/>
    <w:semiHidden/>
    <w:unhideWhenUsed/>
    <w:qFormat/>
    <w:rsid w:val="00573929"/>
    <w:rPr>
      <w:sz w:val="16"/>
      <w:szCs w:val="16"/>
    </w:rPr>
  </w:style>
  <w:style w:type="character" w:styleId="KomentarotekstasDiagrama" w:customStyle="1">
    <w:name w:val="Komentaro tekstas Diagrama"/>
    <w:basedOn w:val="DefaultParagraphFont"/>
    <w:link w:val="Annotationtext"/>
    <w:uiPriority w:val="99"/>
    <w:semiHidden/>
    <w:qFormat/>
    <w:rsid w:val="00573929"/>
    <w:rPr>
      <w:rFonts w:ascii="Times New Roman" w:hAnsi="Times New Roman" w:eastAsia="Calibri" w:cs="Times New Roman"/>
      <w:sz w:val="20"/>
      <w:szCs w:val="20"/>
    </w:rPr>
  </w:style>
  <w:style w:type="character" w:styleId="KomentarotemaDiagrama" w:customStyle="1">
    <w:name w:val="Komentaro tema Diagrama"/>
    <w:basedOn w:val="KomentarotekstasDiagrama"/>
    <w:link w:val="Annotationsubject"/>
    <w:uiPriority w:val="99"/>
    <w:semiHidden/>
    <w:qFormat/>
    <w:rsid w:val="00573929"/>
    <w:rPr>
      <w:rFonts w:ascii="Times New Roman" w:hAnsi="Times New Roman" w:eastAsia="Calibri" w:cs="Times New Roman"/>
      <w:b/>
      <w:bCs/>
      <w:sz w:val="20"/>
      <w:szCs w:val="20"/>
    </w:rPr>
  </w:style>
  <w:style w:type="character" w:styleId="AntratsDiagrama" w:customStyle="1">
    <w:name w:val="Antraštės Diagrama"/>
    <w:basedOn w:val="DefaultParagraphFont"/>
    <w:link w:val="Header"/>
    <w:uiPriority w:val="99"/>
    <w:qFormat/>
    <w:rsid w:val="00c46264"/>
    <w:rPr>
      <w:rFonts w:ascii="Times New Roman" w:hAnsi="Times New Roman" w:eastAsia="Calibri" w:cs="Times New Roman"/>
      <w:sz w:val="24"/>
    </w:rPr>
  </w:style>
  <w:style w:type="character" w:styleId="ListParagraphChar1" w:customStyle="1">
    <w:name w:val="List Paragraph Char1"/>
    <w:qFormat/>
    <w:rsid w:val="00691697"/>
    <w:rPr>
      <w:rFonts w:ascii="Times New Roman" w:hAnsi="Times New Roman" w:eastAsia="Times New Roman" w:cs="Times New Roman"/>
      <w:sz w:val="24"/>
      <w:szCs w:val="20"/>
      <w:lang w:eastAsia="en-US"/>
    </w:rPr>
  </w:style>
  <w:style w:type="character" w:styleId="BetarpDiagrama" w:customStyle="1">
    <w:name w:val="Be tarpų Diagrama"/>
    <w:link w:val="NoSpacing"/>
    <w:uiPriority w:val="1"/>
    <w:qFormat/>
    <w:rsid w:val="00dd5983"/>
    <w:rPr>
      <w:rFonts w:ascii="Times New Roman" w:hAnsi="Times New Roman" w:eastAsia="Times New Roman" w:cs="Times New Roman"/>
      <w:sz w:val="24"/>
      <w:szCs w:val="20"/>
      <w:lang w:eastAsia="lt-LT"/>
    </w:rPr>
  </w:style>
  <w:style w:type="character" w:styleId="Pagrindinistekstas2Diagrama" w:customStyle="1">
    <w:name w:val="Pagrindinis tekstas 2 Diagrama"/>
    <w:basedOn w:val="DefaultParagraphFont"/>
    <w:link w:val="BodyText2"/>
    <w:uiPriority w:val="99"/>
    <w:semiHidden/>
    <w:qFormat/>
    <w:rsid w:val="00ec1785"/>
    <w:rPr>
      <w:rFonts w:ascii="Times New Roman" w:hAnsi="Times New Roman" w:eastAsia="Calibri" w:cs="Times New Roman"/>
      <w:sz w:val="24"/>
    </w:rPr>
  </w:style>
  <w:style w:type="character" w:styleId="UnresolvedMention">
    <w:name w:val="Unresolved Mention"/>
    <w:basedOn w:val="DefaultParagraphFont"/>
    <w:uiPriority w:val="99"/>
    <w:semiHidden/>
    <w:unhideWhenUsed/>
    <w:qFormat/>
    <w:rsid w:val="00421c2c"/>
    <w:rPr>
      <w:color w:val="605E5C"/>
      <w:shd w:fill="E1DFDD" w:val="clear"/>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Cs w:val="24"/>
    </w:rPr>
  </w:style>
  <w:style w:type="paragraph" w:styleId="ListParagraph">
    <w:name w:val="List Paragraph"/>
    <w:basedOn w:val="Normal"/>
    <w:link w:val="SraopastraipaDiagrama"/>
    <w:uiPriority w:val="34"/>
    <w:qFormat/>
    <w:rsid w:val="001674c2"/>
    <w:pPr>
      <w:spacing w:lineRule="auto" w:line="240" w:before="0" w:after="0"/>
      <w:ind w:firstLine="720" w:left="720"/>
      <w:contextualSpacing/>
    </w:pPr>
    <w:rPr>
      <w:rFonts w:eastAsia="Times New Roman"/>
      <w:szCs w:val="24"/>
    </w:rPr>
  </w:style>
  <w:style w:type="paragraph" w:styleId="BlockText">
    <w:name w:val="Block Text"/>
    <w:basedOn w:val="Normal"/>
    <w:semiHidden/>
    <w:qFormat/>
    <w:rsid w:val="001674c2"/>
    <w:pPr>
      <w:shd w:val="clear" w:color="auto" w:fill="FFFFFF"/>
      <w:spacing w:lineRule="auto" w:line="240" w:before="0" w:after="0"/>
      <w:ind w:left="10" w:right="29"/>
      <w:jc w:val="both"/>
    </w:pPr>
    <w:rPr>
      <w:rFonts w:eastAsia="Times New Roman"/>
      <w:b/>
      <w:bCs/>
      <w:szCs w:val="24"/>
      <w:u w:val="single"/>
    </w:rPr>
  </w:style>
  <w:style w:type="paragraph" w:styleId="HeaderandFooter" w:customStyle="1">
    <w:name w:val="Header and Footer"/>
    <w:basedOn w:val="Normal"/>
    <w:qFormat/>
    <w:pPr/>
    <w:rPr/>
  </w:style>
  <w:style w:type="paragraph" w:styleId="Footer">
    <w:name w:val="Footer"/>
    <w:basedOn w:val="Normal"/>
    <w:link w:val="PoratDiagrama"/>
    <w:uiPriority w:val="99"/>
    <w:rsid w:val="001674c2"/>
    <w:pPr>
      <w:tabs>
        <w:tab w:val="clear" w:pos="1296"/>
        <w:tab w:val="center" w:pos="4320" w:leader="none"/>
        <w:tab w:val="right" w:pos="8640" w:leader="none"/>
      </w:tabs>
      <w:spacing w:lineRule="auto" w:line="240" w:before="0" w:after="0"/>
    </w:pPr>
    <w:rPr>
      <w:rFonts w:eastAsia="Times New Roman"/>
      <w:szCs w:val="20"/>
      <w:lang w:eastAsia="ar-SA"/>
    </w:rPr>
  </w:style>
  <w:style w:type="paragraph" w:styleId="BodyTextIndent3">
    <w:name w:val="Body Text Indent 3"/>
    <w:basedOn w:val="Normal"/>
    <w:link w:val="Pagrindiniotekstotrauka3Diagrama"/>
    <w:qFormat/>
    <w:rsid w:val="001674c2"/>
    <w:pPr>
      <w:spacing w:lineRule="auto" w:line="240" w:before="0" w:after="120"/>
      <w:ind w:left="283"/>
    </w:pPr>
    <w:rPr>
      <w:rFonts w:ascii="Palemonas" w:hAnsi="Palemonas" w:eastAsia="Times New Roman"/>
      <w:sz w:val="16"/>
      <w:szCs w:val="16"/>
      <w:lang w:eastAsia="lt-LT"/>
    </w:rPr>
  </w:style>
  <w:style w:type="paragraph" w:styleId="BodyTextIndent2">
    <w:name w:val="Body Text Indent 2"/>
    <w:basedOn w:val="Normal"/>
    <w:link w:val="Pagrindiniotekstotrauka2Diagrama"/>
    <w:qFormat/>
    <w:rsid w:val="001674c2"/>
    <w:pPr>
      <w:spacing w:lineRule="auto" w:line="480" w:before="0" w:after="120"/>
      <w:ind w:left="283"/>
    </w:pPr>
    <w:rPr>
      <w:rFonts w:ascii="Palemonas" w:hAnsi="Palemonas" w:eastAsia="Times New Roman"/>
      <w:szCs w:val="24"/>
      <w:lang w:eastAsia="lt-LT"/>
    </w:rPr>
  </w:style>
  <w:style w:type="paragraph" w:styleId="DiagramaDiagrama7" w:customStyle="1">
    <w:name w:val="Diagrama Diagrama7"/>
    <w:basedOn w:val="Normal"/>
    <w:qFormat/>
    <w:rsid w:val="001674c2"/>
    <w:pPr>
      <w:spacing w:lineRule="exact" w:line="240" w:before="0" w:after="160"/>
    </w:pPr>
    <w:rPr>
      <w:rFonts w:ascii="Tahoma" w:hAnsi="Tahoma" w:eastAsia="Times New Roman"/>
      <w:sz w:val="20"/>
      <w:szCs w:val="20"/>
      <w:lang w:val="en-US"/>
    </w:rPr>
  </w:style>
  <w:style w:type="paragraph" w:styleId="BodyTextIndent">
    <w:name w:val="Body Text Indent"/>
    <w:basedOn w:val="Normal"/>
    <w:link w:val="PagrindiniotekstotraukaDiagrama"/>
    <w:uiPriority w:val="99"/>
    <w:semiHidden/>
    <w:unhideWhenUsed/>
    <w:rsid w:val="001674c2"/>
    <w:pPr>
      <w:spacing w:before="0" w:after="120"/>
      <w:ind w:left="283"/>
    </w:pPr>
    <w:rPr/>
  </w:style>
  <w:style w:type="paragraph" w:styleId="Pagrindinistekstas1" w:customStyle="1">
    <w:name w:val="Pagrindinis tekstas1"/>
    <w:qFormat/>
    <w:rsid w:val="001674c2"/>
    <w:pPr>
      <w:widowControl/>
      <w:suppressAutoHyphens w:val="true"/>
      <w:bidi w:val="0"/>
      <w:snapToGrid w:val="false"/>
      <w:spacing w:before="0" w:after="0"/>
      <w:ind w:firstLine="312"/>
      <w:jc w:val="both"/>
    </w:pPr>
    <w:rPr>
      <w:rFonts w:ascii="TimesLT" w:hAnsi="TimesLT" w:eastAsia="Times New Roman" w:cs="Times New Roman"/>
      <w:color w:val="auto"/>
      <w:kern w:val="0"/>
      <w:sz w:val="20"/>
      <w:szCs w:val="20"/>
      <w:lang w:val="en-US" w:eastAsia="en-US" w:bidi="ar-SA"/>
    </w:rPr>
  </w:style>
  <w:style w:type="paragraph" w:styleId="BalloonText">
    <w:name w:val="Balloon Text"/>
    <w:basedOn w:val="Normal"/>
    <w:link w:val="DebesliotekstasDiagrama"/>
    <w:uiPriority w:val="99"/>
    <w:semiHidden/>
    <w:unhideWhenUsed/>
    <w:qFormat/>
    <w:rsid w:val="002753bc"/>
    <w:pPr>
      <w:spacing w:lineRule="auto" w:line="240" w:before="0" w:after="0"/>
    </w:pPr>
    <w:rPr>
      <w:rFonts w:ascii="Segoe UI" w:hAnsi="Segoe UI" w:cs="Segoe UI"/>
      <w:sz w:val="18"/>
      <w:szCs w:val="18"/>
    </w:rPr>
  </w:style>
  <w:style w:type="paragraph" w:styleId="NormalWeb">
    <w:name w:val="Normal (Web)"/>
    <w:basedOn w:val="Normal"/>
    <w:uiPriority w:val="99"/>
    <w:semiHidden/>
    <w:unhideWhenUsed/>
    <w:qFormat/>
    <w:rsid w:val="00a86f0e"/>
    <w:pPr>
      <w:spacing w:lineRule="auto" w:line="240" w:beforeAutospacing="1" w:after="360"/>
    </w:pPr>
    <w:rPr>
      <w:rFonts w:eastAsia="Times New Roman"/>
      <w:szCs w:val="24"/>
      <w:lang w:eastAsia="lt-LT"/>
    </w:rPr>
  </w:style>
  <w:style w:type="paragraph" w:styleId="Annotationtext">
    <w:name w:val="annotation text"/>
    <w:basedOn w:val="Normal"/>
    <w:link w:val="KomentarotekstasDiagrama"/>
    <w:uiPriority w:val="99"/>
    <w:semiHidden/>
    <w:unhideWhenUsed/>
    <w:qFormat/>
    <w:rsid w:val="00573929"/>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573929"/>
    <w:pPr/>
    <w:rPr>
      <w:b/>
      <w:bCs/>
    </w:rPr>
  </w:style>
  <w:style w:type="paragraph" w:styleId="Header">
    <w:name w:val="Header"/>
    <w:basedOn w:val="Normal"/>
    <w:link w:val="AntratsDiagrama"/>
    <w:uiPriority w:val="99"/>
    <w:unhideWhenUsed/>
    <w:rsid w:val="00c46264"/>
    <w:pPr>
      <w:tabs>
        <w:tab w:val="clear" w:pos="1296"/>
        <w:tab w:val="center" w:pos="4819" w:leader="none"/>
        <w:tab w:val="right" w:pos="9638" w:leader="none"/>
      </w:tabs>
      <w:spacing w:lineRule="auto" w:line="240" w:before="0" w:after="0"/>
    </w:pPr>
    <w:rPr/>
  </w:style>
  <w:style w:type="paragraph" w:styleId="NoSpacing">
    <w:name w:val="No Spacing"/>
    <w:link w:val="BetarpDiagrama"/>
    <w:uiPriority w:val="1"/>
    <w:qFormat/>
    <w:rsid w:val="00dd5983"/>
    <w:pPr>
      <w:widowControl/>
      <w:suppressAutoHyphens w:val="true"/>
      <w:bidi w:val="0"/>
      <w:spacing w:before="0" w:after="0"/>
      <w:jc w:val="left"/>
    </w:pPr>
    <w:rPr>
      <w:rFonts w:ascii="Times New Roman" w:hAnsi="Times New Roman" w:eastAsia="Times New Roman" w:cs="Times New Roman"/>
      <w:color w:val="auto"/>
      <w:kern w:val="0"/>
      <w:sz w:val="24"/>
      <w:szCs w:val="20"/>
      <w:lang w:eastAsia="lt-LT" w:val="lt-LT" w:bidi="ar-SA"/>
    </w:rPr>
  </w:style>
  <w:style w:type="paragraph" w:styleId="BodyText2">
    <w:name w:val="Body Text 2"/>
    <w:basedOn w:val="Normal"/>
    <w:link w:val="Pagrindinistekstas2Diagrama"/>
    <w:uiPriority w:val="99"/>
    <w:semiHidden/>
    <w:unhideWhenUsed/>
    <w:qFormat/>
    <w:rsid w:val="00ec1785"/>
    <w:pPr>
      <w:spacing w:lineRule="auto" w:line="480" w:before="0" w:after="120"/>
    </w:pPr>
    <w:rPr/>
  </w:style>
  <w:style w:type="paragraph" w:styleId="Brdtekst" w:customStyle="1">
    <w:name w:val="Brødtekst"/>
    <w:basedOn w:val="Normal"/>
    <w:qFormat/>
    <w:rsid w:val="002913f7"/>
    <w:pPr>
      <w:spacing w:lineRule="auto" w:line="240" w:before="0" w:after="0"/>
      <w:jc w:val="both"/>
    </w:pPr>
    <w:rPr>
      <w:rFonts w:eastAsia="Times New Roman"/>
      <w:sz w:val="22"/>
      <w:szCs w:val="20"/>
    </w:rPr>
  </w:style>
  <w:style w:type="paragraph" w:styleId="Default" w:customStyle="1">
    <w:name w:val="Default"/>
    <w:qFormat/>
    <w:rsid w:val="00a56ea4"/>
    <w:pPr>
      <w:widowControl/>
      <w:suppressAutoHyphens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Revision">
    <w:name w:val="Revision"/>
    <w:uiPriority w:val="99"/>
    <w:semiHidden/>
    <w:qFormat/>
    <w:rsid w:val="009350c2"/>
    <w:pPr>
      <w:widowControl/>
      <w:suppressAutoHyphens w:val="true"/>
      <w:bidi w:val="0"/>
      <w:spacing w:before="0" w:after="0"/>
      <w:jc w:val="left"/>
    </w:pPr>
    <w:rPr>
      <w:rFonts w:ascii="Times New Roman" w:hAnsi="Times New Roman" w:cs="Times New Roman" w:eastAsia="Calibri" w:eastAsiaTheme="minorHAnsi"/>
      <w:color w:val="auto"/>
      <w:kern w:val="0"/>
      <w:sz w:val="24"/>
      <w:szCs w:val="22"/>
      <w:lang w:val="lt-LT" w:eastAsia="en-US" w:bidi="ar-SA"/>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1674c2"/>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abis.nbfc.lt/;" TargetMode="External"/><Relationship Id="rId3" Type="http://schemas.openxmlformats.org/officeDocument/2006/relationships/hyperlink" Target="mailto:vtek@vtek.lt"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67FD6-1A8A-4957-8BF4-6F1321F28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LibreOffice/7.6.4.1$Windows_X86_64 LibreOffice_project/e19e193f88cd6c0525a17fb7a176ed8e6a3e2aa1</Application>
  <AppVersion>15.0000</AppVersion>
  <Pages>4</Pages>
  <Words>1378</Words>
  <Characters>9577</Characters>
  <CharactersWithSpaces>11225</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2024-09-18T11:17:00Z</dcterms:created>
  <dc:creator>Dell_17</dc:creator>
  <dc:description/>
  <dc:language>en-US</dc:language>
  <cp:lastModifiedBy/>
  <cp:lastPrinted>2022-01-06T13:17:00Z</cp:lastPrinted>
  <dcterms:modified xsi:type="dcterms:W3CDTF">2024-10-08T12:44:06Z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