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7E0" w:rsidRDefault="00EF17E0" w:rsidP="00EF17E0">
      <w:pPr>
        <w:ind w:left="2592" w:firstLine="1296"/>
        <w:jc w:val="center"/>
        <w:rPr>
          <w:sz w:val="24"/>
          <w:szCs w:val="24"/>
        </w:rPr>
      </w:pPr>
      <w:r w:rsidRPr="00EF17E0">
        <w:rPr>
          <w:sz w:val="24"/>
          <w:szCs w:val="24"/>
        </w:rPr>
        <w:t xml:space="preserve">2024 m. </w:t>
      </w:r>
      <w:r>
        <w:rPr>
          <w:sz w:val="24"/>
          <w:szCs w:val="24"/>
        </w:rPr>
        <w:t>spalio</w:t>
      </w:r>
      <w:r w:rsidR="00577ED9">
        <w:rPr>
          <w:sz w:val="24"/>
          <w:szCs w:val="24"/>
        </w:rPr>
        <w:t xml:space="preserve"> 9</w:t>
      </w:r>
      <w:r w:rsidRPr="00EF17E0">
        <w:rPr>
          <w:sz w:val="24"/>
          <w:szCs w:val="24"/>
        </w:rPr>
        <w:t xml:space="preserve"> d.  Sutarties Nr. U </w:t>
      </w:r>
      <w:r>
        <w:rPr>
          <w:sz w:val="24"/>
          <w:szCs w:val="24"/>
        </w:rPr>
        <w:t>–</w:t>
      </w:r>
      <w:r w:rsidRPr="00EF17E0">
        <w:rPr>
          <w:sz w:val="24"/>
          <w:szCs w:val="24"/>
        </w:rPr>
        <w:t xml:space="preserve"> </w:t>
      </w:r>
      <w:r w:rsidR="00577ED9">
        <w:rPr>
          <w:sz w:val="24"/>
          <w:szCs w:val="24"/>
        </w:rPr>
        <w:t>736</w:t>
      </w:r>
    </w:p>
    <w:p w:rsidR="00921242" w:rsidRPr="00EF17E0" w:rsidRDefault="00EF17E0" w:rsidP="00577ED9">
      <w:pPr>
        <w:tabs>
          <w:tab w:val="left" w:pos="4820"/>
        </w:tabs>
        <w:ind w:left="2592" w:firstLine="1296"/>
        <w:rPr>
          <w:b/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  <w:r w:rsidRPr="00EF17E0">
        <w:rPr>
          <w:sz w:val="24"/>
          <w:szCs w:val="24"/>
        </w:rPr>
        <w:t>priedas</w:t>
      </w:r>
    </w:p>
    <w:p w:rsidR="00921242" w:rsidRDefault="00921242" w:rsidP="00921242">
      <w:pPr>
        <w:jc w:val="center"/>
        <w:rPr>
          <w:b/>
          <w:sz w:val="24"/>
          <w:szCs w:val="24"/>
        </w:rPr>
      </w:pPr>
    </w:p>
    <w:p w:rsidR="00EF17E0" w:rsidRPr="00EF17E0" w:rsidRDefault="00EF17E0" w:rsidP="00921242">
      <w:pPr>
        <w:jc w:val="center"/>
        <w:rPr>
          <w:b/>
          <w:sz w:val="24"/>
          <w:szCs w:val="24"/>
        </w:rPr>
      </w:pPr>
    </w:p>
    <w:p w:rsidR="005675D8" w:rsidRPr="003139A4" w:rsidRDefault="00921242" w:rsidP="005675D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ORO KONDICIONIERIAUS</w:t>
      </w:r>
      <w:r w:rsidR="00A77809">
        <w:rPr>
          <w:b/>
          <w:sz w:val="24"/>
          <w:szCs w:val="24"/>
        </w:rPr>
        <w:t xml:space="preserve"> </w:t>
      </w:r>
      <w:r w:rsidR="00026ABB">
        <w:rPr>
          <w:b/>
          <w:sz w:val="24"/>
          <w:szCs w:val="24"/>
        </w:rPr>
        <w:t>SOP KNT</w:t>
      </w:r>
      <w:r w:rsidR="006E3BF4">
        <w:rPr>
          <w:b/>
          <w:sz w:val="24"/>
          <w:szCs w:val="24"/>
        </w:rPr>
        <w:t xml:space="preserve"> </w:t>
      </w:r>
      <w:r w:rsidR="003359A7">
        <w:rPr>
          <w:b/>
          <w:sz w:val="24"/>
          <w:szCs w:val="24"/>
        </w:rPr>
        <w:t>PASTATO 11O2p</w:t>
      </w:r>
      <w:r>
        <w:rPr>
          <w:b/>
          <w:sz w:val="24"/>
          <w:szCs w:val="24"/>
        </w:rPr>
        <w:t>, ADRESU LIEPOJOS G.5, KLAIPĖDA</w:t>
      </w:r>
      <w:r w:rsidR="005675D8">
        <w:rPr>
          <w:b/>
          <w:sz w:val="24"/>
          <w:szCs w:val="24"/>
        </w:rPr>
        <w:t>,</w:t>
      </w:r>
      <w:r w:rsidR="00BA095F">
        <w:rPr>
          <w:b/>
          <w:sz w:val="24"/>
          <w:szCs w:val="24"/>
        </w:rPr>
        <w:t xml:space="preserve"> </w:t>
      </w:r>
      <w:r w:rsidR="005675D8">
        <w:rPr>
          <w:b/>
          <w:sz w:val="24"/>
          <w:szCs w:val="24"/>
        </w:rPr>
        <w:t>TECHNINĖ SPECIFIKACIJA</w:t>
      </w:r>
    </w:p>
    <w:p w:rsidR="003139A4" w:rsidRPr="003139A4" w:rsidRDefault="003139A4" w:rsidP="003139A4">
      <w:pPr>
        <w:jc w:val="center"/>
        <w:rPr>
          <w:sz w:val="24"/>
          <w:szCs w:val="24"/>
        </w:rPr>
      </w:pPr>
    </w:p>
    <w:p w:rsidR="0063534F" w:rsidRPr="007D13DE" w:rsidRDefault="003359A7" w:rsidP="009F101C">
      <w:pPr>
        <w:ind w:firstLine="1296"/>
        <w:rPr>
          <w:sz w:val="24"/>
          <w:szCs w:val="24"/>
        </w:rPr>
      </w:pPr>
      <w:r w:rsidRPr="007D13DE">
        <w:rPr>
          <w:sz w:val="24"/>
          <w:szCs w:val="24"/>
        </w:rPr>
        <w:t xml:space="preserve">Oro kondicionavimo įrangos komplektas </w:t>
      </w:r>
      <w:r w:rsidR="00F64491" w:rsidRPr="007D13DE">
        <w:rPr>
          <w:sz w:val="24"/>
          <w:szCs w:val="24"/>
        </w:rPr>
        <w:t xml:space="preserve">perkamas </w:t>
      </w:r>
      <w:r w:rsidRPr="007D13DE">
        <w:rPr>
          <w:sz w:val="24"/>
          <w:szCs w:val="24"/>
        </w:rPr>
        <w:t>su sumontavimo ir sugedusiojo demontavimo/</w:t>
      </w:r>
      <w:r w:rsidR="00F64491" w:rsidRPr="007D13DE">
        <w:rPr>
          <w:sz w:val="24"/>
          <w:szCs w:val="24"/>
        </w:rPr>
        <w:t xml:space="preserve"> </w:t>
      </w:r>
      <w:r w:rsidRPr="007D13DE">
        <w:rPr>
          <w:sz w:val="24"/>
          <w:szCs w:val="24"/>
        </w:rPr>
        <w:t xml:space="preserve">utilizavimo paslauga. Jis bus sumontuotas serverinėje </w:t>
      </w:r>
      <w:r w:rsidR="00F64491" w:rsidRPr="007D13DE">
        <w:rPr>
          <w:sz w:val="24"/>
          <w:szCs w:val="24"/>
        </w:rPr>
        <w:t>–</w:t>
      </w:r>
      <w:r w:rsidRPr="007D13DE">
        <w:rPr>
          <w:sz w:val="24"/>
          <w:szCs w:val="24"/>
        </w:rPr>
        <w:t xml:space="preserve"> </w:t>
      </w:r>
      <w:r w:rsidR="00F64491" w:rsidRPr="007D13DE">
        <w:rPr>
          <w:sz w:val="24"/>
          <w:szCs w:val="24"/>
        </w:rPr>
        <w:t xml:space="preserve">pastatas11O2p, adresu Liepojos g. 5, Klaipėda, </w:t>
      </w:r>
      <w:r w:rsidRPr="007D13DE">
        <w:rPr>
          <w:sz w:val="24"/>
          <w:szCs w:val="24"/>
        </w:rPr>
        <w:t>vietoje</w:t>
      </w:r>
      <w:r w:rsidR="00F64491" w:rsidRPr="007D13DE">
        <w:rPr>
          <w:sz w:val="24"/>
          <w:szCs w:val="24"/>
        </w:rPr>
        <w:t xml:space="preserve"> </w:t>
      </w:r>
      <w:r w:rsidRPr="007D13DE">
        <w:rPr>
          <w:sz w:val="24"/>
          <w:szCs w:val="24"/>
        </w:rPr>
        <w:t>vieno iš dviejų esamų, sugedusio oro  kondicionieriaus komplekto.</w:t>
      </w:r>
    </w:p>
    <w:p w:rsidR="00F64491" w:rsidRPr="007D13DE" w:rsidRDefault="00F64491" w:rsidP="007D13DE">
      <w:pPr>
        <w:ind w:firstLine="1296"/>
        <w:rPr>
          <w:sz w:val="24"/>
          <w:szCs w:val="24"/>
        </w:rPr>
      </w:pPr>
      <w:r w:rsidRPr="007D13DE">
        <w:rPr>
          <w:sz w:val="24"/>
          <w:szCs w:val="24"/>
        </w:rPr>
        <w:t>Oro kondicionavimo įrangos komplektas 1 vnt. susideda  iš išorinio bloko</w:t>
      </w:r>
      <w:r w:rsidR="007D13DE">
        <w:rPr>
          <w:sz w:val="24"/>
          <w:szCs w:val="24"/>
        </w:rPr>
        <w:t xml:space="preserve"> ir </w:t>
      </w:r>
      <w:r w:rsidRPr="007D13DE">
        <w:rPr>
          <w:sz w:val="24"/>
          <w:szCs w:val="24"/>
        </w:rPr>
        <w:t>vidinio blok</w:t>
      </w:r>
      <w:r w:rsidR="007D13DE">
        <w:rPr>
          <w:sz w:val="24"/>
          <w:szCs w:val="24"/>
        </w:rPr>
        <w:t>ų</w:t>
      </w:r>
      <w:r w:rsidRPr="007D13DE">
        <w:rPr>
          <w:sz w:val="24"/>
          <w:szCs w:val="24"/>
        </w:rPr>
        <w:t xml:space="preserve">, jungčių </w:t>
      </w:r>
      <w:r w:rsidR="007D13DE">
        <w:rPr>
          <w:sz w:val="24"/>
          <w:szCs w:val="24"/>
        </w:rPr>
        <w:t>bei</w:t>
      </w:r>
      <w:r w:rsidRPr="007D13DE">
        <w:rPr>
          <w:sz w:val="24"/>
          <w:szCs w:val="24"/>
        </w:rPr>
        <w:t xml:space="preserve"> valdymo elementų. </w:t>
      </w:r>
    </w:p>
    <w:p w:rsidR="003359A7" w:rsidRDefault="00F64491" w:rsidP="007D13DE">
      <w:pPr>
        <w:ind w:firstLine="1296"/>
        <w:rPr>
          <w:sz w:val="24"/>
          <w:szCs w:val="24"/>
        </w:rPr>
      </w:pPr>
      <w:r w:rsidRPr="007D13DE">
        <w:rPr>
          <w:sz w:val="24"/>
          <w:szCs w:val="24"/>
        </w:rPr>
        <w:t>Išorinis blokas</w:t>
      </w:r>
      <w:r w:rsidR="007D13DE" w:rsidRPr="007D13DE">
        <w:rPr>
          <w:sz w:val="24"/>
          <w:szCs w:val="24"/>
        </w:rPr>
        <w:t xml:space="preserve"> HPSC06 ir vidinis blokas HPSE06</w:t>
      </w:r>
      <w:r w:rsidRPr="007D13DE">
        <w:rPr>
          <w:sz w:val="24"/>
          <w:szCs w:val="24"/>
        </w:rPr>
        <w:t xml:space="preserve"> turi atitikti </w:t>
      </w:r>
      <w:r w:rsidR="007D13DE" w:rsidRPr="007D13DE">
        <w:rPr>
          <w:sz w:val="24"/>
          <w:szCs w:val="24"/>
        </w:rPr>
        <w:t xml:space="preserve">buvusio </w:t>
      </w:r>
      <w:r w:rsidRPr="007D13DE">
        <w:rPr>
          <w:sz w:val="24"/>
          <w:szCs w:val="24"/>
        </w:rPr>
        <w:t>kondicionieriaus parametrus</w:t>
      </w:r>
      <w:r w:rsidR="007D13DE" w:rsidRPr="007D13DE">
        <w:rPr>
          <w:sz w:val="24"/>
          <w:szCs w:val="24"/>
        </w:rPr>
        <w:t xml:space="preserve"> ir </w:t>
      </w:r>
      <w:r w:rsidRPr="007D13DE">
        <w:rPr>
          <w:sz w:val="24"/>
          <w:szCs w:val="24"/>
        </w:rPr>
        <w:t>technines savybes, suderinamumą su kitu - poroje dirbančiu kondicionieriumi, jungimo jung</w:t>
      </w:r>
      <w:r w:rsidR="007D13DE" w:rsidRPr="007D13DE">
        <w:rPr>
          <w:sz w:val="24"/>
          <w:szCs w:val="24"/>
        </w:rPr>
        <w:t>tis</w:t>
      </w:r>
      <w:r w:rsidRPr="007D13DE">
        <w:rPr>
          <w:sz w:val="24"/>
          <w:szCs w:val="24"/>
        </w:rPr>
        <w:t xml:space="preserve">, </w:t>
      </w:r>
      <w:proofErr w:type="spellStart"/>
      <w:r w:rsidRPr="007D13DE">
        <w:rPr>
          <w:sz w:val="24"/>
          <w:szCs w:val="24"/>
        </w:rPr>
        <w:t>gabaritinius</w:t>
      </w:r>
      <w:proofErr w:type="spellEnd"/>
      <w:r w:rsidRPr="007D13DE">
        <w:rPr>
          <w:sz w:val="24"/>
          <w:szCs w:val="24"/>
        </w:rPr>
        <w:t xml:space="preserve"> matmenis ir kitus parametrus.</w:t>
      </w:r>
      <w:r w:rsidR="007D13DE">
        <w:rPr>
          <w:sz w:val="24"/>
          <w:szCs w:val="24"/>
        </w:rPr>
        <w:t xml:space="preserve"> Sumontavus kondicionieriaus naują komplektą, suderinti (susieti) seno ir naujo kondicionierius veikimo valdymą.</w:t>
      </w:r>
      <w:r w:rsidR="00751561">
        <w:rPr>
          <w:sz w:val="24"/>
          <w:szCs w:val="24"/>
        </w:rPr>
        <w:t xml:space="preserve"> Kondicionieriaus parametrai pateikti žemiau esančioje lentelėje.</w:t>
      </w:r>
    </w:p>
    <w:p w:rsidR="007D13DE" w:rsidRPr="007D13DE" w:rsidRDefault="00751561" w:rsidP="007D13DE">
      <w:pPr>
        <w:ind w:firstLine="1296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Esant poreikiui </w:t>
      </w:r>
      <w:r w:rsidR="000E086D">
        <w:rPr>
          <w:sz w:val="24"/>
          <w:szCs w:val="24"/>
        </w:rPr>
        <w:t>Pardavėjas</w:t>
      </w:r>
      <w:r w:rsidR="007D13DE">
        <w:rPr>
          <w:sz w:val="24"/>
          <w:szCs w:val="24"/>
        </w:rPr>
        <w:t xml:space="preserve"> gali atvykti į vietą apžiūrėti įrenginį. </w:t>
      </w:r>
    </w:p>
    <w:p w:rsidR="003359A7" w:rsidRPr="00D11E63" w:rsidRDefault="003359A7" w:rsidP="0063534F">
      <w:pPr>
        <w:spacing w:line="360" w:lineRule="auto"/>
        <w:jc w:val="both"/>
        <w:rPr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6267"/>
        <w:gridCol w:w="1294"/>
        <w:gridCol w:w="1209"/>
      </w:tblGrid>
      <w:tr w:rsidR="006E3BF4" w:rsidRPr="00413D00" w:rsidTr="006E3BF4">
        <w:trPr>
          <w:trHeight w:val="445"/>
        </w:trPr>
        <w:tc>
          <w:tcPr>
            <w:tcW w:w="870" w:type="dxa"/>
            <w:shd w:val="clear" w:color="auto" w:fill="auto"/>
            <w:vAlign w:val="center"/>
          </w:tcPr>
          <w:p w:rsidR="006E3BF4" w:rsidRPr="0010754D" w:rsidRDefault="006E3BF4" w:rsidP="007D30E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0754D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6450" w:type="dxa"/>
            <w:shd w:val="clear" w:color="auto" w:fill="auto"/>
            <w:vAlign w:val="center"/>
          </w:tcPr>
          <w:p w:rsidR="006E3BF4" w:rsidRPr="0010754D" w:rsidRDefault="006E3BF4" w:rsidP="007D30E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0754D">
              <w:rPr>
                <w:b/>
                <w:sz w:val="24"/>
                <w:szCs w:val="24"/>
              </w:rPr>
              <w:t xml:space="preserve">Prekės pavadinimas </w:t>
            </w:r>
          </w:p>
        </w:tc>
        <w:tc>
          <w:tcPr>
            <w:tcW w:w="1311" w:type="dxa"/>
            <w:vAlign w:val="center"/>
          </w:tcPr>
          <w:p w:rsidR="006E3BF4" w:rsidRPr="0010754D" w:rsidRDefault="006E3BF4" w:rsidP="007D30E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0754D">
              <w:rPr>
                <w:b/>
                <w:sz w:val="24"/>
                <w:szCs w:val="24"/>
              </w:rPr>
              <w:t>Mato vnt.</w:t>
            </w:r>
          </w:p>
        </w:tc>
        <w:tc>
          <w:tcPr>
            <w:tcW w:w="1223" w:type="dxa"/>
            <w:vAlign w:val="center"/>
          </w:tcPr>
          <w:p w:rsidR="006E3BF4" w:rsidRPr="0010754D" w:rsidRDefault="006E3BF4" w:rsidP="006E3BF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Kiekis</w:t>
            </w:r>
          </w:p>
        </w:tc>
      </w:tr>
      <w:tr w:rsidR="006E3BF4" w:rsidRPr="00413D00" w:rsidTr="006E3BF4">
        <w:trPr>
          <w:trHeight w:val="881"/>
        </w:trPr>
        <w:tc>
          <w:tcPr>
            <w:tcW w:w="870" w:type="dxa"/>
            <w:shd w:val="clear" w:color="auto" w:fill="auto"/>
            <w:vAlign w:val="center"/>
          </w:tcPr>
          <w:p w:rsidR="006E3BF4" w:rsidRPr="0010754D" w:rsidRDefault="006E3BF4" w:rsidP="007D30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0754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50" w:type="dxa"/>
            <w:shd w:val="clear" w:color="auto" w:fill="auto"/>
            <w:vAlign w:val="center"/>
          </w:tcPr>
          <w:p w:rsidR="006E3BF4" w:rsidRPr="006E3BF4" w:rsidRDefault="006E3BF4" w:rsidP="006E3BF4">
            <w:pPr>
              <w:spacing w:line="276" w:lineRule="auto"/>
              <w:rPr>
                <w:rFonts w:eastAsia="Calibri"/>
                <w:b/>
                <w:sz w:val="24"/>
                <w:szCs w:val="24"/>
                <w:u w:val="single"/>
              </w:rPr>
            </w:pPr>
            <w:r w:rsidRPr="006E3BF4">
              <w:rPr>
                <w:rFonts w:eastAsia="Calibri"/>
                <w:b/>
                <w:sz w:val="24"/>
                <w:szCs w:val="24"/>
                <w:u w:val="single"/>
              </w:rPr>
              <w:t xml:space="preserve"> o</w:t>
            </w:r>
            <w:r>
              <w:rPr>
                <w:rFonts w:eastAsia="Calibri"/>
                <w:b/>
                <w:sz w:val="24"/>
                <w:szCs w:val="24"/>
                <w:u w:val="single"/>
              </w:rPr>
              <w:t>ro kondicionierius</w:t>
            </w:r>
            <w:r w:rsidRPr="006E3BF4">
              <w:rPr>
                <w:rFonts w:eastAsia="Calibri"/>
                <w:b/>
                <w:sz w:val="24"/>
                <w:szCs w:val="24"/>
                <w:u w:val="single"/>
              </w:rPr>
              <w:t xml:space="preserve">: </w:t>
            </w:r>
          </w:p>
          <w:p w:rsidR="00ED21C4" w:rsidRDefault="00ED21C4" w:rsidP="006E3BF4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</w:t>
            </w:r>
            <w:r w:rsidR="008E372F">
              <w:rPr>
                <w:rFonts w:eastAsia="Calibri"/>
                <w:sz w:val="24"/>
                <w:szCs w:val="24"/>
              </w:rPr>
              <w:t>įeinamo oro temperatūra 30</w:t>
            </w:r>
            <w:r w:rsidR="00835FB9">
              <w:rPr>
                <w:rFonts w:eastAsia="Calibri"/>
                <w:sz w:val="24"/>
                <w:szCs w:val="24"/>
              </w:rPr>
              <w:t>°</w:t>
            </w:r>
            <w:r w:rsidR="008E372F">
              <w:rPr>
                <w:rFonts w:eastAsia="Calibri"/>
                <w:sz w:val="24"/>
                <w:szCs w:val="24"/>
              </w:rPr>
              <w:t xml:space="preserve"> C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:rsidR="00ED21C4" w:rsidRDefault="00ED21C4" w:rsidP="006E3BF4">
            <w:pPr>
              <w:spacing w:line="259" w:lineRule="auto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 xml:space="preserve">- </w:t>
            </w:r>
            <w:r w:rsidR="003359A7">
              <w:rPr>
                <w:rFonts w:eastAsia="Calibri"/>
                <w:sz w:val="24"/>
                <w:szCs w:val="24"/>
              </w:rPr>
              <w:t xml:space="preserve">įeinamo oro </w:t>
            </w:r>
            <w:r>
              <w:rPr>
                <w:rFonts w:eastAsia="Calibri"/>
                <w:sz w:val="24"/>
                <w:szCs w:val="24"/>
              </w:rPr>
              <w:t xml:space="preserve">santykinė drėgmė 35 </w:t>
            </w:r>
            <w:r>
              <w:rPr>
                <w:rFonts w:eastAsia="Calibri"/>
                <w:sz w:val="24"/>
                <w:szCs w:val="24"/>
                <w:lang w:val="en-US"/>
              </w:rPr>
              <w:t>%;</w:t>
            </w:r>
          </w:p>
          <w:p w:rsidR="00ED21C4" w:rsidRDefault="00ED21C4" w:rsidP="006E3BF4">
            <w:pPr>
              <w:spacing w:line="259" w:lineRule="auto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oro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srautas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E154F">
              <w:rPr>
                <w:rFonts w:eastAsia="Calibri"/>
                <w:sz w:val="24"/>
                <w:szCs w:val="24"/>
                <w:lang w:val="en-US"/>
              </w:rPr>
              <w:t>nuo</w:t>
            </w:r>
            <w:proofErr w:type="spellEnd"/>
            <w:r w:rsidR="00DE154F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1788</w:t>
            </w:r>
            <w:r w:rsidR="00DE154F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E154F">
              <w:rPr>
                <w:rFonts w:eastAsia="Calibri"/>
                <w:sz w:val="24"/>
                <w:szCs w:val="24"/>
                <w:lang w:val="en-US"/>
              </w:rPr>
              <w:t>iki</w:t>
            </w:r>
            <w:proofErr w:type="spellEnd"/>
            <w:r w:rsidR="003359A7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3960 m</w:t>
            </w:r>
            <w:r w:rsidR="00DE154F" w:rsidRPr="006E3BF4">
              <w:rPr>
                <w:rFonts w:eastAsia="Calibri"/>
                <w:sz w:val="24"/>
                <w:szCs w:val="24"/>
              </w:rPr>
              <w:t>³</w:t>
            </w:r>
            <w:r>
              <w:rPr>
                <w:rFonts w:eastAsia="Calibri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val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>;</w:t>
            </w:r>
          </w:p>
          <w:p w:rsidR="00835FB9" w:rsidRDefault="006E3BF4" w:rsidP="006E3BF4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6E3BF4">
              <w:rPr>
                <w:rFonts w:eastAsia="Calibri"/>
                <w:sz w:val="24"/>
                <w:szCs w:val="24"/>
              </w:rPr>
              <w:t xml:space="preserve">- </w:t>
            </w:r>
            <w:r w:rsidR="00DE154F">
              <w:rPr>
                <w:rFonts w:eastAsia="Calibri"/>
                <w:sz w:val="24"/>
                <w:szCs w:val="24"/>
              </w:rPr>
              <w:t>bendras vėsinimo galingumas</w:t>
            </w:r>
            <w:r w:rsidRPr="006E3BF4">
              <w:rPr>
                <w:rFonts w:eastAsia="Calibri"/>
                <w:sz w:val="24"/>
                <w:szCs w:val="24"/>
              </w:rPr>
              <w:t xml:space="preserve">: </w:t>
            </w:r>
            <w:r w:rsidR="008E372F">
              <w:rPr>
                <w:rFonts w:eastAsia="Calibri"/>
                <w:sz w:val="24"/>
                <w:szCs w:val="24"/>
              </w:rPr>
              <w:t>7</w:t>
            </w:r>
            <w:r w:rsidRPr="006E3BF4">
              <w:rPr>
                <w:rFonts w:eastAsia="Calibri"/>
                <w:sz w:val="24"/>
                <w:szCs w:val="24"/>
              </w:rPr>
              <w:t>,2 k</w:t>
            </w:r>
            <w:r w:rsidR="00ED21C4">
              <w:rPr>
                <w:rFonts w:eastAsia="Calibri"/>
                <w:sz w:val="24"/>
                <w:szCs w:val="24"/>
              </w:rPr>
              <w:t>W;</w:t>
            </w:r>
            <w:r w:rsidR="00ED21C4">
              <w:rPr>
                <w:rFonts w:eastAsia="Calibri"/>
                <w:sz w:val="24"/>
                <w:szCs w:val="24"/>
              </w:rPr>
              <w:br/>
              <w:t>- energijos efektyvumo klasė: A++</w:t>
            </w:r>
            <w:r w:rsidR="00DE154F">
              <w:rPr>
                <w:rFonts w:eastAsia="Calibri"/>
                <w:sz w:val="24"/>
                <w:szCs w:val="24"/>
              </w:rPr>
              <w:t>;</w:t>
            </w:r>
            <w:r w:rsidR="00DE154F">
              <w:rPr>
                <w:rFonts w:eastAsia="Calibri"/>
                <w:sz w:val="24"/>
                <w:szCs w:val="24"/>
              </w:rPr>
              <w:br/>
              <w:t xml:space="preserve">- triukšmo lygis: </w:t>
            </w:r>
            <w:r w:rsidR="003359A7">
              <w:rPr>
                <w:rFonts w:eastAsia="Calibri"/>
                <w:sz w:val="24"/>
                <w:szCs w:val="24"/>
              </w:rPr>
              <w:t>nominalus</w:t>
            </w:r>
            <w:r w:rsidR="00DE154F">
              <w:rPr>
                <w:rFonts w:eastAsia="Calibri"/>
                <w:sz w:val="24"/>
                <w:szCs w:val="24"/>
              </w:rPr>
              <w:t xml:space="preserve"> 61</w:t>
            </w:r>
            <w:r w:rsidR="000E086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0E086D">
              <w:rPr>
                <w:rFonts w:eastAsia="Calibri"/>
                <w:sz w:val="24"/>
                <w:szCs w:val="24"/>
              </w:rPr>
              <w:t>dB</w:t>
            </w:r>
            <w:proofErr w:type="spellEnd"/>
            <w:r w:rsidR="000E086D">
              <w:rPr>
                <w:rFonts w:eastAsia="Calibri"/>
                <w:sz w:val="24"/>
                <w:szCs w:val="24"/>
              </w:rPr>
              <w:t xml:space="preserve"> (A)</w:t>
            </w:r>
            <w:r w:rsidR="003359A7">
              <w:rPr>
                <w:rFonts w:eastAsia="Calibri"/>
                <w:sz w:val="24"/>
                <w:szCs w:val="24"/>
              </w:rPr>
              <w:t xml:space="preserve"> viduje ir maksimalus </w:t>
            </w:r>
            <w:r w:rsidR="00ED21C4">
              <w:rPr>
                <w:rFonts w:eastAsia="Calibri"/>
                <w:sz w:val="24"/>
                <w:szCs w:val="24"/>
              </w:rPr>
              <w:t>6</w:t>
            </w:r>
            <w:r w:rsidR="00DE154F">
              <w:rPr>
                <w:rFonts w:eastAsia="Calibri"/>
                <w:sz w:val="24"/>
                <w:szCs w:val="24"/>
              </w:rPr>
              <w:t>9</w:t>
            </w:r>
            <w:r w:rsidRPr="006E3BF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E3BF4">
              <w:rPr>
                <w:rFonts w:eastAsia="Calibri"/>
                <w:sz w:val="24"/>
                <w:szCs w:val="24"/>
              </w:rPr>
              <w:t>dB</w:t>
            </w:r>
            <w:proofErr w:type="spellEnd"/>
            <w:r w:rsidRPr="006E3BF4">
              <w:rPr>
                <w:rFonts w:eastAsia="Calibri"/>
                <w:sz w:val="24"/>
                <w:szCs w:val="24"/>
              </w:rPr>
              <w:t>(A)</w:t>
            </w:r>
            <w:r w:rsidR="003359A7">
              <w:rPr>
                <w:rFonts w:eastAsia="Calibri"/>
                <w:sz w:val="24"/>
                <w:szCs w:val="24"/>
              </w:rPr>
              <w:t xml:space="preserve"> lauke</w:t>
            </w:r>
            <w:r w:rsidR="00DE154F">
              <w:rPr>
                <w:rFonts w:eastAsia="Calibri"/>
                <w:sz w:val="24"/>
                <w:szCs w:val="24"/>
              </w:rPr>
              <w:t>;</w:t>
            </w:r>
            <w:r w:rsidR="00835FB9">
              <w:rPr>
                <w:rFonts w:eastAsia="Calibri"/>
                <w:sz w:val="24"/>
                <w:szCs w:val="24"/>
              </w:rPr>
              <w:br/>
              <w:t xml:space="preserve">- naudojamas R32 </w:t>
            </w:r>
            <w:proofErr w:type="spellStart"/>
            <w:r w:rsidR="00835FB9">
              <w:rPr>
                <w:rFonts w:eastAsia="Calibri"/>
                <w:sz w:val="24"/>
                <w:szCs w:val="24"/>
              </w:rPr>
              <w:t>šaltnešis</w:t>
            </w:r>
            <w:proofErr w:type="spellEnd"/>
            <w:r w:rsidR="00835FB9">
              <w:rPr>
                <w:rFonts w:eastAsia="Calibri"/>
                <w:sz w:val="24"/>
                <w:szCs w:val="24"/>
              </w:rPr>
              <w:t>;</w:t>
            </w:r>
            <w:r w:rsidRPr="006E3BF4">
              <w:rPr>
                <w:rFonts w:eastAsia="Calibri"/>
                <w:sz w:val="24"/>
                <w:szCs w:val="24"/>
              </w:rPr>
              <w:br/>
              <w:t xml:space="preserve">- komplektuojamas su </w:t>
            </w:r>
            <w:r w:rsidR="00835FB9">
              <w:rPr>
                <w:rFonts w:eastAsia="Calibri"/>
                <w:sz w:val="24"/>
                <w:szCs w:val="24"/>
              </w:rPr>
              <w:t xml:space="preserve">automatiniu valdikliu </w:t>
            </w:r>
            <w:r w:rsidRPr="006E3BF4">
              <w:rPr>
                <w:rFonts w:eastAsia="Calibri"/>
                <w:sz w:val="24"/>
                <w:szCs w:val="24"/>
              </w:rPr>
              <w:t xml:space="preserve">tvirtinamu ant </w:t>
            </w:r>
            <w:r w:rsidR="00835FB9">
              <w:rPr>
                <w:rFonts w:eastAsia="Calibri"/>
                <w:sz w:val="24"/>
                <w:szCs w:val="24"/>
              </w:rPr>
              <w:t xml:space="preserve">  </w:t>
            </w:r>
            <w:r w:rsidRPr="006E3BF4">
              <w:rPr>
                <w:rFonts w:eastAsia="Calibri"/>
                <w:sz w:val="24"/>
                <w:szCs w:val="24"/>
              </w:rPr>
              <w:t>sienos;</w:t>
            </w:r>
          </w:p>
          <w:p w:rsidR="006E3BF4" w:rsidRPr="006E3BF4" w:rsidRDefault="00835FB9" w:rsidP="00835FB9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vidinio filtro klasė (EN 16890 </w:t>
            </w:r>
            <w:r w:rsidR="00CC2DD4">
              <w:rPr>
                <w:rFonts w:eastAsia="Calibri"/>
                <w:sz w:val="24"/>
                <w:szCs w:val="24"/>
              </w:rPr>
              <w:t>STD</w:t>
            </w:r>
            <w:r>
              <w:rPr>
                <w:rFonts w:eastAsia="Calibri"/>
                <w:sz w:val="24"/>
                <w:szCs w:val="24"/>
              </w:rPr>
              <w:t>) - grubus  50</w:t>
            </w:r>
            <w:r>
              <w:rPr>
                <w:rFonts w:eastAsia="Calibri"/>
                <w:sz w:val="24"/>
                <w:szCs w:val="24"/>
                <w:lang w:val="en-US"/>
              </w:rPr>
              <w:t>%;</w:t>
            </w:r>
            <w:r w:rsidR="006E3BF4" w:rsidRPr="006E3BF4">
              <w:rPr>
                <w:rFonts w:eastAsia="Calibri"/>
                <w:sz w:val="24"/>
                <w:szCs w:val="24"/>
              </w:rPr>
              <w:br/>
              <w:t>- išorinė dalis aps</w:t>
            </w:r>
            <w:r>
              <w:rPr>
                <w:rFonts w:eastAsia="Calibri"/>
                <w:sz w:val="24"/>
                <w:szCs w:val="24"/>
              </w:rPr>
              <w:t>augota nuo užšalimo;</w:t>
            </w:r>
          </w:p>
          <w:p w:rsidR="00835FB9" w:rsidRPr="000E086D" w:rsidRDefault="00835FB9" w:rsidP="00835FB9">
            <w:pPr>
              <w:spacing w:line="259" w:lineRule="auto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- įrenginio maitinimas 1,76 kW;</w:t>
            </w:r>
          </w:p>
          <w:p w:rsidR="006E3BF4" w:rsidRDefault="00835FB9" w:rsidP="006E3BF4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</w:t>
            </w:r>
            <w:r w:rsidR="006E3BF4" w:rsidRPr="006E3BF4">
              <w:rPr>
                <w:rFonts w:eastAsia="Calibri"/>
                <w:sz w:val="24"/>
                <w:szCs w:val="24"/>
              </w:rPr>
              <w:t>elektros tiekimas 220 V, 50 Hz;</w:t>
            </w:r>
          </w:p>
          <w:p w:rsidR="00835FB9" w:rsidRPr="006E3BF4" w:rsidRDefault="00835FB9" w:rsidP="006E3BF4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Calibri"/>
                <w:sz w:val="24"/>
                <w:szCs w:val="24"/>
              </w:rPr>
              <w:t>gabaritiniai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matmenys: plotis lauko/vidaus blokų 920/800 mm; gylis lauko/vidaus blokų 390/800 mm; aukštis lauko/vidaus blokų 840/310 mm.</w:t>
            </w:r>
          </w:p>
        </w:tc>
        <w:tc>
          <w:tcPr>
            <w:tcW w:w="1311" w:type="dxa"/>
            <w:vAlign w:val="center"/>
          </w:tcPr>
          <w:p w:rsidR="006E3BF4" w:rsidRPr="0010754D" w:rsidRDefault="003359A7" w:rsidP="007D30E9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kompl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23" w:type="dxa"/>
            <w:vAlign w:val="center"/>
          </w:tcPr>
          <w:p w:rsidR="006E3BF4" w:rsidRDefault="003359A7" w:rsidP="006E3BF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4511B3" w:rsidRDefault="004511B3" w:rsidP="00AF4CEC">
      <w:pPr>
        <w:jc w:val="both"/>
        <w:rPr>
          <w:sz w:val="24"/>
          <w:szCs w:val="24"/>
          <w:u w:val="single"/>
        </w:rPr>
      </w:pPr>
    </w:p>
    <w:p w:rsidR="0055571C" w:rsidRDefault="00413D00" w:rsidP="00981116">
      <w:pPr>
        <w:jc w:val="center"/>
        <w:rPr>
          <w:b/>
          <w:sz w:val="24"/>
          <w:szCs w:val="24"/>
        </w:rPr>
      </w:pPr>
      <w:r w:rsidRPr="00413D00">
        <w:rPr>
          <w:b/>
          <w:sz w:val="24"/>
          <w:szCs w:val="24"/>
        </w:rPr>
        <w:t>Bendrieji reikalavimai</w:t>
      </w:r>
    </w:p>
    <w:p w:rsidR="00413D00" w:rsidRDefault="00413D00" w:rsidP="00AF4CEC">
      <w:pPr>
        <w:jc w:val="both"/>
        <w:rPr>
          <w:b/>
          <w:sz w:val="24"/>
          <w:szCs w:val="24"/>
        </w:rPr>
      </w:pPr>
    </w:p>
    <w:p w:rsidR="00981116" w:rsidRPr="00981116" w:rsidRDefault="003655E9" w:rsidP="009811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6E3BF4">
        <w:rPr>
          <w:sz w:val="24"/>
          <w:szCs w:val="24"/>
        </w:rPr>
        <w:t>Kondicionieria</w:t>
      </w:r>
      <w:r w:rsidR="003359A7">
        <w:rPr>
          <w:sz w:val="24"/>
          <w:szCs w:val="24"/>
        </w:rPr>
        <w:t>us komplektas</w:t>
      </w:r>
      <w:r w:rsidR="00DD10D5" w:rsidRPr="00981116">
        <w:rPr>
          <w:sz w:val="24"/>
          <w:szCs w:val="24"/>
        </w:rPr>
        <w:t xml:space="preserve"> (toli</w:t>
      </w:r>
      <w:r w:rsidR="006E3BF4">
        <w:rPr>
          <w:sz w:val="24"/>
          <w:szCs w:val="24"/>
        </w:rPr>
        <w:t>au - Prekė) turi būti pristatyt</w:t>
      </w:r>
      <w:r w:rsidR="009F101C">
        <w:rPr>
          <w:sz w:val="24"/>
          <w:szCs w:val="24"/>
        </w:rPr>
        <w:t>a ir sumontuota</w:t>
      </w:r>
      <w:r w:rsidR="007D30E9" w:rsidRPr="00981116">
        <w:rPr>
          <w:sz w:val="24"/>
          <w:szCs w:val="24"/>
        </w:rPr>
        <w:t xml:space="preserve"> Lietuvos kariuomenės Logistikos valdybos Įgulų aptarnavimo tarnybos Klaipėdos įgulos aptarnavimo centro (toliau – Pirkėjas) administru</w:t>
      </w:r>
      <w:r w:rsidR="006E3BF4">
        <w:rPr>
          <w:sz w:val="24"/>
          <w:szCs w:val="24"/>
        </w:rPr>
        <w:t>ojam</w:t>
      </w:r>
      <w:r w:rsidR="009F101C">
        <w:rPr>
          <w:sz w:val="24"/>
          <w:szCs w:val="24"/>
        </w:rPr>
        <w:t xml:space="preserve">ame </w:t>
      </w:r>
      <w:r w:rsidR="006E3BF4">
        <w:rPr>
          <w:sz w:val="24"/>
          <w:szCs w:val="24"/>
        </w:rPr>
        <w:t>objekt</w:t>
      </w:r>
      <w:r w:rsidR="009F101C">
        <w:rPr>
          <w:sz w:val="24"/>
          <w:szCs w:val="24"/>
        </w:rPr>
        <w:t>e</w:t>
      </w:r>
      <w:r w:rsidR="007D30E9" w:rsidRPr="00981116">
        <w:rPr>
          <w:sz w:val="24"/>
          <w:szCs w:val="24"/>
        </w:rPr>
        <w:t>: Liepojos</w:t>
      </w:r>
      <w:r w:rsidR="00DD10D5" w:rsidRPr="00981116">
        <w:rPr>
          <w:sz w:val="24"/>
          <w:szCs w:val="24"/>
        </w:rPr>
        <w:t xml:space="preserve"> g.</w:t>
      </w:r>
      <w:r w:rsidR="006E3BF4">
        <w:rPr>
          <w:sz w:val="24"/>
          <w:szCs w:val="24"/>
        </w:rPr>
        <w:t xml:space="preserve"> 5, Klaipėda</w:t>
      </w:r>
      <w:r w:rsidR="007D30E9" w:rsidRPr="00981116">
        <w:rPr>
          <w:sz w:val="24"/>
          <w:szCs w:val="24"/>
        </w:rPr>
        <w:t>.</w:t>
      </w:r>
    </w:p>
    <w:p w:rsidR="00DD10D5" w:rsidRPr="00981116" w:rsidRDefault="003655E9" w:rsidP="00981116">
      <w:pPr>
        <w:jc w:val="both"/>
        <w:rPr>
          <w:sz w:val="24"/>
          <w:szCs w:val="24"/>
        </w:rPr>
      </w:pPr>
      <w:r w:rsidRPr="00981116">
        <w:rPr>
          <w:sz w:val="24"/>
          <w:szCs w:val="24"/>
        </w:rPr>
        <w:t xml:space="preserve">2. </w:t>
      </w:r>
      <w:r w:rsidR="00DD10D5" w:rsidRPr="00981116">
        <w:rPr>
          <w:sz w:val="24"/>
          <w:szCs w:val="24"/>
        </w:rPr>
        <w:t>Prekė pristatoma</w:t>
      </w:r>
      <w:r w:rsidR="009F101C">
        <w:rPr>
          <w:sz w:val="24"/>
          <w:szCs w:val="24"/>
        </w:rPr>
        <w:t xml:space="preserve"> ir sumontuojama</w:t>
      </w:r>
      <w:r w:rsidR="00DD10D5" w:rsidRPr="00981116">
        <w:rPr>
          <w:sz w:val="24"/>
          <w:szCs w:val="24"/>
        </w:rPr>
        <w:t xml:space="preserve"> </w:t>
      </w:r>
      <w:r w:rsidR="006E3BF4">
        <w:rPr>
          <w:sz w:val="24"/>
          <w:szCs w:val="24"/>
        </w:rPr>
        <w:t>informavus</w:t>
      </w:r>
      <w:r w:rsidR="00453447">
        <w:rPr>
          <w:sz w:val="24"/>
          <w:szCs w:val="24"/>
        </w:rPr>
        <w:t xml:space="preserve"> Pirkėjo atstov</w:t>
      </w:r>
      <w:r w:rsidR="00DD10D5" w:rsidRPr="00981116">
        <w:rPr>
          <w:sz w:val="24"/>
          <w:szCs w:val="24"/>
        </w:rPr>
        <w:t>ą</w:t>
      </w:r>
      <w:r w:rsidR="00453447">
        <w:rPr>
          <w:sz w:val="24"/>
          <w:szCs w:val="24"/>
        </w:rPr>
        <w:t xml:space="preserve"> prieš 2 d. d</w:t>
      </w:r>
      <w:r w:rsidR="00DD10D5" w:rsidRPr="00981116">
        <w:rPr>
          <w:sz w:val="24"/>
          <w:szCs w:val="24"/>
        </w:rPr>
        <w:t>. raštu arba el. paštu. Pr</w:t>
      </w:r>
      <w:r w:rsidR="00453447">
        <w:rPr>
          <w:sz w:val="24"/>
          <w:szCs w:val="24"/>
        </w:rPr>
        <w:t xml:space="preserve">ekė pristatoma </w:t>
      </w:r>
      <w:r w:rsidR="009F101C">
        <w:rPr>
          <w:sz w:val="24"/>
          <w:szCs w:val="24"/>
        </w:rPr>
        <w:t xml:space="preserve">ir sumontuojama </w:t>
      </w:r>
      <w:r w:rsidR="00DD10D5" w:rsidRPr="00981116">
        <w:rPr>
          <w:sz w:val="24"/>
          <w:szCs w:val="24"/>
        </w:rPr>
        <w:t>darbo dienomis nuo 8.00 val. iki 17.00 val., penktadieniais - iki 15.45 val., prieš šventinę dieną - valanda trumpiau. P</w:t>
      </w:r>
      <w:r w:rsidRPr="00981116">
        <w:rPr>
          <w:sz w:val="24"/>
          <w:szCs w:val="24"/>
        </w:rPr>
        <w:t>rekės pristatymo</w:t>
      </w:r>
      <w:r w:rsidR="009F101C">
        <w:rPr>
          <w:sz w:val="24"/>
          <w:szCs w:val="24"/>
        </w:rPr>
        <w:t xml:space="preserve"> ir sumontavimo</w:t>
      </w:r>
      <w:r w:rsidR="00DD10D5" w:rsidRPr="00981116">
        <w:rPr>
          <w:sz w:val="24"/>
          <w:szCs w:val="24"/>
        </w:rPr>
        <w:t xml:space="preserve"> laiką galima keisti, suderinus su Pirkėjo atstovu.</w:t>
      </w:r>
    </w:p>
    <w:p w:rsidR="00981116" w:rsidRDefault="00322C61" w:rsidP="00AF4CEC">
      <w:pPr>
        <w:jc w:val="both"/>
        <w:rPr>
          <w:sz w:val="24"/>
          <w:szCs w:val="24"/>
        </w:rPr>
      </w:pPr>
      <w:r w:rsidRPr="00981116">
        <w:rPr>
          <w:sz w:val="24"/>
          <w:szCs w:val="24"/>
        </w:rPr>
        <w:lastRenderedPageBreak/>
        <w:t>3.</w:t>
      </w:r>
      <w:r w:rsidR="003655E9" w:rsidRPr="00981116">
        <w:rPr>
          <w:rFonts w:ascii="Calibri" w:hAnsi="Calibri"/>
          <w:sz w:val="22"/>
          <w:szCs w:val="22"/>
        </w:rPr>
        <w:t xml:space="preserve"> </w:t>
      </w:r>
      <w:r w:rsidR="003655E9" w:rsidRPr="00981116">
        <w:rPr>
          <w:sz w:val="24"/>
          <w:szCs w:val="24"/>
        </w:rPr>
        <w:t xml:space="preserve">Į </w:t>
      </w:r>
      <w:r w:rsidR="003C067B" w:rsidRPr="00981116">
        <w:rPr>
          <w:sz w:val="24"/>
          <w:szCs w:val="24"/>
        </w:rPr>
        <w:t>prekės</w:t>
      </w:r>
      <w:r w:rsidR="003655E9" w:rsidRPr="00981116">
        <w:rPr>
          <w:sz w:val="24"/>
          <w:szCs w:val="24"/>
        </w:rPr>
        <w:t xml:space="preserve"> </w:t>
      </w:r>
      <w:r w:rsidR="003C067B" w:rsidRPr="00981116">
        <w:rPr>
          <w:sz w:val="24"/>
          <w:szCs w:val="24"/>
        </w:rPr>
        <w:t>kainą</w:t>
      </w:r>
      <w:r w:rsidR="003655E9" w:rsidRPr="00981116">
        <w:rPr>
          <w:sz w:val="24"/>
          <w:szCs w:val="24"/>
        </w:rPr>
        <w:t xml:space="preserve"> turi būti įskaičiuotos visos su </w:t>
      </w:r>
      <w:r w:rsidR="003C067B" w:rsidRPr="00981116">
        <w:rPr>
          <w:sz w:val="24"/>
          <w:szCs w:val="24"/>
        </w:rPr>
        <w:t>prekės pristat</w:t>
      </w:r>
      <w:r w:rsidR="00981116">
        <w:rPr>
          <w:sz w:val="24"/>
          <w:szCs w:val="24"/>
        </w:rPr>
        <w:t>y</w:t>
      </w:r>
      <w:r w:rsidR="003C067B" w:rsidRPr="00981116">
        <w:rPr>
          <w:sz w:val="24"/>
          <w:szCs w:val="24"/>
        </w:rPr>
        <w:t>mu</w:t>
      </w:r>
      <w:r w:rsidR="0088191D">
        <w:rPr>
          <w:sz w:val="24"/>
          <w:szCs w:val="24"/>
        </w:rPr>
        <w:t xml:space="preserve"> ir sumontavimu</w:t>
      </w:r>
      <w:r w:rsidR="003655E9" w:rsidRPr="00981116">
        <w:rPr>
          <w:sz w:val="24"/>
          <w:szCs w:val="24"/>
        </w:rPr>
        <w:t xml:space="preserve">  susijusios išlaidos (</w:t>
      </w:r>
      <w:r w:rsidR="003C067B" w:rsidRPr="00981116">
        <w:rPr>
          <w:sz w:val="24"/>
          <w:szCs w:val="24"/>
        </w:rPr>
        <w:t>prekės, pakrovimo, atvežimo, iškrovimo</w:t>
      </w:r>
      <w:r w:rsidR="0088191D">
        <w:rPr>
          <w:sz w:val="24"/>
          <w:szCs w:val="24"/>
        </w:rPr>
        <w:t>, sumontavimo</w:t>
      </w:r>
      <w:r w:rsidR="003655E9" w:rsidRPr="00981116">
        <w:rPr>
          <w:sz w:val="24"/>
          <w:szCs w:val="24"/>
        </w:rPr>
        <w:t xml:space="preserve"> sąnaudomis bei kitomis išlaidomis, jeigu tokių bus).</w:t>
      </w:r>
      <w:r w:rsidR="003C067B" w:rsidRPr="00981116">
        <w:rPr>
          <w:sz w:val="24"/>
          <w:szCs w:val="24"/>
        </w:rPr>
        <w:t xml:space="preserve"> Kaina turi būti nurodyta EUR su PVM.</w:t>
      </w:r>
    </w:p>
    <w:p w:rsidR="00751A7F" w:rsidRPr="00981116" w:rsidRDefault="00751A7F" w:rsidP="00AF4C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D95BD7" w:rsidRPr="00D95BD7">
        <w:rPr>
          <w:sz w:val="24"/>
          <w:szCs w:val="24"/>
        </w:rPr>
        <w:t>Pardavėjo darbuotojai, pristatydami</w:t>
      </w:r>
      <w:r w:rsidR="0088191D">
        <w:rPr>
          <w:sz w:val="24"/>
          <w:szCs w:val="24"/>
        </w:rPr>
        <w:t xml:space="preserve"> ir sumontuodami</w:t>
      </w:r>
      <w:r w:rsidR="00D95BD7" w:rsidRPr="00D95BD7">
        <w:rPr>
          <w:sz w:val="24"/>
          <w:szCs w:val="24"/>
        </w:rPr>
        <w:t xml:space="preserve"> prekes užsakovo teritorijoje, privalo laikytis priešgaisrinės saugos, darbo saugos, sanitarinių higieninių, aplinkos apsaugos reikalavimų, galiojančių Lietuvos Respublikos norminių dokumentų ir Lietuvos kariuomenės vidaus tvarkos taisyklių.</w:t>
      </w:r>
    </w:p>
    <w:p w:rsidR="004511B3" w:rsidRPr="00981116" w:rsidRDefault="00751A7F" w:rsidP="00AF4CEC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80E78" w:rsidRPr="00981116">
        <w:rPr>
          <w:sz w:val="24"/>
          <w:szCs w:val="24"/>
        </w:rPr>
        <w:t>.</w:t>
      </w:r>
      <w:r w:rsidR="003655E9" w:rsidRPr="00981116">
        <w:rPr>
          <w:sz w:val="24"/>
          <w:szCs w:val="24"/>
        </w:rPr>
        <w:t xml:space="preserve"> Pristačius</w:t>
      </w:r>
      <w:r w:rsidR="0088191D">
        <w:rPr>
          <w:sz w:val="24"/>
          <w:szCs w:val="24"/>
        </w:rPr>
        <w:t xml:space="preserve"> ir sumontavus</w:t>
      </w:r>
      <w:r w:rsidR="003655E9" w:rsidRPr="00981116">
        <w:rPr>
          <w:sz w:val="24"/>
          <w:szCs w:val="24"/>
        </w:rPr>
        <w:t xml:space="preserve"> prekę Pardavėjas</w:t>
      </w:r>
      <w:r w:rsidR="003655E9" w:rsidRPr="00981116">
        <w:rPr>
          <w:rFonts w:ascii="Calibri" w:hAnsi="Calibri"/>
          <w:sz w:val="22"/>
          <w:szCs w:val="22"/>
        </w:rPr>
        <w:t xml:space="preserve"> </w:t>
      </w:r>
      <w:r w:rsidR="000E086D" w:rsidRPr="00981116">
        <w:rPr>
          <w:sz w:val="24"/>
          <w:szCs w:val="24"/>
        </w:rPr>
        <w:t>per 3 d.</w:t>
      </w:r>
      <w:r w:rsidR="000E086D">
        <w:rPr>
          <w:sz w:val="24"/>
          <w:szCs w:val="24"/>
        </w:rPr>
        <w:t xml:space="preserve"> </w:t>
      </w:r>
      <w:r w:rsidR="000E086D" w:rsidRPr="00981116">
        <w:rPr>
          <w:sz w:val="24"/>
          <w:szCs w:val="24"/>
        </w:rPr>
        <w:t xml:space="preserve">d. </w:t>
      </w:r>
      <w:r w:rsidR="003655E9" w:rsidRPr="00981116">
        <w:rPr>
          <w:sz w:val="24"/>
          <w:szCs w:val="24"/>
        </w:rPr>
        <w:t xml:space="preserve">perduoda Pirkėjo atstovui pasirašytą </w:t>
      </w:r>
      <w:r w:rsidR="0088191D">
        <w:rPr>
          <w:sz w:val="24"/>
          <w:szCs w:val="24"/>
        </w:rPr>
        <w:t>darbų atlikimo aktą</w:t>
      </w:r>
      <w:r w:rsidR="0040259D">
        <w:rPr>
          <w:sz w:val="24"/>
          <w:szCs w:val="24"/>
        </w:rPr>
        <w:t>, sąskaitą – faktūrą, naudojimo ir aptarnavimo instrukciją lietuvių kalba.</w:t>
      </w:r>
      <w:r w:rsidR="003655E9" w:rsidRPr="00981116" w:rsidDel="003655E9">
        <w:rPr>
          <w:sz w:val="24"/>
          <w:szCs w:val="24"/>
        </w:rPr>
        <w:t xml:space="preserve"> </w:t>
      </w:r>
    </w:p>
    <w:p w:rsidR="004511B3" w:rsidRPr="004511B3" w:rsidRDefault="004511B3" w:rsidP="00AF4CEC">
      <w:pPr>
        <w:jc w:val="both"/>
        <w:rPr>
          <w:sz w:val="24"/>
          <w:szCs w:val="24"/>
        </w:rPr>
      </w:pPr>
    </w:p>
    <w:p w:rsidR="00413D00" w:rsidRDefault="00413D00" w:rsidP="00AF4CEC">
      <w:pPr>
        <w:jc w:val="both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0"/>
        <w:gridCol w:w="4828"/>
      </w:tblGrid>
      <w:tr w:rsidR="00680170" w:rsidRPr="00EF474B" w:rsidTr="00370B99">
        <w:tc>
          <w:tcPr>
            <w:tcW w:w="4927" w:type="dxa"/>
            <w:shd w:val="clear" w:color="auto" w:fill="auto"/>
          </w:tcPr>
          <w:p w:rsidR="00680170" w:rsidRPr="00680170" w:rsidRDefault="00680170" w:rsidP="00370B99">
            <w:pPr>
              <w:pStyle w:val="Pagrindinistekstas1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8017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PIRKĖJAS</w:t>
            </w:r>
          </w:p>
          <w:p w:rsidR="00680170" w:rsidRPr="00680170" w:rsidRDefault="00680170" w:rsidP="00370B99">
            <w:pPr>
              <w:pStyle w:val="Pagrindinistekstas1"/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680170" w:rsidRPr="00680170" w:rsidRDefault="00680170" w:rsidP="00370B99">
            <w:pPr>
              <w:jc w:val="both"/>
              <w:rPr>
                <w:sz w:val="24"/>
                <w:szCs w:val="24"/>
              </w:rPr>
            </w:pPr>
            <w:r w:rsidRPr="00680170">
              <w:rPr>
                <w:sz w:val="24"/>
                <w:szCs w:val="24"/>
              </w:rPr>
              <w:t>Vadas</w:t>
            </w:r>
            <w:r w:rsidRPr="00680170">
              <w:rPr>
                <w:sz w:val="24"/>
                <w:szCs w:val="24"/>
              </w:rPr>
              <w:tab/>
            </w:r>
            <w:r w:rsidRPr="00680170">
              <w:rPr>
                <w:sz w:val="24"/>
                <w:szCs w:val="24"/>
              </w:rPr>
              <w:tab/>
            </w:r>
            <w:r w:rsidRPr="00680170">
              <w:rPr>
                <w:sz w:val="24"/>
                <w:szCs w:val="24"/>
              </w:rPr>
              <w:tab/>
            </w:r>
          </w:p>
          <w:p w:rsidR="00680170" w:rsidRPr="00680170" w:rsidRDefault="00680170" w:rsidP="00370B99">
            <w:pPr>
              <w:pStyle w:val="Pagrindinistekstas1"/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801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plk. ltn. Mindaugas </w:t>
            </w:r>
            <w:proofErr w:type="spellStart"/>
            <w:r w:rsidRPr="006801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Juotkus</w:t>
            </w:r>
            <w:proofErr w:type="spellEnd"/>
          </w:p>
          <w:p w:rsidR="00680170" w:rsidRPr="00680170" w:rsidRDefault="00680170" w:rsidP="00370B99">
            <w:pPr>
              <w:pStyle w:val="Pagrindinistekstas1"/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27" w:type="dxa"/>
            <w:shd w:val="clear" w:color="auto" w:fill="auto"/>
          </w:tcPr>
          <w:p w:rsidR="00680170" w:rsidRPr="00680170" w:rsidRDefault="00680170" w:rsidP="00370B99">
            <w:pPr>
              <w:pStyle w:val="Pagrindinistekstas1"/>
              <w:ind w:firstLine="0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68017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PARDAVĖJAS</w:t>
            </w:r>
          </w:p>
          <w:p w:rsidR="00680170" w:rsidRPr="00680170" w:rsidRDefault="00680170" w:rsidP="00370B99">
            <w:pPr>
              <w:pStyle w:val="Pagrindinistekstas1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680170" w:rsidRPr="00680170" w:rsidRDefault="00680170" w:rsidP="00370B99">
            <w:pPr>
              <w:tabs>
                <w:tab w:val="left" w:pos="2895"/>
              </w:tabs>
              <w:rPr>
                <w:sz w:val="24"/>
                <w:szCs w:val="24"/>
              </w:rPr>
            </w:pPr>
            <w:r w:rsidRPr="00680170">
              <w:rPr>
                <w:sz w:val="24"/>
                <w:szCs w:val="24"/>
              </w:rPr>
              <w:t>Direktorius</w:t>
            </w:r>
            <w:r w:rsidRPr="00680170">
              <w:rPr>
                <w:sz w:val="24"/>
                <w:szCs w:val="24"/>
              </w:rPr>
              <w:tab/>
            </w:r>
          </w:p>
          <w:p w:rsidR="00680170" w:rsidRPr="00680170" w:rsidRDefault="00680170" w:rsidP="00370B99">
            <w:pPr>
              <w:pStyle w:val="Pagrindinistekstas1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Eduardas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Jermolajevas</w:t>
            </w:r>
            <w:proofErr w:type="spellEnd"/>
          </w:p>
          <w:p w:rsidR="00680170" w:rsidRPr="00680170" w:rsidRDefault="00680170" w:rsidP="00370B99">
            <w:pPr>
              <w:pStyle w:val="Pagrindinistekstas1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:rsidR="00680170" w:rsidRDefault="00680170" w:rsidP="00680170">
      <w:pPr>
        <w:tabs>
          <w:tab w:val="left" w:pos="213"/>
          <w:tab w:val="left" w:pos="355"/>
        </w:tabs>
        <w:jc w:val="both"/>
      </w:pPr>
    </w:p>
    <w:p w:rsidR="00413D00" w:rsidRDefault="00413D00" w:rsidP="00AF4CEC">
      <w:pPr>
        <w:jc w:val="both"/>
        <w:rPr>
          <w:b/>
          <w:sz w:val="24"/>
          <w:szCs w:val="24"/>
        </w:rPr>
      </w:pPr>
    </w:p>
    <w:p w:rsidR="00413D00" w:rsidRPr="00413D00" w:rsidRDefault="00413D00" w:rsidP="00AF4CEC">
      <w:pPr>
        <w:jc w:val="both"/>
        <w:rPr>
          <w:b/>
          <w:sz w:val="24"/>
          <w:szCs w:val="24"/>
        </w:rPr>
      </w:pPr>
    </w:p>
    <w:sectPr w:rsidR="00413D00" w:rsidRPr="00413D00" w:rsidSect="00035CA1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3C0" w:rsidRDefault="00FC33C0" w:rsidP="00570269">
      <w:r>
        <w:separator/>
      </w:r>
    </w:p>
  </w:endnote>
  <w:endnote w:type="continuationSeparator" w:id="0">
    <w:p w:rsidR="00FC33C0" w:rsidRDefault="00FC33C0" w:rsidP="00570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269" w:rsidRDefault="0057026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77ED9">
      <w:rPr>
        <w:noProof/>
      </w:rPr>
      <w:t>2</w:t>
    </w:r>
    <w:r>
      <w:rPr>
        <w:noProof/>
      </w:rPr>
      <w:fldChar w:fldCharType="end"/>
    </w:r>
  </w:p>
  <w:p w:rsidR="00570269" w:rsidRDefault="005702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3C0" w:rsidRDefault="00FC33C0" w:rsidP="00570269">
      <w:r>
        <w:separator/>
      </w:r>
    </w:p>
  </w:footnote>
  <w:footnote w:type="continuationSeparator" w:id="0">
    <w:p w:rsidR="00FC33C0" w:rsidRDefault="00FC33C0" w:rsidP="00570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7403F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1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411AF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45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24B"/>
    <w:rsid w:val="00026ABB"/>
    <w:rsid w:val="00035CA1"/>
    <w:rsid w:val="00070946"/>
    <w:rsid w:val="00086975"/>
    <w:rsid w:val="000A66AD"/>
    <w:rsid w:val="000E086D"/>
    <w:rsid w:val="000E0B7E"/>
    <w:rsid w:val="000F0299"/>
    <w:rsid w:val="0010754D"/>
    <w:rsid w:val="0011652B"/>
    <w:rsid w:val="00121CF9"/>
    <w:rsid w:val="00134AFE"/>
    <w:rsid w:val="001519D6"/>
    <w:rsid w:val="00161C9B"/>
    <w:rsid w:val="00184F5E"/>
    <w:rsid w:val="001F5A2E"/>
    <w:rsid w:val="0020193E"/>
    <w:rsid w:val="00230F28"/>
    <w:rsid w:val="0023272A"/>
    <w:rsid w:val="002554A4"/>
    <w:rsid w:val="00263CD4"/>
    <w:rsid w:val="0029357B"/>
    <w:rsid w:val="002B54B5"/>
    <w:rsid w:val="002E3ACA"/>
    <w:rsid w:val="003139A4"/>
    <w:rsid w:val="00322C61"/>
    <w:rsid w:val="003263D4"/>
    <w:rsid w:val="003359A7"/>
    <w:rsid w:val="003535DE"/>
    <w:rsid w:val="003544DB"/>
    <w:rsid w:val="003655E9"/>
    <w:rsid w:val="003A7803"/>
    <w:rsid w:val="003C067B"/>
    <w:rsid w:val="003D5BE8"/>
    <w:rsid w:val="003F00F6"/>
    <w:rsid w:val="0040259D"/>
    <w:rsid w:val="00413D00"/>
    <w:rsid w:val="004269CE"/>
    <w:rsid w:val="0043731E"/>
    <w:rsid w:val="00443915"/>
    <w:rsid w:val="004511B3"/>
    <w:rsid w:val="00453447"/>
    <w:rsid w:val="0047044A"/>
    <w:rsid w:val="0049302A"/>
    <w:rsid w:val="004B413D"/>
    <w:rsid w:val="004F145E"/>
    <w:rsid w:val="004F5F08"/>
    <w:rsid w:val="0055571C"/>
    <w:rsid w:val="005675D8"/>
    <w:rsid w:val="00570269"/>
    <w:rsid w:val="00577ED9"/>
    <w:rsid w:val="00594BCB"/>
    <w:rsid w:val="005A6D09"/>
    <w:rsid w:val="005E5905"/>
    <w:rsid w:val="005E66B8"/>
    <w:rsid w:val="005E7663"/>
    <w:rsid w:val="00611281"/>
    <w:rsid w:val="00611948"/>
    <w:rsid w:val="0063534F"/>
    <w:rsid w:val="00672399"/>
    <w:rsid w:val="00680170"/>
    <w:rsid w:val="006D168D"/>
    <w:rsid w:val="006E3BF4"/>
    <w:rsid w:val="006F54CA"/>
    <w:rsid w:val="007072C6"/>
    <w:rsid w:val="00712688"/>
    <w:rsid w:val="00724080"/>
    <w:rsid w:val="0074222F"/>
    <w:rsid w:val="00745614"/>
    <w:rsid w:val="00751561"/>
    <w:rsid w:val="00751A7F"/>
    <w:rsid w:val="007714B2"/>
    <w:rsid w:val="0077186E"/>
    <w:rsid w:val="007C38C8"/>
    <w:rsid w:val="007D13DE"/>
    <w:rsid w:val="007D30E9"/>
    <w:rsid w:val="00803110"/>
    <w:rsid w:val="00835FB9"/>
    <w:rsid w:val="008558D9"/>
    <w:rsid w:val="00861347"/>
    <w:rsid w:val="00864B95"/>
    <w:rsid w:val="00866921"/>
    <w:rsid w:val="0088191D"/>
    <w:rsid w:val="00881D23"/>
    <w:rsid w:val="0088424A"/>
    <w:rsid w:val="008A189D"/>
    <w:rsid w:val="008B7900"/>
    <w:rsid w:val="008D00EA"/>
    <w:rsid w:val="008E372F"/>
    <w:rsid w:val="008F7473"/>
    <w:rsid w:val="00921242"/>
    <w:rsid w:val="00922C8F"/>
    <w:rsid w:val="009265B3"/>
    <w:rsid w:val="00931BAB"/>
    <w:rsid w:val="009627EA"/>
    <w:rsid w:val="00981116"/>
    <w:rsid w:val="00991F48"/>
    <w:rsid w:val="009A7407"/>
    <w:rsid w:val="009D2521"/>
    <w:rsid w:val="009F101C"/>
    <w:rsid w:val="00A05EBF"/>
    <w:rsid w:val="00A0726A"/>
    <w:rsid w:val="00A41487"/>
    <w:rsid w:val="00A46AE4"/>
    <w:rsid w:val="00A5324B"/>
    <w:rsid w:val="00A77809"/>
    <w:rsid w:val="00A80906"/>
    <w:rsid w:val="00A90688"/>
    <w:rsid w:val="00AB34BF"/>
    <w:rsid w:val="00AB3E8A"/>
    <w:rsid w:val="00AB4B78"/>
    <w:rsid w:val="00AE1CCF"/>
    <w:rsid w:val="00AF4CEC"/>
    <w:rsid w:val="00AF7645"/>
    <w:rsid w:val="00B30B89"/>
    <w:rsid w:val="00B357B7"/>
    <w:rsid w:val="00B40823"/>
    <w:rsid w:val="00BA095F"/>
    <w:rsid w:val="00BB0795"/>
    <w:rsid w:val="00BB49F6"/>
    <w:rsid w:val="00BB79C9"/>
    <w:rsid w:val="00BF14AA"/>
    <w:rsid w:val="00BF3F4A"/>
    <w:rsid w:val="00C06C68"/>
    <w:rsid w:val="00C52D1E"/>
    <w:rsid w:val="00C751F5"/>
    <w:rsid w:val="00C83C1A"/>
    <w:rsid w:val="00CC2DD4"/>
    <w:rsid w:val="00CE592E"/>
    <w:rsid w:val="00CF1787"/>
    <w:rsid w:val="00D11E63"/>
    <w:rsid w:val="00D16C17"/>
    <w:rsid w:val="00D40749"/>
    <w:rsid w:val="00D7106E"/>
    <w:rsid w:val="00D7619C"/>
    <w:rsid w:val="00D95BD7"/>
    <w:rsid w:val="00DA16C2"/>
    <w:rsid w:val="00DC6B27"/>
    <w:rsid w:val="00DD10D5"/>
    <w:rsid w:val="00DE154F"/>
    <w:rsid w:val="00E05C22"/>
    <w:rsid w:val="00E066AE"/>
    <w:rsid w:val="00E45EC4"/>
    <w:rsid w:val="00E52909"/>
    <w:rsid w:val="00E636AC"/>
    <w:rsid w:val="00E722C5"/>
    <w:rsid w:val="00E75F2E"/>
    <w:rsid w:val="00E80E78"/>
    <w:rsid w:val="00ED21C4"/>
    <w:rsid w:val="00ED6EFF"/>
    <w:rsid w:val="00EF17E0"/>
    <w:rsid w:val="00F038BA"/>
    <w:rsid w:val="00F235B4"/>
    <w:rsid w:val="00F316CE"/>
    <w:rsid w:val="00F64491"/>
    <w:rsid w:val="00F9049C"/>
    <w:rsid w:val="00FC33C0"/>
    <w:rsid w:val="00FE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5F8EFA"/>
  <w15:chartTrackingRefBased/>
  <w15:docId w15:val="{3D1C1E88-14D2-46B1-824B-B995C538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F08"/>
    <w:rPr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A90688"/>
    <w:pPr>
      <w:keepNext/>
      <w:numPr>
        <w:ilvl w:val="2"/>
        <w:numId w:val="1"/>
      </w:numPr>
      <w:suppressAutoHyphens/>
      <w:spacing w:before="240" w:after="60"/>
      <w:outlineLvl w:val="2"/>
    </w:pPr>
    <w:rPr>
      <w:rFonts w:cs="Arial"/>
      <w:b/>
      <w:bCs/>
      <w:sz w:val="24"/>
      <w:szCs w:val="26"/>
      <w:lang w:eastAsia="ar-SA"/>
    </w:rPr>
  </w:style>
  <w:style w:type="paragraph" w:styleId="Heading4">
    <w:name w:val="heading 4"/>
    <w:basedOn w:val="Normal"/>
    <w:next w:val="Normal"/>
    <w:qFormat/>
    <w:rsid w:val="004F5F08"/>
    <w:pPr>
      <w:keepNext/>
      <w:widowControl w:val="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4F5F08"/>
    <w:pPr>
      <w:keepNext/>
      <w:widowControl w:val="0"/>
      <w:jc w:val="center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link w:val="Heading6Char"/>
    <w:qFormat/>
    <w:rsid w:val="00A90688"/>
    <w:pPr>
      <w:numPr>
        <w:ilvl w:val="5"/>
        <w:numId w:val="1"/>
      </w:numPr>
      <w:suppressAutoHyphens/>
      <w:spacing w:before="240" w:after="60"/>
      <w:outlineLvl w:val="5"/>
    </w:pPr>
    <w:rPr>
      <w:b/>
      <w:bCs/>
      <w:sz w:val="22"/>
      <w:szCs w:val="22"/>
      <w:lang w:eastAsia="ar-SA"/>
    </w:rPr>
  </w:style>
  <w:style w:type="paragraph" w:styleId="Heading7">
    <w:name w:val="heading 7"/>
    <w:basedOn w:val="Normal"/>
    <w:next w:val="Normal"/>
    <w:link w:val="Heading7Char"/>
    <w:qFormat/>
    <w:rsid w:val="00A90688"/>
    <w:pPr>
      <w:numPr>
        <w:ilvl w:val="6"/>
        <w:numId w:val="1"/>
      </w:numPr>
      <w:suppressAutoHyphens/>
      <w:spacing w:before="240" w:after="60"/>
      <w:outlineLvl w:val="6"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4F5F08"/>
    <w:pPr>
      <w:spacing w:before="240" w:after="120"/>
      <w:jc w:val="center"/>
    </w:pPr>
    <w:rPr>
      <w:b/>
      <w:caps/>
      <w:sz w:val="24"/>
    </w:rPr>
  </w:style>
  <w:style w:type="paragraph" w:styleId="BodyTextIndent">
    <w:name w:val="Body Text Indent"/>
    <w:basedOn w:val="Normal"/>
    <w:rsid w:val="004F5F08"/>
    <w:pPr>
      <w:widowControl w:val="0"/>
      <w:ind w:firstLine="709"/>
    </w:pPr>
  </w:style>
  <w:style w:type="paragraph" w:styleId="BodyText">
    <w:name w:val="Body Text"/>
    <w:basedOn w:val="Normal"/>
    <w:rsid w:val="001F5A2E"/>
    <w:pPr>
      <w:spacing w:after="120"/>
    </w:pPr>
  </w:style>
  <w:style w:type="table" w:styleId="TableGrid">
    <w:name w:val="Table Grid"/>
    <w:basedOn w:val="TableNormal"/>
    <w:rsid w:val="001F5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A90688"/>
    <w:rPr>
      <w:rFonts w:cs="Arial"/>
      <w:b/>
      <w:bCs/>
      <w:sz w:val="24"/>
      <w:szCs w:val="26"/>
      <w:lang w:eastAsia="ar-SA"/>
    </w:rPr>
  </w:style>
  <w:style w:type="character" w:customStyle="1" w:styleId="Heading6Char">
    <w:name w:val="Heading 6 Char"/>
    <w:link w:val="Heading6"/>
    <w:rsid w:val="00A90688"/>
    <w:rPr>
      <w:b/>
      <w:bCs/>
      <w:sz w:val="22"/>
      <w:szCs w:val="22"/>
      <w:lang w:eastAsia="ar-SA"/>
    </w:rPr>
  </w:style>
  <w:style w:type="character" w:customStyle="1" w:styleId="Heading7Char">
    <w:name w:val="Heading 7 Char"/>
    <w:link w:val="Heading7"/>
    <w:rsid w:val="00A90688"/>
    <w:rPr>
      <w:sz w:val="24"/>
      <w:szCs w:val="24"/>
      <w:lang w:eastAsia="ar-SA"/>
    </w:rPr>
  </w:style>
  <w:style w:type="paragraph" w:customStyle="1" w:styleId="Antrat41">
    <w:name w:val="Antraštė 41"/>
    <w:basedOn w:val="Normal"/>
    <w:next w:val="Normal"/>
    <w:rsid w:val="00A90688"/>
    <w:pPr>
      <w:keepNext/>
      <w:numPr>
        <w:ilvl w:val="3"/>
        <w:numId w:val="1"/>
      </w:numPr>
      <w:suppressAutoHyphens/>
      <w:jc w:val="center"/>
      <w:outlineLvl w:val="3"/>
    </w:pPr>
    <w:rPr>
      <w:b/>
      <w:bCs/>
      <w:sz w:val="24"/>
      <w:szCs w:val="24"/>
      <w:lang w:eastAsia="ar-SA"/>
    </w:rPr>
  </w:style>
  <w:style w:type="paragraph" w:customStyle="1" w:styleId="StiliusAntrat314ptCentre">
    <w:name w:val="Stilius Antraštė 3 + 14 pt Centre"/>
    <w:basedOn w:val="Heading3"/>
    <w:link w:val="StiliusAntrat314ptCentreDiagrama"/>
    <w:rsid w:val="00A90688"/>
    <w:pPr>
      <w:jc w:val="center"/>
    </w:pPr>
    <w:rPr>
      <w:rFonts w:cs="Times New Roman"/>
      <w:sz w:val="28"/>
      <w:szCs w:val="20"/>
    </w:rPr>
  </w:style>
  <w:style w:type="character" w:customStyle="1" w:styleId="StiliusAntrat314ptCentreDiagrama">
    <w:name w:val="Stilius Antraštė 3 + 14 pt Centre Diagrama"/>
    <w:link w:val="StiliusAntrat314ptCentre"/>
    <w:rsid w:val="00A90688"/>
    <w:rPr>
      <w:b/>
      <w:bCs/>
      <w:sz w:val="28"/>
      <w:lang w:eastAsia="ar-SA"/>
    </w:rPr>
  </w:style>
  <w:style w:type="paragraph" w:styleId="NoSpacing">
    <w:name w:val="No Spacing"/>
    <w:uiPriority w:val="1"/>
    <w:qFormat/>
    <w:rsid w:val="00E636AC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7D30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D30E9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570269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570269"/>
    <w:rPr>
      <w:lang w:eastAsia="en-US"/>
    </w:rPr>
  </w:style>
  <w:style w:type="paragraph" w:styleId="Footer">
    <w:name w:val="footer"/>
    <w:basedOn w:val="Normal"/>
    <w:link w:val="FooterChar"/>
    <w:uiPriority w:val="99"/>
    <w:rsid w:val="00570269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570269"/>
    <w:rPr>
      <w:lang w:eastAsia="en-US"/>
    </w:rPr>
  </w:style>
  <w:style w:type="paragraph" w:customStyle="1" w:styleId="Pagrindinistekstas1">
    <w:name w:val="Pagrindinis tekstas1"/>
    <w:link w:val="BodytextChar"/>
    <w:qFormat/>
    <w:rsid w:val="00680170"/>
    <w:pPr>
      <w:suppressAutoHyphens/>
      <w:ind w:firstLine="312"/>
      <w:jc w:val="both"/>
    </w:pPr>
    <w:rPr>
      <w:rFonts w:ascii="TimesLT" w:eastAsia="Arial" w:hAnsi="TimesLT" w:cs="TimesLT"/>
      <w:lang w:val="en-GB" w:eastAsia="zh-CN"/>
    </w:rPr>
  </w:style>
  <w:style w:type="character" w:customStyle="1" w:styleId="BodytextChar">
    <w:name w:val="Body text Char"/>
    <w:link w:val="Pagrindinistekstas1"/>
    <w:qFormat/>
    <w:rsid w:val="00680170"/>
    <w:rPr>
      <w:rFonts w:ascii="TimesLT" w:eastAsia="Arial" w:hAnsi="TimesLT" w:cs="TimesLT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3E411-5B89-407B-8203-4F3BBC272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2048</Words>
  <Characters>1168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RIAT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renata.radzaboviene</dc:creator>
  <cp:keywords/>
  <cp:lastModifiedBy>Dainora Kmieliauskiene</cp:lastModifiedBy>
  <cp:revision>12</cp:revision>
  <cp:lastPrinted>2024-10-09T07:29:00Z</cp:lastPrinted>
  <dcterms:created xsi:type="dcterms:W3CDTF">2024-10-01T05:37:00Z</dcterms:created>
  <dcterms:modified xsi:type="dcterms:W3CDTF">2024-10-10T06:40:00Z</dcterms:modified>
</cp:coreProperties>
</file>